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CAD4" w14:textId="77777777" w:rsidR="00D57F89" w:rsidRPr="00D57F89" w:rsidRDefault="00D57F89" w:rsidP="00D57F8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sz w:val="51"/>
          <w:szCs w:val="51"/>
        </w:rPr>
      </w:pPr>
      <w:r w:rsidRPr="00D57F89">
        <w:rPr>
          <w:rFonts w:ascii="Poppins" w:eastAsia="Times New Roman" w:hAnsi="Poppins" w:cs="Poppins"/>
          <w:b/>
          <w:bCs/>
          <w:sz w:val="51"/>
          <w:szCs w:val="51"/>
        </w:rPr>
        <w:t>¿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Cuáles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son sus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causas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?</w:t>
      </w:r>
    </w:p>
    <w:p w14:paraId="7C70F324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Las 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causas</w:t>
      </w:r>
      <w:proofErr w:type="spellEnd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 del overfitting</w:t>
      </w: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complicadas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categorizarlas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tres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br/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tipos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:</w:t>
      </w:r>
    </w:p>
    <w:p w14:paraId="142C9AE6" w14:textId="77777777" w:rsidR="00D57F89" w:rsidRPr="00D57F89" w:rsidRDefault="00D57F89" w:rsidP="00D57F89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ruido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pequeño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representativos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ruidos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situación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hace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ruidos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tengan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grandes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posibilidades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ser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luego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actuar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base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Por lo tanto,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bien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debería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distinguir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representativos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ruidos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0E3F35E9" w14:textId="77777777" w:rsidR="00D57F89" w:rsidRPr="00D57F89" w:rsidRDefault="00D57F89" w:rsidP="00D57F89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hipótesis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compensación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concepto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clave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estadística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mecanizado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es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compromiso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entre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Varianza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Sesgo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refiere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equilibrio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entre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coherencia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hipótesis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(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entradas),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vuelve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promedio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menor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consistencia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situación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drásticamente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diferentes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diferentes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2A03E2A5" w14:textId="77777777" w:rsidR="00D57F89" w:rsidRPr="00D57F89" w:rsidRDefault="00D57F89" w:rsidP="00D57F89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Múltiples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procedimientos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comparación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son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omnipresentes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inducción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así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otros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inteligencia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artificial. Durante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siempre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comparamos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varios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elementos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puntuaciones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evaluación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seleccionamos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elemento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puntuación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máxima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Sin embargo,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probablemente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elegirá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elementos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no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mejorarán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incluso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reducirán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clasificación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721A93DA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El overfitting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muchas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causas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normalmente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combinación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siguientes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:</w:t>
      </w:r>
    </w:p>
    <w:p w14:paraId="00A71014" w14:textId="77777777" w:rsidR="00D57F89" w:rsidRPr="00D57F89" w:rsidRDefault="00D57F89" w:rsidP="00D57F8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potente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por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ejemplo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permite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polinomios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hasta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grado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100. Con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polinomios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hasta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grado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5,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tendría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mucho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potente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mucho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propenso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sobreajustarse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242088BD" w14:textId="77777777" w:rsidR="00D57F89" w:rsidRPr="00D57F89" w:rsidRDefault="00D57F89" w:rsidP="00D57F8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No hay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suficientes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obtener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veces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solucionar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problemas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0F2A7A5B" w14:textId="77777777" w:rsidR="00D57F89" w:rsidRPr="00D57F89" w:rsidRDefault="00D57F89" w:rsidP="00D57F89">
      <w:pPr>
        <w:shd w:val="clear" w:color="auto" w:fill="FFFFFF"/>
        <w:spacing w:before="450" w:after="450" w:line="240" w:lineRule="auto"/>
        <w:outlineLvl w:val="1"/>
        <w:rPr>
          <w:rFonts w:ascii="Poppins" w:eastAsia="Times New Roman" w:hAnsi="Poppins" w:cs="Poppins"/>
          <w:b/>
          <w:bCs/>
          <w:sz w:val="51"/>
          <w:szCs w:val="51"/>
        </w:rPr>
      </w:pPr>
      <w:r w:rsidRPr="00D57F89">
        <w:rPr>
          <w:rFonts w:ascii="Poppins" w:eastAsia="Times New Roman" w:hAnsi="Poppins" w:cs="Poppins"/>
          <w:b/>
          <w:bCs/>
          <w:sz w:val="51"/>
          <w:szCs w:val="51"/>
        </w:rPr>
        <w:t>¿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Qué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consecuencias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negativas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puede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tener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?</w:t>
      </w:r>
    </w:p>
    <w:p w14:paraId="6BA49CCE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 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 u overfitting</w:t>
      </w: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palabras,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demasiada</w:t>
      </w:r>
      <w:proofErr w:type="spellEnd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información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 de sus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/ 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conocimientos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previos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utilizarla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hacerlo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sencillo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considera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siguiente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ejemplo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científicos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contratan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>proporcionarles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predecir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crecimiento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algún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tipo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plantas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científicos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brindado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información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recopilada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trabajo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dichas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plantas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durante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todo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año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continuamente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brindarán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información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desarrollo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futuro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plantación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252085AF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Entonces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revisa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recibidos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crea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partir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Ahora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supón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has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considerado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tantas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posible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averiguar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siempre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comportamiento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exacto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plantas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viste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inicial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Ahora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continúa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producción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siempre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tendrás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producirás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resultados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muy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Sin embargo,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plantación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eventualmente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sufre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algún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cambio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estacional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resultados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recibirás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ajustarse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tal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manera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comenzarán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fallar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6BB54996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Además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ser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incapaz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detectar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variaciones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tan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pequeñas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clasificar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sus entradas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manera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incorrecta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detalle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decir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la gran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cantidad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variables,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hacer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demasiado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costoso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Ahora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imagina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ya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no solo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hará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clasificación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/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evaluación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muy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sino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probablemente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hará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equivoques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por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mínima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variación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entrada.</w:t>
      </w:r>
    </w:p>
    <w:p w14:paraId="24D4F67B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empíricamente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Supón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divides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dos,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aquel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rendimiento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mucho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A menudo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observa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también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general,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adicionales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no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están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1900913F" w14:textId="77777777" w:rsidR="00D57F89" w:rsidRPr="00D57F89" w:rsidRDefault="00D57F89" w:rsidP="00D57F8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sz w:val="51"/>
          <w:szCs w:val="51"/>
        </w:rPr>
      </w:pPr>
      <w:r w:rsidRPr="00D57F89">
        <w:rPr>
          <w:rFonts w:ascii="Poppins" w:eastAsia="Times New Roman" w:hAnsi="Poppins" w:cs="Poppins"/>
          <w:b/>
          <w:bCs/>
          <w:sz w:val="51"/>
          <w:szCs w:val="51"/>
        </w:rPr>
        <w:t>¿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Cómo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detectar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el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overfitting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en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un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modelo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predictivo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?</w:t>
      </w:r>
    </w:p>
    <w:p w14:paraId="45D0D914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Detectar</w:t>
      </w:r>
      <w:proofErr w:type="spellEnd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 overfitting</w:t>
      </w: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 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casi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imposible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antes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probar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ayudar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gram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</w:t>
      </w:r>
      <w:proofErr w:type="gram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abordar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inherente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que es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incapacidad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generalizar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Por lo tanto,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separar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diferentes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subconjuntos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facilitar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dividen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partes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principales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decir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un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un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7824C122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 </w:t>
      </w:r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 xml:space="preserve">conjunto de </w:t>
      </w:r>
      <w:proofErr w:type="spellStart"/>
      <w:r w:rsidRPr="00D57F8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representa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mayoría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disponibles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(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alrededor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80%)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El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representa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pequeña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parte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(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aproximadamente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20%) y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probar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 los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nunca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antes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interactuó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Al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segmentar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examinar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rendimiento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 xml:space="preserve">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detectar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ocurre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así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cómo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351232A2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rendimiento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porcentaje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precisión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observado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ambos conjuntos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concluir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presencia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Si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es probable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esté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162D3F4E" w14:textId="77777777" w:rsidR="00D57F89" w:rsidRPr="00D57F89" w:rsidRDefault="00D57F89" w:rsidP="00D57F8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sz w:val="51"/>
          <w:szCs w:val="51"/>
        </w:rPr>
      </w:pPr>
      <w:r w:rsidRPr="00D57F89">
        <w:rPr>
          <w:rFonts w:ascii="Poppins" w:eastAsia="Times New Roman" w:hAnsi="Poppins" w:cs="Poppins"/>
          <w:b/>
          <w:bCs/>
          <w:sz w:val="51"/>
          <w:szCs w:val="51"/>
        </w:rPr>
        <w:t>¿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Cómo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evitar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el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 xml:space="preserve"> overfitting o </w:t>
      </w:r>
      <w:proofErr w:type="spellStart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sobreajuste</w:t>
      </w:r>
      <w:proofErr w:type="spellEnd"/>
      <w:r w:rsidRPr="00D57F89">
        <w:rPr>
          <w:rFonts w:ascii="Poppins" w:eastAsia="Times New Roman" w:hAnsi="Poppins" w:cs="Poppins"/>
          <w:b/>
          <w:bCs/>
          <w:sz w:val="51"/>
          <w:szCs w:val="51"/>
        </w:rPr>
        <w:t>?</w:t>
      </w:r>
    </w:p>
    <w:p w14:paraId="60E24DA1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continuación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muestran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formas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evitar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overfitting:</w:t>
      </w:r>
    </w:p>
    <w:p w14:paraId="64C8FF77" w14:textId="77777777" w:rsidR="00D57F89" w:rsidRPr="00D57F89" w:rsidRDefault="00D57F89" w:rsidP="00D57F89">
      <w:pPr>
        <w:shd w:val="clear" w:color="auto" w:fill="FFFFFF"/>
        <w:spacing w:before="450" w:after="270" w:line="240" w:lineRule="auto"/>
        <w:outlineLvl w:val="2"/>
        <w:rPr>
          <w:rFonts w:ascii="Poppins" w:eastAsia="Times New Roman" w:hAnsi="Poppins" w:cs="Poppins"/>
          <w:b/>
          <w:bCs/>
          <w:sz w:val="39"/>
          <w:szCs w:val="39"/>
        </w:rPr>
      </w:pP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Entrenamiento</w:t>
      </w:r>
      <w:proofErr w:type="spellEnd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 xml:space="preserve"> con </w:t>
      </w: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más</w:t>
      </w:r>
      <w:proofErr w:type="spellEnd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datos</w:t>
      </w:r>
      <w:proofErr w:type="spellEnd"/>
    </w:p>
    <w:p w14:paraId="0DFD5A3D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posible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técnica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no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todas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veces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Básicamente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ayuda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gram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</w:t>
      </w:r>
      <w:proofErr w:type="gram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identificar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señal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4B7BA01D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Pero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casos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aumento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también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alimentar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ruido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debemos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asegurarnos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que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estén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limpios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libres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aleatoriedad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inconsistencias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60BA5D16" w14:textId="77777777" w:rsidR="00D57F89" w:rsidRPr="00D57F89" w:rsidRDefault="00D57F89" w:rsidP="00D57F89">
      <w:pPr>
        <w:shd w:val="clear" w:color="auto" w:fill="FFFFFF"/>
        <w:spacing w:before="450" w:after="270" w:line="240" w:lineRule="auto"/>
        <w:outlineLvl w:val="2"/>
        <w:rPr>
          <w:rFonts w:ascii="Poppins" w:eastAsia="Times New Roman" w:hAnsi="Poppins" w:cs="Poppins"/>
          <w:b/>
          <w:bCs/>
          <w:sz w:val="39"/>
          <w:szCs w:val="39"/>
        </w:rPr>
      </w:pP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Detención</w:t>
      </w:r>
      <w:proofErr w:type="spellEnd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anticipada</w:t>
      </w:r>
      <w:proofErr w:type="spellEnd"/>
    </w:p>
    <w:p w14:paraId="68920C0D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está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rendimiento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Podemos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hacer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hasta un punto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rendimiento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Después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generalización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debilita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después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45E5409D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Entonces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básicamente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detención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anticipada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antes de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punto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donde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comienza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sobreajustarse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técnica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principalmente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profundo.</w:t>
      </w:r>
    </w:p>
    <w:p w14:paraId="06ECA479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Nunito" w:eastAsia="Times New Roman" w:hAnsi="Nunito" w:cs="Times New Roman"/>
          <w:b/>
          <w:bCs/>
          <w:color w:val="000000"/>
          <w:sz w:val="32"/>
          <w:szCs w:val="32"/>
        </w:rPr>
        <w:t>Eliminación</w:t>
      </w:r>
      <w:proofErr w:type="spellEnd"/>
      <w:r w:rsidRPr="00D57F89">
        <w:rPr>
          <w:rFonts w:ascii="Nunito" w:eastAsia="Times New Roman" w:hAnsi="Nunito" w:cs="Times New Roman"/>
          <w:b/>
          <w:bCs/>
          <w:color w:val="000000"/>
          <w:sz w:val="32"/>
          <w:szCs w:val="32"/>
        </w:rPr>
        <w:t xml:space="preserve"> de </w:t>
      </w:r>
      <w:proofErr w:type="spellStart"/>
      <w:r w:rsidRPr="00D57F89">
        <w:rPr>
          <w:rFonts w:ascii="Nunito" w:eastAsia="Times New Roman" w:hAnsi="Nunito" w:cs="Times New Roman"/>
          <w:b/>
          <w:bCs/>
          <w:color w:val="000000"/>
          <w:sz w:val="32"/>
          <w:szCs w:val="32"/>
        </w:rPr>
        <w:t>funciones</w:t>
      </w:r>
      <w:proofErr w:type="spellEnd"/>
    </w:p>
    <w:p w14:paraId="3F6E7CD7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Aunque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selección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automática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funciones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Para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número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significativo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aquellos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no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tienen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selección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incorporada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>eliminar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manualmente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irrelevantes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entrada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generalización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0CB81781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Una forma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hacerlo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derivar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conclusión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cómo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encaja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bastante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similar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depurar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código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línea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por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línea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0D6A69B6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que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no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explicar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relevancia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simplemente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identificar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Incluso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usar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algunas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heurísticas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selección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características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buen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partida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46662749" w14:textId="77777777" w:rsidR="00D57F89" w:rsidRPr="00D57F89" w:rsidRDefault="00D57F89" w:rsidP="00D57F89">
      <w:pPr>
        <w:shd w:val="clear" w:color="auto" w:fill="FFFFFF"/>
        <w:spacing w:before="450" w:after="270" w:line="240" w:lineRule="auto"/>
        <w:outlineLvl w:val="2"/>
        <w:rPr>
          <w:rFonts w:ascii="Poppins" w:eastAsia="Times New Roman" w:hAnsi="Poppins" w:cs="Poppins"/>
          <w:b/>
          <w:bCs/>
          <w:sz w:val="39"/>
          <w:szCs w:val="39"/>
        </w:rPr>
      </w:pP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Ensamblaje</w:t>
      </w:r>
      <w:proofErr w:type="spellEnd"/>
    </w:p>
    <w:p w14:paraId="57FDEFE3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técnica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básicamente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combina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diferentes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Machine Learning.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continuación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enumeran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dos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métodos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comunes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ensamblar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:</w:t>
      </w:r>
    </w:p>
    <w:p w14:paraId="43E8C589" w14:textId="77777777" w:rsidR="00D57F89" w:rsidRPr="00D57F89" w:rsidRDefault="00D57F89" w:rsidP="00D57F89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embolsado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reducir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posibilidad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</w:p>
    <w:p w14:paraId="53EEEC17" w14:textId="77777777" w:rsidR="00D57F89" w:rsidRPr="00D57F89" w:rsidRDefault="00D57F89" w:rsidP="00D57F89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Impulsar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flexibilidad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predictiva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más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simples</w:t>
      </w:r>
    </w:p>
    <w:p w14:paraId="0FE40799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Aunque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ambos son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métodos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conjunto,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enfoque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comienza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totalmente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direcciones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opuestas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Bagging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usa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base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suavizar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sus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predicciones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mientras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impulso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usa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base simples 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intenta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aumentar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complejidad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agregada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3A0438DF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Nunito" w:eastAsia="Times New Roman" w:hAnsi="Nunito" w:cs="Times New Roman"/>
          <w:b/>
          <w:bCs/>
          <w:color w:val="000000"/>
          <w:sz w:val="32"/>
          <w:szCs w:val="32"/>
        </w:rPr>
        <w:t xml:space="preserve">Parada </w:t>
      </w:r>
      <w:proofErr w:type="spellStart"/>
      <w:r w:rsidRPr="00D57F89">
        <w:rPr>
          <w:rFonts w:ascii="Nunito" w:eastAsia="Times New Roman" w:hAnsi="Nunito" w:cs="Times New Roman"/>
          <w:b/>
          <w:bCs/>
          <w:color w:val="000000"/>
          <w:sz w:val="32"/>
          <w:szCs w:val="32"/>
        </w:rPr>
        <w:t>anticipada</w:t>
      </w:r>
      <w:proofErr w:type="spellEnd"/>
    </w:p>
    <w:p w14:paraId="4F069701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Cuando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forma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iterativa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qué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tan bien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desempeña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4ADBF2F4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Hasta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cierto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número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las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nuevas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iteraciones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mejoran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Sin embargo,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después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ese punto,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capacidad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del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generalizar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puede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debilitarse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comienza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sobreajustarse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73046290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detención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anticipada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refiere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detener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proceso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capacitación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antes de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alumno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pase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ese punto.</w:t>
      </w:r>
    </w:p>
    <w:p w14:paraId="0A462C0C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Hoy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día,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técnica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principalmente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profundo,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mientras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que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otras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técnicas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prefieren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aprendizaje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automático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clásico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4114740B" w14:textId="77777777" w:rsidR="00D57F89" w:rsidRPr="00D57F89" w:rsidRDefault="00D57F89" w:rsidP="00D57F89">
      <w:pPr>
        <w:shd w:val="clear" w:color="auto" w:fill="FFFFFF"/>
        <w:spacing w:before="450" w:after="270" w:line="240" w:lineRule="auto"/>
        <w:outlineLvl w:val="2"/>
        <w:rPr>
          <w:rFonts w:ascii="Poppins" w:eastAsia="Times New Roman" w:hAnsi="Poppins" w:cs="Poppins"/>
          <w:b/>
          <w:bCs/>
          <w:sz w:val="39"/>
          <w:szCs w:val="39"/>
        </w:rPr>
      </w:pP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Validación</w:t>
      </w:r>
      <w:proofErr w:type="spellEnd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 xml:space="preserve"> </w:t>
      </w:r>
      <w:proofErr w:type="spellStart"/>
      <w:r w:rsidRPr="00D57F89">
        <w:rPr>
          <w:rFonts w:ascii="Poppins" w:eastAsia="Times New Roman" w:hAnsi="Poppins" w:cs="Poppins"/>
          <w:b/>
          <w:bCs/>
          <w:sz w:val="39"/>
          <w:szCs w:val="39"/>
        </w:rPr>
        <w:t>cruzada</w:t>
      </w:r>
      <w:proofErr w:type="spellEnd"/>
    </w:p>
    <w:p w14:paraId="48B49FDD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 xml:space="preserve">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validación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cruzada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es una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poderosa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medida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preventiva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contra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sobreajuste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5465C144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La idea es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inteligente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: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usa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inicial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generar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múltiples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divisiones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mini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tren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Utiliza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divisiones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ajustar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14:paraId="5EB441B1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validación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cruzada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estándar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de k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veces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dividimos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k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subconjuntos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llamados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pliegues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Luego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,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iterativamente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algoritmo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k-1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pliegues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mientras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usamos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el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pliegue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restante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(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llamado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“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pliegue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reservado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”).</w:t>
      </w:r>
    </w:p>
    <w:p w14:paraId="44490409" w14:textId="77777777" w:rsidR="00D57F89" w:rsidRPr="00D57F89" w:rsidRDefault="00D57F89" w:rsidP="00D57F89">
      <w:pPr>
        <w:shd w:val="clear" w:color="auto" w:fill="FFFFFF"/>
        <w:spacing w:after="40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La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validación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cruzada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permite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ajustar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los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hiperparámetros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solo con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entrenamiento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original.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Esto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permite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mantener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prueba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como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un conjunto de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datos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realmente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invisible para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seleccionar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tu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>modelo</w:t>
      </w:r>
      <w:proofErr w:type="spellEnd"/>
      <w:r w:rsidRPr="00D57F89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final.</w:t>
      </w:r>
    </w:p>
    <w:p w14:paraId="2CC4C7CD" w14:textId="77777777" w:rsidR="004F2A0E" w:rsidRDefault="004F2A0E"/>
    <w:sectPr w:rsidR="004F2A0E" w:rsidSect="00D57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DE7"/>
    <w:multiLevelType w:val="multilevel"/>
    <w:tmpl w:val="FED2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41F7"/>
    <w:multiLevelType w:val="multilevel"/>
    <w:tmpl w:val="D53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12922"/>
    <w:multiLevelType w:val="multilevel"/>
    <w:tmpl w:val="61B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89"/>
    <w:rsid w:val="001D5579"/>
    <w:rsid w:val="004F2A0E"/>
    <w:rsid w:val="00D11250"/>
    <w:rsid w:val="00D57F8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5E7"/>
  <w15:chartTrackingRefBased/>
  <w15:docId w15:val="{C0447705-B678-477F-9330-F827D77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F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7F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2022-01-18T18:39:00Z</dcterms:created>
  <dcterms:modified xsi:type="dcterms:W3CDTF">2022-01-18T18:39:00Z</dcterms:modified>
</cp:coreProperties>
</file>