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88E4" w14:textId="56E82923" w:rsidR="003F7446" w:rsidRDefault="003F7446">
      <w:pPr>
        <w:rPr>
          <w:rFonts w:ascii="Open Sans" w:hAnsi="Open Sans"/>
          <w:color w:val="666666"/>
          <w:shd w:val="clear" w:color="auto" w:fill="FFFFFF"/>
        </w:rPr>
      </w:pPr>
      <w:r w:rsidRPr="003F7446">
        <w:rPr>
          <w:rFonts w:ascii="Open Sans" w:hAnsi="Open Sans"/>
          <w:color w:val="666666"/>
          <w:shd w:val="clear" w:color="auto" w:fill="FFFFFF"/>
        </w:rPr>
        <w:t>https://www.luisllamas.es/que-es-mqtt-su-importancia-como-protocolo-iot/</w:t>
      </w:r>
    </w:p>
    <w:p w14:paraId="24A88FA3" w14:textId="39E237CD" w:rsidR="0088657B" w:rsidRDefault="003F7446">
      <w:pPr>
        <w:rPr>
          <w:rFonts w:ascii="Open Sans" w:hAnsi="Open Sans"/>
          <w:color w:val="666666"/>
          <w:shd w:val="clear" w:color="auto" w:fill="FFFFFF"/>
        </w:rPr>
      </w:pPr>
      <w:r>
        <w:rPr>
          <w:rFonts w:ascii="Open Sans" w:hAnsi="Open Sans"/>
          <w:color w:val="666666"/>
          <w:shd w:val="clear" w:color="auto" w:fill="FFFFFF"/>
        </w:rPr>
        <w:t xml:space="preserve">MQTT,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el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protocolo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de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comunicación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Machine to Machine (M2M) que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tanta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popularidad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está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alcanzando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para la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comunicación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entre </w:t>
      </w:r>
      <w:proofErr w:type="spellStart"/>
      <w:r>
        <w:rPr>
          <w:rFonts w:ascii="Open Sans" w:hAnsi="Open Sans"/>
          <w:color w:val="666666"/>
          <w:shd w:val="clear" w:color="auto" w:fill="FFFFFF"/>
        </w:rPr>
        <w:t>dispositivos</w:t>
      </w:r>
      <w:proofErr w:type="spellEnd"/>
      <w:r>
        <w:rPr>
          <w:rFonts w:ascii="Open Sans" w:hAnsi="Open Sans"/>
          <w:color w:val="666666"/>
          <w:shd w:val="clear" w:color="auto" w:fill="FFFFFF"/>
        </w:rPr>
        <w:t xml:space="preserve"> de IoT.</w:t>
      </w:r>
    </w:p>
    <w:p w14:paraId="5768A85E" w14:textId="77777777" w:rsidR="003F7446" w:rsidRDefault="003F7446" w:rsidP="003F7446">
      <w:pPr>
        <w:pStyle w:val="Normal1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 w:cs="Open Sans"/>
          <w:color w:val="666666"/>
          <w:sz w:val="25"/>
          <w:szCs w:val="25"/>
        </w:rPr>
      </w:pPr>
      <w:r>
        <w:rPr>
          <w:rFonts w:ascii="Open Sans" w:hAnsi="Open Sans" w:cs="Open Sans"/>
          <w:color w:val="666666"/>
          <w:sz w:val="25"/>
          <w:szCs w:val="25"/>
        </w:rPr>
        <w:t xml:space="preserve">MQTT son las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siglas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MQ Telemetry Transport,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aunque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primer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lugar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fue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conocido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como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Message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Queing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Telemetry Transport. </w:t>
      </w:r>
    </w:p>
    <w:p w14:paraId="27C68E56" w14:textId="21A74E0D" w:rsidR="003F7446" w:rsidRDefault="003F7446" w:rsidP="00287F42">
      <w:pPr>
        <w:pStyle w:val="Normal1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666666"/>
          <w:sz w:val="25"/>
          <w:szCs w:val="25"/>
        </w:rPr>
      </w:pPr>
      <w:r>
        <w:rPr>
          <w:rFonts w:ascii="Open Sans" w:hAnsi="Open Sans" w:cs="Open Sans"/>
          <w:color w:val="666666"/>
          <w:sz w:val="25"/>
          <w:szCs w:val="25"/>
        </w:rPr>
        <w:t>Es un </w:t>
      </w:r>
      <w:proofErr w:type="spellStart"/>
      <w:r>
        <w:rPr>
          <w:rStyle w:val="Strong"/>
          <w:rFonts w:ascii="Open Sans" w:hAnsi="Open Sans" w:cs="Open Sans"/>
          <w:color w:val="666666"/>
          <w:sz w:val="25"/>
          <w:szCs w:val="25"/>
        </w:rPr>
        <w:t>protocolo</w:t>
      </w:r>
      <w:proofErr w:type="spellEnd"/>
      <w:r>
        <w:rPr>
          <w:rStyle w:val="Strong"/>
          <w:rFonts w:ascii="Open Sans" w:hAnsi="Open Sans" w:cs="Open Sans"/>
          <w:color w:val="666666"/>
          <w:sz w:val="25"/>
          <w:szCs w:val="25"/>
        </w:rPr>
        <w:t xml:space="preserve"> de </w:t>
      </w:r>
      <w:proofErr w:type="spellStart"/>
      <w:r>
        <w:rPr>
          <w:rStyle w:val="Strong"/>
          <w:rFonts w:ascii="Open Sans" w:hAnsi="Open Sans" w:cs="Open Sans"/>
          <w:color w:val="666666"/>
          <w:sz w:val="25"/>
          <w:szCs w:val="25"/>
        </w:rPr>
        <w:t>comunicación</w:t>
      </w:r>
      <w:proofErr w:type="spellEnd"/>
      <w:r>
        <w:rPr>
          <w:rStyle w:val="Strong"/>
          <w:rFonts w:ascii="Open Sans" w:hAnsi="Open Sans" w:cs="Open Sans"/>
          <w:color w:val="666666"/>
          <w:sz w:val="25"/>
          <w:szCs w:val="25"/>
        </w:rPr>
        <w:t xml:space="preserve"> M2M (machine-to-machine) de </w:t>
      </w:r>
      <w:proofErr w:type="spellStart"/>
      <w:r>
        <w:rPr>
          <w:rStyle w:val="Strong"/>
          <w:rFonts w:ascii="Open Sans" w:hAnsi="Open Sans" w:cs="Open Sans"/>
          <w:color w:val="666666"/>
          <w:sz w:val="25"/>
          <w:szCs w:val="25"/>
        </w:rPr>
        <w:t>tipo</w:t>
      </w:r>
      <w:proofErr w:type="spellEnd"/>
      <w:r>
        <w:rPr>
          <w:rStyle w:val="Strong"/>
          <w:rFonts w:ascii="Open Sans" w:hAnsi="Open Sans" w:cs="Open Sans"/>
          <w:color w:val="666666"/>
          <w:sz w:val="25"/>
          <w:szCs w:val="25"/>
        </w:rPr>
        <w:t xml:space="preserve"> message queue</w:t>
      </w:r>
      <w:r w:rsidR="00287F42">
        <w:rPr>
          <w:rFonts w:ascii="Open Sans" w:hAnsi="Open Sans" w:cs="Open Sans"/>
          <w:color w:val="666666"/>
          <w:sz w:val="25"/>
          <w:szCs w:val="25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666666"/>
          <w:sz w:val="25"/>
          <w:szCs w:val="25"/>
        </w:rPr>
        <w:t>basado</w:t>
      </w:r>
      <w:proofErr w:type="spellEnd"/>
      <w:r>
        <w:rPr>
          <w:rStyle w:val="Strong"/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Style w:val="Strong"/>
          <w:rFonts w:ascii="Open Sans" w:hAnsi="Open Sans" w:cs="Open Sans"/>
          <w:color w:val="666666"/>
          <w:sz w:val="25"/>
          <w:szCs w:val="25"/>
        </w:rPr>
        <w:t xml:space="preserve"> la pila TCP/IP</w:t>
      </w:r>
      <w:r>
        <w:rPr>
          <w:rFonts w:ascii="Open Sans" w:hAnsi="Open Sans" w:cs="Open Sans"/>
          <w:color w:val="666666"/>
          <w:sz w:val="25"/>
          <w:szCs w:val="25"/>
        </w:rPr>
        <w:t> 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como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base para la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comunicación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.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el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caso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de MQTT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cada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conexión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mantiene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abierta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y se "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reutiliza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"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cada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comunicación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. Es una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diferencia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, por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ejemplo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, a una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petición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HTTP 1.0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donde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cada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transmisión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se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realiza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través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conexión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>.</w:t>
      </w:r>
    </w:p>
    <w:p w14:paraId="074F4D3E" w14:textId="77777777" w:rsidR="003F7446" w:rsidRDefault="003F7446" w:rsidP="003F7446">
      <w:pPr>
        <w:pStyle w:val="Normal1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 w:cs="Open Sans"/>
          <w:color w:val="666666"/>
          <w:sz w:val="25"/>
          <w:szCs w:val="25"/>
        </w:rPr>
      </w:pPr>
      <w:r>
        <w:rPr>
          <w:rFonts w:ascii="Open Sans" w:hAnsi="Open Sans" w:cs="Open Sans"/>
          <w:color w:val="666666"/>
          <w:sz w:val="25"/>
          <w:szCs w:val="25"/>
        </w:rPr>
        <w:t xml:space="preserve">MQTT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fue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creado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por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el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Dr. Andy Stanford-Clark de IBM y Arlen Nipper de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Arcom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(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ahora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Eurotech)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1999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como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un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mecanismo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para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conectar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dispositivos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empleados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la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industria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petrolera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>.</w:t>
      </w:r>
    </w:p>
    <w:p w14:paraId="0852E864" w14:textId="77777777" w:rsidR="003F7446" w:rsidRDefault="003F7446" w:rsidP="003F7446">
      <w:pPr>
        <w:pStyle w:val="Normal1"/>
        <w:shd w:val="clear" w:color="auto" w:fill="FFFFFF"/>
        <w:spacing w:before="0" w:beforeAutospacing="0" w:after="360" w:afterAutospacing="0"/>
        <w:ind w:firstLine="480"/>
        <w:jc w:val="both"/>
        <w:rPr>
          <w:rFonts w:ascii="Open Sans" w:hAnsi="Open Sans" w:cs="Open Sans"/>
          <w:color w:val="666666"/>
          <w:sz w:val="25"/>
          <w:szCs w:val="25"/>
        </w:rPr>
      </w:pPr>
      <w:proofErr w:type="spellStart"/>
      <w:r>
        <w:rPr>
          <w:rFonts w:ascii="Open Sans" w:hAnsi="Open Sans" w:cs="Open Sans"/>
          <w:color w:val="666666"/>
          <w:sz w:val="25"/>
          <w:szCs w:val="25"/>
        </w:rPr>
        <w:t>Aunque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inicialmente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era un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formato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propietario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,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2010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fue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liberado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y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pasó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a ser un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estándar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en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2014 </w:t>
      </w:r>
      <w:proofErr w:type="spellStart"/>
      <w:r>
        <w:rPr>
          <w:rFonts w:ascii="Open Sans" w:hAnsi="Open Sans" w:cs="Open Sans"/>
          <w:color w:val="666666"/>
          <w:sz w:val="25"/>
          <w:szCs w:val="25"/>
        </w:rPr>
        <w:t>según</w:t>
      </w:r>
      <w:proofErr w:type="spellEnd"/>
      <w:r>
        <w:rPr>
          <w:rFonts w:ascii="Open Sans" w:hAnsi="Open Sans" w:cs="Open Sans"/>
          <w:color w:val="666666"/>
          <w:sz w:val="25"/>
          <w:szCs w:val="25"/>
        </w:rPr>
        <w:t xml:space="preserve"> la OASIS (Organization for the Advancement of Structured Information Standards).</w:t>
      </w:r>
    </w:p>
    <w:p w14:paraId="32AA146E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t>¿CÓMO FUNCIONA EL MQTT?</w:t>
      </w:r>
    </w:p>
    <w:p w14:paraId="41DE93E1" w14:textId="726E8496" w:rsid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funcionamiento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MQTT es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un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servicio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mensajería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push con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patrón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publicador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/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suscriptor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(pub-sub)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Como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vimos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entrada anterior,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tipo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infraestructuras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 xml:space="preserve">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>clientes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>conectan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 xml:space="preserve"> con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>servidor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 xml:space="preserve"> central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>denominado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  <w:highlight w:val="yellow"/>
        </w:rPr>
        <w:t xml:space="preserve"> broker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2"/>
        <w:gridCol w:w="5148"/>
      </w:tblGrid>
      <w:tr w:rsidR="00697ECC" w14:paraId="64C51382" w14:textId="77777777" w:rsidTr="00697ECC">
        <w:tc>
          <w:tcPr>
            <w:tcW w:w="5665" w:type="dxa"/>
          </w:tcPr>
          <w:p w14:paraId="5C23C193" w14:textId="6A917A77" w:rsidR="00697ECC" w:rsidRDefault="00697ECC" w:rsidP="00697ECC">
            <w:pPr>
              <w:shd w:val="clear" w:color="auto" w:fill="FFFFFF"/>
              <w:spacing w:after="360"/>
              <w:ind w:firstLine="48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Para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filtrar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los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que son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enviados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a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cada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cliente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 </w:t>
            </w:r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 xml:space="preserve">los </w:t>
            </w:r>
            <w:proofErr w:type="spellStart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 xml:space="preserve"> se </w:t>
            </w:r>
            <w:proofErr w:type="spellStart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>disponen</w:t>
            </w:r>
            <w:proofErr w:type="spellEnd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>en</w:t>
            </w:r>
            <w:proofErr w:type="spellEnd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 xml:space="preserve"> topics </w:t>
            </w:r>
            <w:proofErr w:type="spellStart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>organizados</w:t>
            </w:r>
            <w:proofErr w:type="spellEnd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b/>
                <w:bCs/>
                <w:color w:val="666666"/>
                <w:sz w:val="25"/>
                <w:szCs w:val="25"/>
              </w:rPr>
              <w:t>jerárquicamente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. </w:t>
            </w:r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Un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cliente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puede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publicar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un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mensaje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en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un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determinado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topic.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Otros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clientes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pueden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suscribirse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gram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a</w:t>
            </w:r>
            <w:proofErr w:type="gram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este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topic, y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broker le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hará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llegar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los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suscritos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  <w:highlight w:val="yellow"/>
              </w:rPr>
              <w:t>.</w:t>
            </w:r>
          </w:p>
        </w:tc>
        <w:tc>
          <w:tcPr>
            <w:tcW w:w="5125" w:type="dxa"/>
          </w:tcPr>
          <w:p w14:paraId="62C6194A" w14:textId="26369580" w:rsidR="00697ECC" w:rsidRDefault="00697ECC" w:rsidP="00697ECC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 w:rsidRPr="003F7446">
              <w:rPr>
                <w:rFonts w:ascii="Open Sans" w:eastAsia="Times New Roman" w:hAnsi="Open Sans" w:cs="Open Sans"/>
                <w:noProof/>
                <w:color w:val="666666"/>
                <w:sz w:val="21"/>
                <w:szCs w:val="21"/>
              </w:rPr>
              <w:drawing>
                <wp:inline distT="0" distB="0" distL="0" distR="0" wp14:anchorId="1712248C" wp14:editId="232C4BD8">
                  <wp:extent cx="3131849" cy="11332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031" cy="1143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08171" w14:textId="77777777" w:rsidR="00697ECC" w:rsidRDefault="00697ECC" w:rsidP="00697ECC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</w:p>
    <w:p w14:paraId="6318A495" w14:textId="09C083E4" w:rsidR="003F7446" w:rsidRDefault="003F7446" w:rsidP="00697ECC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inician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conexión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TCP/IP con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broker,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cual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mantiene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registro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conectados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conexión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mantiene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abierta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hasta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finaliza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defecto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MQTT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emplea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puerto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1883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8883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cuando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funciona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sobre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TLS.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4"/>
        <w:gridCol w:w="4056"/>
      </w:tblGrid>
      <w:tr w:rsidR="00697ECC" w14:paraId="5DD65CA5" w14:textId="77777777" w:rsidTr="00287F42">
        <w:trPr>
          <w:trHeight w:val="2123"/>
        </w:trPr>
        <w:tc>
          <w:tcPr>
            <w:tcW w:w="7105" w:type="dxa"/>
          </w:tcPr>
          <w:p w14:paraId="483A71C2" w14:textId="791584E7" w:rsidR="00697ECC" w:rsidRDefault="00697ECC" w:rsidP="00697ECC">
            <w:pPr>
              <w:shd w:val="clear" w:color="auto" w:fill="FFFFFF"/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lastRenderedPageBreak/>
              <w:t>E</w:t>
            </w:r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l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cliente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envía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un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CONNECT con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información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necesaria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(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nombre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de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usuario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,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contraseña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, client-id…). El broker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responde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con un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CONNACK, que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contiene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resultado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de la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conexión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(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aceptada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,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rechazada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,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etc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).</w:t>
            </w:r>
          </w:p>
        </w:tc>
        <w:tc>
          <w:tcPr>
            <w:tcW w:w="3685" w:type="dxa"/>
          </w:tcPr>
          <w:p w14:paraId="052B011D" w14:textId="40EFEF05" w:rsidR="00697ECC" w:rsidRDefault="00287F42" w:rsidP="00697ECC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>
              <w:object w:dxaOrig="3840" w:dyaOrig="1005" w14:anchorId="3DE2CD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192.2pt;height:50.45pt" o:ole="">
                  <v:imagedata r:id="rId6" o:title=""/>
                </v:shape>
                <o:OLEObject Type="Embed" ProgID="PBrush" ShapeID="_x0000_i1114" DrawAspect="Content" ObjectID="_1685731554" r:id="rId7"/>
              </w:object>
            </w:r>
          </w:p>
        </w:tc>
      </w:tr>
      <w:tr w:rsidR="00697ECC" w14:paraId="3EB0EF34" w14:textId="77777777" w:rsidTr="00287F42">
        <w:trPr>
          <w:trHeight w:val="1151"/>
        </w:trPr>
        <w:tc>
          <w:tcPr>
            <w:tcW w:w="7105" w:type="dxa"/>
          </w:tcPr>
          <w:p w14:paraId="03AD1F1B" w14:textId="7386C812" w:rsidR="00697ECC" w:rsidRDefault="00697ECC" w:rsidP="00697ECC">
            <w:pPr>
              <w:shd w:val="clear" w:color="auto" w:fill="FFFFFF"/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Para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enviar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los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cliente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emplea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PUBLISH, que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contienen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topic y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payload.</w:t>
            </w:r>
          </w:p>
        </w:tc>
        <w:tc>
          <w:tcPr>
            <w:tcW w:w="3685" w:type="dxa"/>
          </w:tcPr>
          <w:p w14:paraId="238EF746" w14:textId="66B0A688" w:rsidR="00697ECC" w:rsidRDefault="00287F42" w:rsidP="00697ECC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>
              <w:object w:dxaOrig="3555" w:dyaOrig="915" w14:anchorId="38EC922D">
                <v:shape id="_x0000_i1115" type="#_x0000_t75" style="width:178pt;height:45.9pt" o:ole="">
                  <v:imagedata r:id="rId8" o:title=""/>
                </v:shape>
                <o:OLEObject Type="Embed" ProgID="PBrush" ShapeID="_x0000_i1115" DrawAspect="Content" ObjectID="_1685731555" r:id="rId9"/>
              </w:object>
            </w:r>
          </w:p>
        </w:tc>
      </w:tr>
      <w:tr w:rsidR="00697ECC" w14:paraId="2944E00E" w14:textId="77777777" w:rsidTr="00287F42">
        <w:trPr>
          <w:trHeight w:val="1259"/>
        </w:trPr>
        <w:tc>
          <w:tcPr>
            <w:tcW w:w="7105" w:type="dxa"/>
          </w:tcPr>
          <w:p w14:paraId="24D56F44" w14:textId="706AE6AA" w:rsidR="00697ECC" w:rsidRDefault="00697ECC" w:rsidP="00697ECC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Para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suscribirse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y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desuscribirse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se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emplean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mensajes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SUBSCRIBE y UNSUSCRIBE, que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el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servidor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</w:t>
            </w:r>
            <w:proofErr w:type="spellStart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>responde</w:t>
            </w:r>
            <w:proofErr w:type="spellEnd"/>
            <w:r w:rsidRPr="003F7446"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  <w:t xml:space="preserve"> con SUBACK y UNSUBACK.</w:t>
            </w:r>
          </w:p>
        </w:tc>
        <w:tc>
          <w:tcPr>
            <w:tcW w:w="3685" w:type="dxa"/>
          </w:tcPr>
          <w:p w14:paraId="2B1A4139" w14:textId="71F652DD" w:rsidR="00697ECC" w:rsidRDefault="00287F42" w:rsidP="00697ECC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  <w:sz w:val="25"/>
                <w:szCs w:val="25"/>
              </w:rPr>
            </w:pPr>
            <w:r>
              <w:object w:dxaOrig="3525" w:dyaOrig="915" w14:anchorId="259576AB">
                <v:shape id="_x0000_i1116" type="#_x0000_t75" style="width:176.3pt;height:45.9pt" o:ole="">
                  <v:imagedata r:id="rId10" o:title=""/>
                </v:shape>
                <o:OLEObject Type="Embed" ProgID="PBrush" ShapeID="_x0000_i1116" DrawAspect="Content" ObjectID="_1685731556" r:id="rId11"/>
              </w:object>
            </w:r>
          </w:p>
        </w:tc>
      </w:tr>
    </w:tbl>
    <w:p w14:paraId="6CF21D0C" w14:textId="77777777" w:rsidR="00287F42" w:rsidRDefault="00287F42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</w:p>
    <w:p w14:paraId="70CD7F81" w14:textId="69A7FF18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otro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lado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para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asegurar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conexión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está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activa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mandan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periódicamente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PINGREQ que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respondido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servidor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con un PINGRESP.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Finalmente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desconecta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enviando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DISCONNECT.</w:t>
      </w:r>
    </w:p>
    <w:p w14:paraId="16A17CCA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t>ESTRUCTURA DE UN MENSAJE MQTT</w:t>
      </w:r>
    </w:p>
    <w:p w14:paraId="4C3D0DD9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Uno de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componentes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más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importantes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 es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la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definición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tipología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los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ya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son una de las bases de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agilidad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radica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su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fortaleza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Cada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consta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3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partes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:</w:t>
      </w:r>
    </w:p>
    <w:p w14:paraId="5D492E13" w14:textId="292B7D4F" w:rsidR="003F7446" w:rsidRPr="003F7446" w:rsidRDefault="003F7446" w:rsidP="003F744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noProof/>
          <w:color w:val="666666"/>
          <w:sz w:val="21"/>
          <w:szCs w:val="21"/>
        </w:rPr>
        <w:drawing>
          <wp:inline distT="0" distB="0" distL="0" distR="0" wp14:anchorId="67AEA984" wp14:editId="7CFDA18C">
            <wp:extent cx="4802505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6C7D" w14:textId="77777777" w:rsidR="003F7446" w:rsidRPr="003F7446" w:rsidRDefault="003F7446" w:rsidP="003F7446">
      <w:pPr>
        <w:numPr>
          <w:ilvl w:val="0"/>
          <w:numId w:val="1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 xml:space="preserve">Cabecera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fija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Ocupa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2 </w:t>
      </w:r>
      <w:proofErr w:type="gram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 5 bytes</w:t>
      </w:r>
      <w:proofErr w:type="gram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obligatorio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Consta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código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control,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identifica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tipo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enviado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y de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longitud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longitud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codifica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1 </w:t>
      </w:r>
      <w:proofErr w:type="gram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 4 bytes</w:t>
      </w:r>
      <w:proofErr w:type="gram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de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cuales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emplean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los 7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primeros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bits,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último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es un bit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continuidad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5C43CC3A" w14:textId="77777777" w:rsidR="003F7446" w:rsidRPr="003F7446" w:rsidRDefault="003F7446" w:rsidP="003F7446">
      <w:pPr>
        <w:numPr>
          <w:ilvl w:val="0"/>
          <w:numId w:val="1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Cabecera variable</w:t>
      </w:r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Opcional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contiene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información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adicional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que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necesaria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ciertos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o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situaciones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2FFEBE97" w14:textId="77777777" w:rsidR="003F7446" w:rsidRPr="003F7446" w:rsidRDefault="003F7446" w:rsidP="003F7446">
      <w:pPr>
        <w:numPr>
          <w:ilvl w:val="0"/>
          <w:numId w:val="1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Contenido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(payload)</w:t>
      </w:r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contenido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real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Puede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tener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máximo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256 Mb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aunque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implementaciones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reales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máximo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es de 2 a 4 kB.</w:t>
      </w:r>
    </w:p>
    <w:p w14:paraId="5AE26173" w14:textId="18E6DA6D" w:rsidR="003F7446" w:rsidRDefault="003F7446" w:rsidP="00287F4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lastRenderedPageBreak/>
        <w:t xml:space="preserve">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tipos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códigos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control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 son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siguientes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6B5650BA" w14:textId="77777777" w:rsidR="00697ECC" w:rsidRDefault="00697ECC" w:rsidP="003F7446">
      <w:pPr>
        <w:shd w:val="clear" w:color="auto" w:fill="FFFFFF"/>
        <w:spacing w:after="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</w:p>
    <w:tbl>
      <w:tblPr>
        <w:tblW w:w="3220" w:type="dxa"/>
        <w:tblLook w:val="04A0" w:firstRow="1" w:lastRow="0" w:firstColumn="1" w:lastColumn="0" w:noHBand="0" w:noVBand="1"/>
      </w:tblPr>
      <w:tblGrid>
        <w:gridCol w:w="2011"/>
        <w:gridCol w:w="1209"/>
      </w:tblGrid>
      <w:tr w:rsidR="00697ECC" w:rsidRPr="00697ECC" w14:paraId="2B779206" w14:textId="77777777" w:rsidTr="00697ECC">
        <w:trPr>
          <w:trHeight w:val="315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FACD6"/>
            <w:vAlign w:val="center"/>
            <w:hideMark/>
          </w:tcPr>
          <w:p w14:paraId="64D32D08" w14:textId="77777777" w:rsidR="00697ECC" w:rsidRPr="00697ECC" w:rsidRDefault="00697ECC" w:rsidP="00697EC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</w:rPr>
              <w:t>Message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FACD6"/>
            <w:vAlign w:val="center"/>
            <w:hideMark/>
          </w:tcPr>
          <w:p w14:paraId="14736F0A" w14:textId="77777777" w:rsidR="00697ECC" w:rsidRPr="00697ECC" w:rsidRDefault="00697ECC" w:rsidP="00697EC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</w:rPr>
              <w:t>Code</w:t>
            </w:r>
          </w:p>
        </w:tc>
      </w:tr>
      <w:tr w:rsidR="00697ECC" w:rsidRPr="00697ECC" w14:paraId="75C28A62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9BD48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CONNECT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F4979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0x10</w:t>
            </w:r>
          </w:p>
        </w:tc>
      </w:tr>
      <w:tr w:rsidR="00697ECC" w:rsidRPr="00697ECC" w14:paraId="75EAF947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3D33A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CONNACK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B3B34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0x20</w:t>
            </w:r>
          </w:p>
        </w:tc>
      </w:tr>
      <w:tr w:rsidR="00697ECC" w:rsidRPr="00697ECC" w14:paraId="4617FE8C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A0C42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PUBLISH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5165E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0x30</w:t>
            </w:r>
          </w:p>
        </w:tc>
      </w:tr>
      <w:tr w:rsidR="00697ECC" w:rsidRPr="00697ECC" w14:paraId="42FAC65A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D1801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PUBACK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E9B5B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0x40</w:t>
            </w:r>
          </w:p>
        </w:tc>
      </w:tr>
      <w:tr w:rsidR="00697ECC" w:rsidRPr="00697ECC" w14:paraId="76E1B816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851CC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PUBREC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6D68D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0x50</w:t>
            </w:r>
          </w:p>
        </w:tc>
      </w:tr>
      <w:tr w:rsidR="00697ECC" w:rsidRPr="00697ECC" w14:paraId="1E7D2626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00E2A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PUBREL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C49EF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0x60</w:t>
            </w:r>
          </w:p>
        </w:tc>
      </w:tr>
      <w:tr w:rsidR="00697ECC" w:rsidRPr="00697ECC" w14:paraId="5A1E302B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D4EDB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PUBCOMP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6F33C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0x70</w:t>
            </w:r>
          </w:p>
        </w:tc>
      </w:tr>
      <w:tr w:rsidR="00697ECC" w:rsidRPr="00697ECC" w14:paraId="08CD7C3C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AC6A0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SUSBSCRBE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2BC45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0x80</w:t>
            </w:r>
          </w:p>
        </w:tc>
      </w:tr>
      <w:tr w:rsidR="00697ECC" w:rsidRPr="00697ECC" w14:paraId="414F1A4F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3C31E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SUBACK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12E03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0x90</w:t>
            </w:r>
          </w:p>
        </w:tc>
      </w:tr>
      <w:tr w:rsidR="00697ECC" w:rsidRPr="00697ECC" w14:paraId="6E2DF982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10DC9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UNSUSCRIBE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9DA1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0xA0</w:t>
            </w:r>
          </w:p>
        </w:tc>
      </w:tr>
      <w:tr w:rsidR="00697ECC" w:rsidRPr="00697ECC" w14:paraId="6DDEC19F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9F020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UNSUBACK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DFE3B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0xB0</w:t>
            </w:r>
          </w:p>
        </w:tc>
      </w:tr>
      <w:tr w:rsidR="00697ECC" w:rsidRPr="00697ECC" w14:paraId="0D6DC6F5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6E6B4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PINGREQ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D4E33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0xC=</w:t>
            </w:r>
          </w:p>
        </w:tc>
      </w:tr>
      <w:tr w:rsidR="00697ECC" w:rsidRPr="00697ECC" w14:paraId="0A59BD25" w14:textId="77777777" w:rsidTr="00697ECC">
        <w:trPr>
          <w:trHeight w:val="31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662F8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PINGRESP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FA640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0xD0</w:t>
            </w:r>
          </w:p>
        </w:tc>
      </w:tr>
      <w:tr w:rsidR="00697ECC" w:rsidRPr="00697ECC" w14:paraId="656CC9C7" w14:textId="77777777" w:rsidTr="00697ECC">
        <w:trPr>
          <w:trHeight w:val="33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9EA64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DISCONNECT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1CFC7" w14:textId="77777777" w:rsidR="00697ECC" w:rsidRPr="00697ECC" w:rsidRDefault="00697ECC" w:rsidP="00697ECC">
            <w:pPr>
              <w:spacing w:after="0" w:line="240" w:lineRule="auto"/>
              <w:ind w:firstLineChars="200" w:firstLine="420"/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</w:pPr>
            <w:r w:rsidRPr="00697ECC">
              <w:rPr>
                <w:rFonts w:ascii="Open Sans" w:eastAsia="Times New Roman" w:hAnsi="Open Sans" w:cs="Open Sans"/>
                <w:color w:val="666666"/>
                <w:sz w:val="21"/>
                <w:szCs w:val="21"/>
              </w:rPr>
              <w:t>0xE0</w:t>
            </w:r>
          </w:p>
        </w:tc>
      </w:tr>
    </w:tbl>
    <w:p w14:paraId="06ABC3D6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t>CALIDAD DEL SERVICIO (QOS)</w:t>
      </w:r>
    </w:p>
    <w:p w14:paraId="06849E2B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MQTT dispone de un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mecanismo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calidad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servicio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o QoS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entendido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forma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gestionar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robustez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envío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al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ante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fallos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(por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ejemplo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conectividad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).</w:t>
      </w:r>
    </w:p>
    <w:p w14:paraId="28B49EA8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MQTT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tiene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tres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niveles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posibles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34374E00" w14:textId="77777777" w:rsidR="003F7446" w:rsidRPr="003F7446" w:rsidRDefault="003F7446" w:rsidP="003F7446">
      <w:pPr>
        <w:numPr>
          <w:ilvl w:val="0"/>
          <w:numId w:val="2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QoS 0 unacknowledged (at most one)</w:t>
      </w:r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: 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envía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única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vez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caso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fallo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por lo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puede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alguno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no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entregue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48B82DF7" w14:textId="77777777" w:rsidR="003F7446" w:rsidRPr="003F7446" w:rsidRDefault="003F7446" w:rsidP="003F7446">
      <w:pPr>
        <w:numPr>
          <w:ilvl w:val="0"/>
          <w:numId w:val="2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QoS 1 acknowledged (at least one)</w:t>
      </w:r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: 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envía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hasta que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garantiza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entrega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caso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fallo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suscriptor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puede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recibir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algún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duplicados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5CC84002" w14:textId="77777777" w:rsidR="003F7446" w:rsidRPr="003F7446" w:rsidRDefault="003F7446" w:rsidP="003F7446">
      <w:pPr>
        <w:numPr>
          <w:ilvl w:val="0"/>
          <w:numId w:val="2"/>
        </w:numPr>
        <w:shd w:val="clear" w:color="auto" w:fill="FFFFFF"/>
        <w:spacing w:after="180" w:line="240" w:lineRule="auto"/>
        <w:ind w:left="1234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3F7446"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  <w:t>QoS 2 assured (exactly one)</w:t>
      </w:r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.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garantiza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cada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mensaje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entrega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al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suscriptor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,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únicamente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 xml:space="preserve">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vez</w:t>
      </w:r>
      <w:proofErr w:type="spellEnd"/>
      <w:r w:rsidRPr="003F7446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094C806B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Usar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nivel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otro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depende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las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características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necesidades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fiabilidad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nuestro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Lógicamente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nivel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QoS superior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requiere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 mayor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intercambio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mayor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verificación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con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y, por tanto, mayor carga al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56E74DBB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t>SEGURIDAD EN MQTT</w:t>
      </w:r>
    </w:p>
    <w:p w14:paraId="029DD601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lastRenderedPageBreak/>
        <w:t xml:space="preserve">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seguridad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siempre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debe ser un factor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importante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considerar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cualquier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comunicación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M2M. 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dispone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distintas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medidas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seguridad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 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podemos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adoptar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para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proteger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comunicaciones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7C279A62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incluye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transporte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SSL/TLS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autentificación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por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usuario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contraseña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o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mediante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certificado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Sin embargo, hay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tener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cuenta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muchos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dispositivos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IoT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disponen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escasa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capacidad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por lo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SLL/TLS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puede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suponer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una carga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proceso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importante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165AA063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muchos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casos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autentificación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consiste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contraseña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usuario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son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enviados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texto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plano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último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también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posible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configurar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broker para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aceptar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conexiones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anónimas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2DC7A70B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Todo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debe ser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tenido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cuenta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a la hora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configurar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MQTT,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entender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riesgos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cada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uno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ellos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así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su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impacto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eficiencia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5F6029DC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t>VENTAJAS DEL MQTT</w:t>
      </w:r>
    </w:p>
    <w:p w14:paraId="0732C719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Son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varias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ventajas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sistema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comunicación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M2M. Por un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lado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,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tenemos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todas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las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ventajas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patrón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pub/sub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 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vimos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 entrada anterior,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escalabilidad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asincronismo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desacomplamiento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entre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clientes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420CCC52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Además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MQTT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aporta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serie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características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le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han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hecho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sobre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salir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sobre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otros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competidores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La principal,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hemos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mencionado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,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es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su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sencillez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ligereza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.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hace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adecuado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para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aplicaciones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IoT,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donde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frecuentemente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emplean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dispositivos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escasa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potencia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00072F26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Además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menor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necesidad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recursos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se traduce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un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menor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consumo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energía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lo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cual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interesante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dispositivos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funcionan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24/7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muy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especialmente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dispositivos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alimentados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batería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2EA8719D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Otra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consecuencia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ligereza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 es que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requiere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un ancho de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banda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mínimo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lo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cual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importante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redes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inalámbricas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conexiones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con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posibles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problemas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calidad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0F1B5F58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último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MQTT dispone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medidas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adicionales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importantes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seguridad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calidad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del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servicio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 (QoS).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último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es una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solución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largamente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testada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consolidad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, que 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aporta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robustez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y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fiabilidad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282562C6" w14:textId="77777777" w:rsidR="003F7446" w:rsidRPr="003F7446" w:rsidRDefault="003F7446" w:rsidP="003F7446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</w:pPr>
      <w:r w:rsidRPr="003F7446">
        <w:rPr>
          <w:rFonts w:ascii="Oswald" w:eastAsia="Times New Roman" w:hAnsi="Oswald" w:cs="Times New Roman"/>
          <w:b/>
          <w:bCs/>
          <w:caps/>
          <w:color w:val="333333"/>
          <w:kern w:val="36"/>
          <w:sz w:val="54"/>
          <w:szCs w:val="54"/>
        </w:rPr>
        <w:lastRenderedPageBreak/>
        <w:t>CONCLUSIÓN</w:t>
      </w:r>
    </w:p>
    <w:p w14:paraId="3D4B1B6C" w14:textId="7951C275" w:rsidR="003F7446" w:rsidRPr="003F7446" w:rsidRDefault="00697ECC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>
        <w:rPr>
          <w:rFonts w:ascii="Open Sans" w:eastAsia="Times New Roman" w:hAnsi="Open Sans" w:cs="Open Sans"/>
          <w:color w:val="666666"/>
          <w:sz w:val="25"/>
          <w:szCs w:val="25"/>
        </w:rPr>
        <w:t>U</w:t>
      </w:r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n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muy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interesante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para IoT (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aunque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ya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vimos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que no es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único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). MQTT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tiene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las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ventajas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un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patrón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pub/sub, y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destacando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por la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sencillez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la </w:t>
      </w:r>
      <w:proofErr w:type="spellStart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comunicación</w:t>
      </w:r>
      <w:proofErr w:type="spellEnd"/>
      <w:r w:rsidR="003F7446" w:rsidRPr="003F7446">
        <w:rPr>
          <w:rFonts w:ascii="Open Sans" w:eastAsia="Times New Roman" w:hAnsi="Open Sans" w:cs="Open Sans"/>
          <w:color w:val="666666"/>
          <w:sz w:val="25"/>
          <w:szCs w:val="25"/>
        </w:rPr>
        <w:t>.</w:t>
      </w:r>
    </w:p>
    <w:p w14:paraId="0567E1BE" w14:textId="77777777" w:rsidR="003F7446" w:rsidRPr="003F7446" w:rsidRDefault="003F7446" w:rsidP="003F7446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  <w:sz w:val="25"/>
          <w:szCs w:val="25"/>
        </w:rPr>
      </w:pP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El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protocolo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 se ha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alzado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 </w:t>
      </w:r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uno de los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estándares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para </w:t>
      </w:r>
      <w:proofErr w:type="spellStart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>aplicaciones</w:t>
      </w:r>
      <w:proofErr w:type="spellEnd"/>
      <w:r w:rsidRPr="003F7446">
        <w:rPr>
          <w:rFonts w:ascii="Open Sans" w:eastAsia="Times New Roman" w:hAnsi="Open Sans" w:cs="Open Sans"/>
          <w:b/>
          <w:bCs/>
          <w:color w:val="666666"/>
          <w:sz w:val="25"/>
          <w:szCs w:val="25"/>
        </w:rPr>
        <w:t xml:space="preserve"> IoT</w:t>
      </w:r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 tanto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comerciales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ámbito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maker. Por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supuesto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hay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muchos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más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aspectos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los que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podríamos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hablar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mucho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más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sobre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MQTT,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como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funciones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avanzadas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seguridad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permanencia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los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mensajes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el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broker,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configuración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de </w:t>
      </w:r>
      <w:proofErr w:type="spellStart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>varios</w:t>
      </w:r>
      <w:proofErr w:type="spellEnd"/>
      <w:r w:rsidRPr="003F7446">
        <w:rPr>
          <w:rFonts w:ascii="Open Sans" w:eastAsia="Times New Roman" w:hAnsi="Open Sans" w:cs="Open Sans"/>
          <w:color w:val="666666"/>
          <w:sz w:val="25"/>
          <w:szCs w:val="25"/>
        </w:rPr>
        <w:t xml:space="preserve"> brokers.</w:t>
      </w:r>
    </w:p>
    <w:p w14:paraId="206ACC35" w14:textId="77777777" w:rsidR="003F7446" w:rsidRDefault="003F7446"/>
    <w:sectPr w:rsidR="003F7446" w:rsidSect="003F74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FA0"/>
    <w:multiLevelType w:val="multilevel"/>
    <w:tmpl w:val="5A3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34B2E"/>
    <w:multiLevelType w:val="multilevel"/>
    <w:tmpl w:val="BCE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46"/>
    <w:rsid w:val="00287F42"/>
    <w:rsid w:val="003F7446"/>
    <w:rsid w:val="00697ECC"/>
    <w:rsid w:val="008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7D29"/>
  <w15:chartTrackingRefBased/>
  <w15:docId w15:val="{AB2A69E0-2B06-422E-ACF8-4849FB90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3F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4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74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2021-06-06T20:50:00Z</dcterms:created>
  <dcterms:modified xsi:type="dcterms:W3CDTF">2021-06-21T03:59:00Z</dcterms:modified>
</cp:coreProperties>
</file>