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B8B9" w14:textId="77777777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2F4417CA" w14:textId="77777777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51FA60B7" w14:textId="40AC5BA1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In applications the 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LoRa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class should be subclassed while overriding one or more of the callback functions that are invoked on successful RX or TX operations, for example.</w:t>
      </w:r>
    </w:p>
    <w:p w14:paraId="40B6D23E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0D5D3622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class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proofErr w:type="gramStart"/>
      <w:r w:rsidRPr="00842D1E">
        <w:rPr>
          <w:rFonts w:ascii="Source Code Pro" w:eastAsia="Times New Roman" w:hAnsi="Source Code Pro" w:cs="Courier New"/>
          <w:color w:val="BB0066"/>
          <w:sz w:val="20"/>
          <w:szCs w:val="20"/>
        </w:rPr>
        <w:t>MyLoRa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LoRa):</w:t>
      </w:r>
    </w:p>
    <w:p w14:paraId="4BF26E2C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2E797430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</w:t>
      </w: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def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__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init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_(</w:t>
      </w:r>
      <w:proofErr w:type="gramEnd"/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self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, verbose=</w:t>
      </w:r>
      <w:r w:rsidRPr="00842D1E">
        <w:rPr>
          <w:rFonts w:ascii="Source Code Pro" w:eastAsia="Times New Roman" w:hAnsi="Source Code Pro" w:cs="Courier New"/>
          <w:color w:val="116A1E"/>
          <w:sz w:val="20"/>
          <w:szCs w:val="20"/>
        </w:rPr>
        <w:t>False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):</w:t>
      </w:r>
    </w:p>
    <w:p w14:paraId="046B25F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</w:t>
      </w:r>
      <w:proofErr w:type="gramStart"/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super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spellStart"/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MyLoRa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, </w:t>
      </w: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self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).__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init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__(verbose)</w:t>
      </w:r>
    </w:p>
    <w:p w14:paraId="1D9D1881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 xml:space="preserve"># </w:t>
      </w:r>
      <w:proofErr w:type="gramStart"/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>setup</w:t>
      </w:r>
      <w:proofErr w:type="gramEnd"/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 xml:space="preserve"> registers etc.</w:t>
      </w:r>
    </w:p>
    <w:p w14:paraId="2EC1CC2E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5BC2C6D8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</w:t>
      </w: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def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006DAD"/>
          <w:sz w:val="20"/>
          <w:szCs w:val="20"/>
        </w:rPr>
        <w:t>on_rx_done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self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):</w:t>
      </w:r>
    </w:p>
    <w:p w14:paraId="5A5326E8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payload = </w:t>
      </w:r>
      <w:proofErr w:type="spellStart"/>
      <w:proofErr w:type="gramStart"/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self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.read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_payload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nocheck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=</w:t>
      </w:r>
      <w:r w:rsidRPr="00842D1E">
        <w:rPr>
          <w:rFonts w:ascii="Source Code Pro" w:eastAsia="Times New Roman" w:hAnsi="Source Code Pro" w:cs="Courier New"/>
          <w:color w:val="116A1E"/>
          <w:sz w:val="20"/>
          <w:szCs w:val="20"/>
        </w:rPr>
        <w:t>True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) </w:t>
      </w:r>
    </w:p>
    <w:p w14:paraId="43087556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># etc.</w:t>
      </w:r>
    </w:p>
    <w:p w14:paraId="2D7FF28E" w14:textId="77777777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368A4307" w14:textId="550E9220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In the end the resources should be freed properly</w:t>
      </w:r>
    </w:p>
    <w:p w14:paraId="2B08C246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713A34C3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BOARD.teardown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()</w:t>
      </w:r>
    </w:p>
    <w:p w14:paraId="677A3CCC" w14:textId="77777777" w:rsid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</w:p>
    <w:p w14:paraId="61071925" w14:textId="7CB5DA07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More details</w:t>
      </w:r>
    </w:p>
    <w:p w14:paraId="685C8777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Most functions of 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SX127x.Lora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are setter and getter functions. For example, the setter and getter for the coding rate are demonstrated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here</w:t>
      </w:r>
      <w:proofErr w:type="gramEnd"/>
    </w:p>
    <w:p w14:paraId="40C5D711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print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lora.get_coding_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rate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)              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># print the current coding rate</w:t>
      </w:r>
    </w:p>
    <w:p w14:paraId="00D8842A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lora.set_coding_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rate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CODING_RATE.CR4_6)   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># set it to CR4_6</w:t>
      </w:r>
    </w:p>
    <w:p w14:paraId="0D5302B2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@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todo</w:t>
      </w:r>
      <w:proofErr w:type="gramEnd"/>
    </w:p>
    <w:p w14:paraId="50919960" w14:textId="77777777" w:rsid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</w:p>
    <w:p w14:paraId="449B2C6C" w14:textId="4BD8A07C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Installation</w:t>
      </w:r>
    </w:p>
    <w:p w14:paraId="100414B3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Make sure SPI is activated on you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RaspberryPi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: </w:t>
      </w:r>
      <w:hyperlink r:id="rId5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SPI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</w:t>
      </w:r>
      <w:r w:rsidRPr="00842D1E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pySX127x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requires these two python packages:</w:t>
      </w:r>
    </w:p>
    <w:p w14:paraId="079AD093" w14:textId="77777777" w:rsidR="00842D1E" w:rsidRPr="00842D1E" w:rsidRDefault="009B4002" w:rsidP="00842D1E">
      <w:pPr>
        <w:numPr>
          <w:ilvl w:val="0"/>
          <w:numId w:val="1"/>
        </w:numPr>
        <w:shd w:val="clear" w:color="auto" w:fill="FDFDFD"/>
        <w:spacing w:after="0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hyperlink r:id="rId6" w:history="1">
        <w:proofErr w:type="spellStart"/>
        <w:r w:rsidR="00842D1E"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RPi.GPIO</w:t>
        </w:r>
        <w:proofErr w:type="spellEnd"/>
      </w:hyperlink>
      <w:r w:rsidR="00842D1E"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for accessing the GPIOs, it should be already installed on a standard </w:t>
      </w:r>
      <w:proofErr w:type="spellStart"/>
      <w:r w:rsidR="00842D1E"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Raspian</w:t>
      </w:r>
      <w:proofErr w:type="spellEnd"/>
      <w:r w:rsidR="00842D1E"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Linux image</w:t>
      </w:r>
    </w:p>
    <w:p w14:paraId="59405E0F" w14:textId="77777777" w:rsidR="00842D1E" w:rsidRPr="00842D1E" w:rsidRDefault="009B4002" w:rsidP="00842D1E">
      <w:pPr>
        <w:numPr>
          <w:ilvl w:val="0"/>
          <w:numId w:val="1"/>
        </w:numPr>
        <w:shd w:val="clear" w:color="auto" w:fill="FDFDFD"/>
        <w:spacing w:after="0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hyperlink r:id="rId7" w:history="1">
        <w:proofErr w:type="spellStart"/>
        <w:r w:rsidR="00842D1E"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spidev</w:t>
        </w:r>
        <w:proofErr w:type="spellEnd"/>
      </w:hyperlink>
      <w:r w:rsidR="00842D1E"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for controlling </w:t>
      </w:r>
      <w:proofErr w:type="gramStart"/>
      <w:r w:rsidR="00842D1E"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SPI</w:t>
      </w:r>
      <w:proofErr w:type="gramEnd"/>
    </w:p>
    <w:p w14:paraId="15654A4E" w14:textId="669117FB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In order to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install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spidev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download the source code and run setup.py manually:</w:t>
      </w:r>
    </w:p>
    <w:p w14:paraId="6751E55A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69E0588B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wget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https://pypi.python.org/packages/source/s/spidev/spidev-3.1.tar.gz</w:t>
      </w:r>
    </w:p>
    <w:p w14:paraId="5EB1ADE7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tar </w:t>
      </w:r>
      <w:proofErr w:type="spellStart"/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xfvz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spidev-3.1.tar.gz</w:t>
      </w:r>
      <w:proofErr w:type="gramEnd"/>
    </w:p>
    <w:p w14:paraId="616955DA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cd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spidev-3.1</w:t>
      </w:r>
    </w:p>
    <w:p w14:paraId="210F6B5B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sudo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python setup.py 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install</w:t>
      </w:r>
      <w:proofErr w:type="gramEnd"/>
    </w:p>
    <w:p w14:paraId="3D0464EF" w14:textId="77777777" w:rsidR="009B4002" w:rsidRDefault="009B4002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67964FC2" w14:textId="0D597C5B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At this point you may want to confirm that the unit tests pass. See the section </w:t>
      </w:r>
      <w:hyperlink r:id="rId8" w:anchor="tests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Tests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below.</w:t>
      </w:r>
    </w:p>
    <w:p w14:paraId="0C7EAD2E" w14:textId="6CA0EF4D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You can now run the scripts. For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example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dump the registers with 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lora_util.py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:</w:t>
      </w:r>
    </w:p>
    <w:p w14:paraId="75094BF0" w14:textId="77777777" w:rsidR="009B4002" w:rsidRPr="00842D1E" w:rsidRDefault="009B4002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72C6802B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lastRenderedPageBreak/>
        <w:t xml:space="preserve">rasp$ </w:t>
      </w:r>
      <w:proofErr w:type="spellStart"/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sudo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.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/lora_util.py</w:t>
      </w:r>
    </w:p>
    <w:p w14:paraId="442FF63F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SX127x LoRa registers:</w:t>
      </w:r>
    </w:p>
    <w:p w14:paraId="7F0695D7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mode               SLEEP</w:t>
      </w:r>
    </w:p>
    <w:p w14:paraId="3AAF59D5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freq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           </w:t>
      </w:r>
      <w:r w:rsidRPr="00842D1E">
        <w:rPr>
          <w:rFonts w:ascii="Source Code Pro" w:eastAsia="Times New Roman" w:hAnsi="Source Code Pro" w:cs="Courier New"/>
          <w:color w:val="006DAD"/>
          <w:sz w:val="20"/>
          <w:szCs w:val="20"/>
        </w:rPr>
        <w:t>434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.000000 MHz</w:t>
      </w:r>
    </w:p>
    <w:p w14:paraId="74161C9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coding_rate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    CR4_5</w:t>
      </w:r>
    </w:p>
    <w:p w14:paraId="0F54A3E1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bw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             BW125</w:t>
      </w:r>
    </w:p>
    <w:p w14:paraId="3D1FB77F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spreading_factor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</w:t>
      </w:r>
      <w:r w:rsidRPr="00842D1E">
        <w:rPr>
          <w:rFonts w:ascii="Source Code Pro" w:eastAsia="Times New Roman" w:hAnsi="Source Code Pro" w:cs="Courier New"/>
          <w:color w:val="006DAD"/>
          <w:sz w:val="20"/>
          <w:szCs w:val="20"/>
        </w:rPr>
        <w:t>128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chips/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symb</w:t>
      </w:r>
      <w:proofErr w:type="spellEnd"/>
    </w:p>
    <w:p w14:paraId="04CF44E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implicit_hdr_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mode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OFF</w:t>
      </w:r>
      <w:proofErr w:type="gramEnd"/>
    </w:p>
    <w:p w14:paraId="1E93FE02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... and so on ....</w:t>
      </w:r>
    </w:p>
    <w:p w14:paraId="7ECF021D" w14:textId="77777777" w:rsid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</w:p>
    <w:p w14:paraId="2E845843" w14:textId="74265D1C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Class Reference</w:t>
      </w:r>
    </w:p>
    <w:p w14:paraId="263ACB66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The interface to the SX127x LoRa modem is implemented in the class 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SX127x.LoRa.LoRa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. The most important modem configuration parameters are:</w:t>
      </w:r>
    </w:p>
    <w:tbl>
      <w:tblPr>
        <w:tblW w:w="11716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6"/>
        <w:gridCol w:w="8540"/>
      </w:tblGrid>
      <w:tr w:rsidR="00842D1E" w:rsidRPr="00842D1E" w14:paraId="507B4B14" w14:textId="77777777" w:rsidTr="00842D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vAlign w:val="bottom"/>
            <w:hideMark/>
          </w:tcPr>
          <w:p w14:paraId="3899BF5A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vAlign w:val="bottom"/>
            <w:hideMark/>
          </w:tcPr>
          <w:p w14:paraId="7D4EBB7B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>Description</w:t>
            </w:r>
          </w:p>
        </w:tc>
      </w:tr>
      <w:tr w:rsidR="00842D1E" w:rsidRPr="00842D1E" w14:paraId="1435C624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24FC1F99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set_mode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7755088B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 xml:space="preserve">Change </w:t>
            </w: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OpMode</w:t>
            </w:r>
            <w:proofErr w:type="spellEnd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 xml:space="preserve">, use the </w:t>
            </w:r>
            <w:proofErr w:type="spellStart"/>
            <w:proofErr w:type="gram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constants.MODE</w:t>
            </w:r>
            <w:proofErr w:type="spellEnd"/>
            <w:proofErr w:type="gramEnd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 xml:space="preserve"> class</w:t>
            </w:r>
          </w:p>
        </w:tc>
      </w:tr>
      <w:tr w:rsidR="00842D1E" w:rsidRPr="00842D1E" w14:paraId="3004A689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6DFF207A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set_freq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6F8DDA82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 the frequency</w:t>
            </w:r>
          </w:p>
        </w:tc>
      </w:tr>
      <w:tr w:rsidR="00842D1E" w:rsidRPr="00842D1E" w14:paraId="464625FC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3D75B29B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set_bw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6751C02B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 the bandwidth 7.8kHz ... 500kHz</w:t>
            </w:r>
          </w:p>
        </w:tc>
      </w:tr>
      <w:tr w:rsidR="00842D1E" w:rsidRPr="00842D1E" w14:paraId="78488CAE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0C2C11C3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set_coding_rate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11B217D2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Set the coding rate 4/5, 4/6, 4/7, 4/8</w:t>
            </w:r>
          </w:p>
        </w:tc>
      </w:tr>
      <w:tr w:rsidR="00842D1E" w:rsidRPr="00842D1E" w14:paraId="20FC9D52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1249F4A9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3A3BBE34" w14:textId="77777777" w:rsidR="00842D1E" w:rsidRPr="00842D1E" w:rsidRDefault="00842D1E" w:rsidP="00842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2D1E" w:rsidRPr="00842D1E" w14:paraId="0E4394F6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162C10C2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@</w:t>
            </w:r>
            <w:proofErr w:type="gram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todo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338B9E45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</w:p>
        </w:tc>
      </w:tr>
    </w:tbl>
    <w:p w14:paraId="51B65751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Most set_* functions have a mirror get_*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function, but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beware that the getter return types do not necessarily match the setter input types.</w:t>
      </w:r>
    </w:p>
    <w:p w14:paraId="33DE59C3" w14:textId="77777777" w:rsid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</w:p>
    <w:p w14:paraId="5B408FDF" w14:textId="291C0AFD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 xml:space="preserve">Register naming </w:t>
      </w:r>
      <w:proofErr w:type="gramStart"/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convention</w:t>
      </w:r>
      <w:proofErr w:type="gramEnd"/>
    </w:p>
    <w:p w14:paraId="56DC48DC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The register addresses are defined in class 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SX127x.constants.REG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and we use a specific naming convention which is best illustrated by a few examples:</w:t>
      </w:r>
    </w:p>
    <w:tbl>
      <w:tblPr>
        <w:tblW w:w="11716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514"/>
        <w:gridCol w:w="3292"/>
        <w:gridCol w:w="5244"/>
      </w:tblGrid>
      <w:tr w:rsidR="00842D1E" w:rsidRPr="00842D1E" w14:paraId="03191597" w14:textId="77777777" w:rsidTr="00842D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vAlign w:val="bottom"/>
            <w:hideMark/>
          </w:tcPr>
          <w:p w14:paraId="5BE3FA82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>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vAlign w:val="bottom"/>
            <w:hideMark/>
          </w:tcPr>
          <w:p w14:paraId="540E3E38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>Modem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vAlign w:val="bottom"/>
            <w:hideMark/>
          </w:tcPr>
          <w:p w14:paraId="4175C0E3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>Semtech</w:t>
            </w:r>
            <w:proofErr w:type="spellEnd"/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 xml:space="preserve"> doc.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vAlign w:val="bottom"/>
            <w:hideMark/>
          </w:tcPr>
          <w:p w14:paraId="5D75966F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b/>
                <w:bCs/>
                <w:color w:val="464646"/>
                <w:sz w:val="24"/>
                <w:szCs w:val="24"/>
              </w:rPr>
              <w:t>pySX127x</w:t>
            </w:r>
          </w:p>
        </w:tc>
      </w:tr>
      <w:tr w:rsidR="00842D1E" w:rsidRPr="00842D1E" w14:paraId="06630A15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745DFF98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55235DD6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LoRa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48D3AFA3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RegFifoTxBaseAddr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7C05D255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gram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REG.LORA.FIFO</w:t>
            </w:r>
            <w:proofErr w:type="gramEnd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_TX_BASE_ADDR</w:t>
            </w:r>
          </w:p>
        </w:tc>
      </w:tr>
      <w:tr w:rsidR="00842D1E" w:rsidRPr="00842D1E" w14:paraId="7C1E3B12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20867D34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627E08DC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FSK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1826B904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spell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RegRssiCOnfig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209480CF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REG.FSK.RSSI_CONFIG</w:t>
            </w:r>
          </w:p>
        </w:tc>
      </w:tr>
      <w:tr w:rsidR="00842D1E" w:rsidRPr="00842D1E" w14:paraId="7CEC7693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2ECD1262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0x1D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0C47025C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LoRa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1B324536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RegModemConfig1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BFBFB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7295EE86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proofErr w:type="gramStart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REG.LORA.MODEM</w:t>
            </w:r>
            <w:proofErr w:type="gramEnd"/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_CONFIG_1</w:t>
            </w:r>
          </w:p>
        </w:tc>
      </w:tr>
      <w:tr w:rsidR="00842D1E" w:rsidRPr="00842D1E" w14:paraId="60FDFCC9" w14:textId="77777777" w:rsidTr="00842D1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168DD4D3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  <w:r w:rsidRPr="00842D1E"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  <w:t>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5A2A5A06" w14:textId="77777777" w:rsidR="00842D1E" w:rsidRPr="00842D1E" w:rsidRDefault="00842D1E" w:rsidP="00842D1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46464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25CC7AF0" w14:textId="77777777" w:rsidR="00842D1E" w:rsidRPr="00842D1E" w:rsidRDefault="00842D1E" w:rsidP="00842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8F8F8"/>
            <w:tcMar>
              <w:top w:w="150" w:type="dxa"/>
              <w:left w:w="105" w:type="dxa"/>
              <w:bottom w:w="150" w:type="dxa"/>
              <w:right w:w="105" w:type="dxa"/>
            </w:tcMar>
            <w:vAlign w:val="center"/>
            <w:hideMark/>
          </w:tcPr>
          <w:p w14:paraId="30950C1A" w14:textId="77777777" w:rsidR="00842D1E" w:rsidRPr="00842D1E" w:rsidRDefault="00842D1E" w:rsidP="00842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2D7C3" w14:textId="77777777" w:rsid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</w:p>
    <w:p w14:paraId="0AD7A5D5" w14:textId="250D9466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Hardware</w:t>
      </w:r>
    </w:p>
    <w:p w14:paraId="0E0184B2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lastRenderedPageBreak/>
        <w:t xml:space="preserve">Hardware related definition and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initialisation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are located in 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SX127x.board_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config.BOARD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. If you use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a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SBC other than the Raspberry Pi you'll have to adapt the BOARD class.</w:t>
      </w:r>
    </w:p>
    <w:p w14:paraId="4232770A" w14:textId="77777777" w:rsid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</w:p>
    <w:p w14:paraId="6B4C497F" w14:textId="3D3C0256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Script references</w:t>
      </w:r>
    </w:p>
    <w:p w14:paraId="68AC8D1D" w14:textId="77777777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Continuous receiver </w:t>
      </w:r>
      <w:r w:rsidRPr="00842D1E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rx_cont.py</w:t>
      </w:r>
    </w:p>
    <w:p w14:paraId="3EAE74AA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The SX127x is put in RXCONT mode and continuously waits for transmissions. Upon a successful read the payload and the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irq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flags are printed to screen.</w:t>
      </w:r>
    </w:p>
    <w:p w14:paraId="45BE8383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usage: rx_cont.py [-h]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ocp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OCP] [--sf SF]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FREQ]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bw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BW]</w:t>
      </w:r>
    </w:p>
    <w:p w14:paraId="38C805B1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cr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CODING_RATE] [--preamble PREAMBLE]</w:t>
      </w:r>
    </w:p>
    <w:p w14:paraId="6C8F2D9E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4BD5E9D4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Continous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LoRa receiver</w:t>
      </w:r>
    </w:p>
    <w:p w14:paraId="6878455A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690977A4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optional arguments:</w:t>
      </w:r>
    </w:p>
    <w:p w14:paraId="2B3FC8A3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-h, --help            show this help message and exit</w:t>
      </w:r>
    </w:p>
    <w:p w14:paraId="4900EAEF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ocp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OCP, -c OCP     Over current protection in mA (45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..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240 mA)</w:t>
      </w:r>
    </w:p>
    <w:p w14:paraId="4341A4DF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--sf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SF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, -s SF        Spreading factor (6...12). Default is 7.</w:t>
      </w:r>
    </w:p>
    <w:p w14:paraId="485ED4E1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FREQ, -f 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  Frequency</w:t>
      </w:r>
      <w:proofErr w:type="gramEnd"/>
    </w:p>
    <w:p w14:paraId="79199BB8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bw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BW, -b BW        Bandwidth (one of BW7_8 BW10_4 BW15_6 BW20_8 BW31_25</w:t>
      </w:r>
    </w:p>
    <w:p w14:paraId="6677D5D5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BW41_7 BW62_5 BW125 BW250 BW500). Default is BW125.</w:t>
      </w:r>
    </w:p>
    <w:p w14:paraId="1E532D1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cr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CODING_RATE, -r CODING_RATE</w:t>
      </w:r>
    </w:p>
    <w:p w14:paraId="77F6781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Coding rate (one of CR4_5 CR4_6 CR4_7 CR4_8). Default</w:t>
      </w:r>
    </w:p>
    <w:p w14:paraId="456AF4C9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is CR4_5.</w:t>
      </w:r>
    </w:p>
    <w:p w14:paraId="333D8D6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--preamble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PREAMBLE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, -p PREAMBLE</w:t>
      </w:r>
    </w:p>
    <w:p w14:paraId="5B67503C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Preamble length. Default is 8.</w:t>
      </w:r>
    </w:p>
    <w:p w14:paraId="03570A8A" w14:textId="77777777" w:rsid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</w:p>
    <w:p w14:paraId="257DEC22" w14:textId="008EDA3D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Simple LoRa beacon </w:t>
      </w:r>
      <w:r w:rsidRPr="00842D1E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tx_beacon.py</w:t>
      </w:r>
    </w:p>
    <w:p w14:paraId="6AD8A220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A small payload is transmitted in regular intervals.</w:t>
      </w:r>
    </w:p>
    <w:p w14:paraId="13D0944C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usage: tx_beacon.py [-h]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ocp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OCP] [--sf SF]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FREQ]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bw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BW]</w:t>
      </w:r>
    </w:p>
    <w:p w14:paraId="43D5E606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[--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cr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CODING_RATE] [--preamble PREAMBLE] [--single]</w:t>
      </w:r>
    </w:p>
    <w:p w14:paraId="7FE659C7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[--wait WAIT]</w:t>
      </w:r>
    </w:p>
    <w:p w14:paraId="430F332F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392B70B6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 simple LoRa beacon</w:t>
      </w:r>
    </w:p>
    <w:p w14:paraId="528FB967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6EC8829A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optional arguments:</w:t>
      </w:r>
    </w:p>
    <w:p w14:paraId="1D473426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-h, --help            show this help message and exit</w:t>
      </w:r>
    </w:p>
    <w:p w14:paraId="4FA8665A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ocp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OCP, -c OCP     Over current protection in mA (45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..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240 mA)</w:t>
      </w:r>
    </w:p>
    <w:p w14:paraId="0A6B6EA7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--sf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SF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, -s SF        Spreading factor (6...12). Default is 7.</w:t>
      </w:r>
    </w:p>
    <w:p w14:paraId="5680BBFB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FREQ, -f 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  Frequency</w:t>
      </w:r>
      <w:proofErr w:type="gramEnd"/>
    </w:p>
    <w:p w14:paraId="23B878AF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bw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BW, -b BW        Bandwidth (one of BW7_8 BW10_4 BW15_6 BW20_8 BW31_25</w:t>
      </w:r>
    </w:p>
    <w:p w14:paraId="76FA85A5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BW41_7 BW62_5 BW125 BW250 BW500). Default is BW125.</w:t>
      </w:r>
    </w:p>
    <w:p w14:paraId="03E6145D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cr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CODING_RATE, -r CODING_RATE</w:t>
      </w:r>
    </w:p>
    <w:p w14:paraId="2CA7EC5C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Coding rate (one of CR4_5 CR4_6 CR4_7 CR4_8). Default</w:t>
      </w:r>
    </w:p>
    <w:p w14:paraId="41233E38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is CR4_5.</w:t>
      </w:r>
    </w:p>
    <w:p w14:paraId="0016B80C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--preamble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PREAMBLE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, -p PREAMBLE</w:t>
      </w:r>
    </w:p>
    <w:p w14:paraId="029F65B3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                  Preamble length. Default is 8.</w:t>
      </w:r>
    </w:p>
    <w:p w14:paraId="380D467E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--single, -S          Single transmission</w:t>
      </w:r>
    </w:p>
    <w:p w14:paraId="70561553" w14:textId="77777777" w:rsidR="00842D1E" w:rsidRPr="00842D1E" w:rsidRDefault="00842D1E" w:rsidP="00842D1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--wait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WAIT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, -w 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WAIT  Waiting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time between transmissions (default is 0s)</w:t>
      </w:r>
    </w:p>
    <w:p w14:paraId="317CF8B4" w14:textId="77777777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lastRenderedPageBreak/>
        <w:t>Tests</w:t>
      </w:r>
    </w:p>
    <w:p w14:paraId="225DEC6E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Execute 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test_lora.py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to run a few unit tests.</w:t>
      </w:r>
    </w:p>
    <w:p w14:paraId="10DD9FB8" w14:textId="77777777" w:rsid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</w:p>
    <w:p w14:paraId="0844060A" w14:textId="2F59534E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Contributors</w:t>
      </w:r>
    </w:p>
    <w:p w14:paraId="34A86B73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Please feel free to comment, report issues, or contribute!</w:t>
      </w:r>
    </w:p>
    <w:p w14:paraId="3C2EEEFF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Contact me via my company website </w:t>
      </w:r>
      <w:hyperlink r:id="rId9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Mayer Analytics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and my private blog </w:t>
      </w:r>
      <w:hyperlink r:id="rId10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mcmayer.net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.</w:t>
      </w:r>
    </w:p>
    <w:p w14:paraId="6F938CC4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Follow me on twitter </w:t>
      </w:r>
      <w:hyperlink r:id="rId11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@markuscmayer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 and </w:t>
      </w:r>
      <w:hyperlink r:id="rId12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@mayeranalytics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.</w:t>
      </w:r>
    </w:p>
    <w:p w14:paraId="732F81AE" w14:textId="77777777" w:rsid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</w:p>
    <w:p w14:paraId="0A8C3D22" w14:textId="21451B28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Roadmap</w:t>
      </w:r>
    </w:p>
    <w:p w14:paraId="4111F3A1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95% of functions for the Sx127x LoRa capabilities are implemented. Functions will be added when necessary. The test coverage is rather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low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but we intend to change that soon.</w:t>
      </w:r>
    </w:p>
    <w:p w14:paraId="68BC3CC1" w14:textId="77777777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proofErr w:type="spellStart"/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Semtech</w:t>
      </w:r>
      <w:proofErr w:type="spellEnd"/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 xml:space="preserve"> SX1272/3 vs. SX1276/7/8/9</w:t>
      </w:r>
    </w:p>
    <w:p w14:paraId="1873AD14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pySX127x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is not entirely compatible with the 1272. The 1276 and 1272 chips are different and the interfaces not 100% identical. For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example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registers 0x26/27. But the pySX127x library should get you </w:t>
      </w: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pretty far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if you use it with care. Here are the two datasheets:</w:t>
      </w:r>
    </w:p>
    <w:p w14:paraId="28C3A080" w14:textId="77777777" w:rsidR="00842D1E" w:rsidRPr="00842D1E" w:rsidRDefault="009B4002" w:rsidP="00842D1E">
      <w:pPr>
        <w:numPr>
          <w:ilvl w:val="0"/>
          <w:numId w:val="2"/>
        </w:numPr>
        <w:shd w:val="clear" w:color="auto" w:fill="FDFDFD"/>
        <w:spacing w:after="0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hyperlink r:id="rId13" w:history="1">
        <w:proofErr w:type="spellStart"/>
        <w:r w:rsidR="00842D1E"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Semtech</w:t>
        </w:r>
        <w:proofErr w:type="spellEnd"/>
        <w:r w:rsidR="00842D1E"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 xml:space="preserve"> - SX1276/77/78/79 - 137 MHz to 1020 MHz Low Power Long Range Transceiver</w:t>
        </w:r>
      </w:hyperlink>
    </w:p>
    <w:p w14:paraId="73F105DF" w14:textId="77777777" w:rsidR="00842D1E" w:rsidRPr="00842D1E" w:rsidRDefault="009B4002" w:rsidP="00842D1E">
      <w:pPr>
        <w:numPr>
          <w:ilvl w:val="0"/>
          <w:numId w:val="2"/>
        </w:numPr>
        <w:shd w:val="clear" w:color="auto" w:fill="FDFDFD"/>
        <w:spacing w:after="0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hyperlink r:id="rId14" w:history="1">
        <w:proofErr w:type="spellStart"/>
        <w:r w:rsidR="00842D1E"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Semtech</w:t>
        </w:r>
        <w:proofErr w:type="spellEnd"/>
        <w:r w:rsidR="00842D1E"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 xml:space="preserve"> SX1272/73 - 860 MHz to 1020 MHz Low Power Long Range Transceiver</w:t>
        </w:r>
      </w:hyperlink>
    </w:p>
    <w:p w14:paraId="40524622" w14:textId="77777777" w:rsid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</w:p>
    <w:p w14:paraId="007B1EC5" w14:textId="718617F7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proofErr w:type="spellStart"/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HopeRF</w:t>
      </w:r>
      <w:proofErr w:type="spellEnd"/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 xml:space="preserve"> transceiver ICs</w:t>
      </w:r>
    </w:p>
    <w:p w14:paraId="0E582EA1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HopeRF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has a family of LoRa capable transceiver chips </w:t>
      </w:r>
      <w:hyperlink r:id="rId15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RFM92/95/96/98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that have identical or almost identical SPI interface as the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Semtech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SX1276/7/8/9 family.</w:t>
      </w:r>
    </w:p>
    <w:p w14:paraId="3C4D0358" w14:textId="77777777" w:rsid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</w:p>
    <w:p w14:paraId="68019FC4" w14:textId="47239D0E" w:rsidR="00842D1E" w:rsidRPr="00842D1E" w:rsidRDefault="00842D1E" w:rsidP="00842D1E">
      <w:pPr>
        <w:shd w:val="clear" w:color="auto" w:fill="FDFDF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842D1E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Microchip transceiver IC</w:t>
      </w:r>
    </w:p>
    <w:p w14:paraId="215B2046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gram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Likewise</w:t>
      </w:r>
      <w:proofErr w:type="gram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Microchip has the chip </w:t>
      </w:r>
      <w:hyperlink r:id="rId16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RN2483</w:t>
        </w:r>
      </w:hyperlink>
    </w:p>
    <w:p w14:paraId="3FF1D52D" w14:textId="0ABB690F" w:rsid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The </w:t>
      </w:r>
      <w:hyperlink r:id="rId17" w:history="1">
        <w:r w:rsidRPr="00842D1E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pySX127x</w:t>
        </w:r>
      </w:hyperlink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project will therefore be renamed to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pyLoRa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at some point.</w:t>
      </w:r>
    </w:p>
    <w:p w14:paraId="52BA10CE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3B8BFE95" w14:textId="77777777" w:rsidR="00842D1E" w:rsidRPr="00842D1E" w:rsidRDefault="00842D1E" w:rsidP="00842D1E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proofErr w:type="spellStart"/>
      <w:r w:rsidRPr="00842D1E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LoRaWAN</w:t>
      </w:r>
      <w:proofErr w:type="spellEnd"/>
    </w:p>
    <w:p w14:paraId="04B26ECD" w14:textId="77777777" w:rsidR="00842D1E" w:rsidRPr="00842D1E" w:rsidRDefault="00842D1E" w:rsidP="00842D1E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LoRaWAN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is a LPWAN (low power WAN) and, and </w:t>
      </w:r>
      <w:r w:rsidRPr="00842D1E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pySX127x</w:t>
      </w:r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has almost no relationship with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LoRaWAN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. Here we only deal with the interface into the chip(s) that enable the physical layer of </w:t>
      </w:r>
      <w:proofErr w:type="spellStart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>LoRaWAN</w:t>
      </w:r>
      <w:proofErr w:type="spellEnd"/>
      <w:r w:rsidRPr="00842D1E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networks.</w:t>
      </w:r>
    </w:p>
    <w:p w14:paraId="2646D2A3" w14:textId="77777777" w:rsidR="00842D1E" w:rsidRDefault="00842D1E" w:rsidP="00842D1E">
      <w:pPr>
        <w:spacing w:after="0" w:line="240" w:lineRule="auto"/>
      </w:pPr>
    </w:p>
    <w:sectPr w:rsidR="00842D1E" w:rsidSect="00842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7E99"/>
    <w:multiLevelType w:val="multilevel"/>
    <w:tmpl w:val="046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C92A08"/>
    <w:multiLevelType w:val="multilevel"/>
    <w:tmpl w:val="59A4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E"/>
    <w:rsid w:val="001D3BE8"/>
    <w:rsid w:val="00244E5C"/>
    <w:rsid w:val="004E0A22"/>
    <w:rsid w:val="00842D1E"/>
    <w:rsid w:val="009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6BF6"/>
  <w15:chartTrackingRefBased/>
  <w15:docId w15:val="{68E5A03E-018D-422F-888F-427201B5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2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D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42D1E"/>
  </w:style>
  <w:style w:type="character" w:customStyle="1" w:styleId="nn">
    <w:name w:val="nn"/>
    <w:basedOn w:val="DefaultParagraphFont"/>
    <w:rsid w:val="00842D1E"/>
  </w:style>
  <w:style w:type="character" w:customStyle="1" w:styleId="o">
    <w:name w:val="o"/>
    <w:basedOn w:val="DefaultParagraphFont"/>
    <w:rsid w:val="00842D1E"/>
  </w:style>
  <w:style w:type="character" w:customStyle="1" w:styleId="n">
    <w:name w:val="n"/>
    <w:basedOn w:val="DefaultParagraphFont"/>
    <w:rsid w:val="00842D1E"/>
  </w:style>
  <w:style w:type="paragraph" w:styleId="NormalWeb">
    <w:name w:val="Normal (Web)"/>
    <w:basedOn w:val="Normal"/>
    <w:uiPriority w:val="99"/>
    <w:semiHidden/>
    <w:unhideWhenUsed/>
    <w:rsid w:val="0084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842D1E"/>
  </w:style>
  <w:style w:type="character" w:customStyle="1" w:styleId="Heading1Char">
    <w:name w:val="Heading 1 Char"/>
    <w:basedOn w:val="DefaultParagraphFont"/>
    <w:link w:val="Heading1"/>
    <w:uiPriority w:val="9"/>
    <w:rsid w:val="00842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2D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">
    <w:name w:val="p"/>
    <w:basedOn w:val="DefaultParagraphFont"/>
    <w:rsid w:val="00842D1E"/>
  </w:style>
  <w:style w:type="character" w:customStyle="1" w:styleId="c1">
    <w:name w:val="c1"/>
    <w:basedOn w:val="DefaultParagraphFont"/>
    <w:rsid w:val="00842D1E"/>
  </w:style>
  <w:style w:type="character" w:customStyle="1" w:styleId="mf">
    <w:name w:val="mf"/>
    <w:basedOn w:val="DefaultParagraphFont"/>
    <w:rsid w:val="00842D1E"/>
  </w:style>
  <w:style w:type="character" w:styleId="HTMLCode">
    <w:name w:val="HTML Code"/>
    <w:basedOn w:val="DefaultParagraphFont"/>
    <w:uiPriority w:val="99"/>
    <w:semiHidden/>
    <w:unhideWhenUsed/>
    <w:rsid w:val="00842D1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42D1E"/>
  </w:style>
  <w:style w:type="character" w:customStyle="1" w:styleId="nc">
    <w:name w:val="nc"/>
    <w:basedOn w:val="DefaultParagraphFont"/>
    <w:rsid w:val="00842D1E"/>
  </w:style>
  <w:style w:type="character" w:customStyle="1" w:styleId="fm">
    <w:name w:val="fm"/>
    <w:basedOn w:val="DefaultParagraphFont"/>
    <w:rsid w:val="00842D1E"/>
  </w:style>
  <w:style w:type="character" w:customStyle="1" w:styleId="bp">
    <w:name w:val="bp"/>
    <w:basedOn w:val="DefaultParagraphFont"/>
    <w:rsid w:val="00842D1E"/>
  </w:style>
  <w:style w:type="character" w:customStyle="1" w:styleId="kc">
    <w:name w:val="kc"/>
    <w:basedOn w:val="DefaultParagraphFont"/>
    <w:rsid w:val="00842D1E"/>
  </w:style>
  <w:style w:type="character" w:customStyle="1" w:styleId="nf">
    <w:name w:val="nf"/>
    <w:basedOn w:val="DefaultParagraphFont"/>
    <w:rsid w:val="00842D1E"/>
  </w:style>
  <w:style w:type="character" w:styleId="Hyperlink">
    <w:name w:val="Hyperlink"/>
    <w:basedOn w:val="DefaultParagraphFont"/>
    <w:uiPriority w:val="99"/>
    <w:semiHidden/>
    <w:unhideWhenUsed/>
    <w:rsid w:val="00842D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2D1E"/>
    <w:rPr>
      <w:b/>
      <w:bCs/>
    </w:rPr>
  </w:style>
  <w:style w:type="character" w:customStyle="1" w:styleId="m">
    <w:name w:val="m"/>
    <w:basedOn w:val="DefaultParagraphFont"/>
    <w:rsid w:val="0084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628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  <w:div w:id="1318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LoRa/" TargetMode="External"/><Relationship Id="rId13" Type="http://schemas.openxmlformats.org/officeDocument/2006/relationships/hyperlink" Target="http://www.semtech.com/images/datasheet/sx1276_77_78_79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spidev" TargetMode="External"/><Relationship Id="rId12" Type="http://schemas.openxmlformats.org/officeDocument/2006/relationships/hyperlink" Target="https://twitter.com/mayeranalytics" TargetMode="External"/><Relationship Id="rId17" Type="http://schemas.openxmlformats.org/officeDocument/2006/relationships/hyperlink" Target="https://github.com/mayeranalytics/pySX127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1.microchip.com/downloads/en/DeviceDoc/50002346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RPi.GPIO%22" TargetMode="External"/><Relationship Id="rId11" Type="http://schemas.openxmlformats.org/officeDocument/2006/relationships/hyperlink" Target="https://twitter.com/markuscmayer" TargetMode="External"/><Relationship Id="rId5" Type="http://schemas.openxmlformats.org/officeDocument/2006/relationships/hyperlink" Target="https://www.raspberrypi.org/documentation/hardware/raspberrypi/spi/README.md" TargetMode="External"/><Relationship Id="rId15" Type="http://schemas.openxmlformats.org/officeDocument/2006/relationships/hyperlink" Target="http://www.hoperf.com/" TargetMode="External"/><Relationship Id="rId10" Type="http://schemas.openxmlformats.org/officeDocument/2006/relationships/hyperlink" Target="http://mcmayer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yeranalytics.com/" TargetMode="External"/><Relationship Id="rId14" Type="http://schemas.openxmlformats.org/officeDocument/2006/relationships/hyperlink" Target="http://www.semtech.com/images/datasheet/sx12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2021-06-20T03:10:00Z</dcterms:created>
  <dcterms:modified xsi:type="dcterms:W3CDTF">2021-06-20T20:22:00Z</dcterms:modified>
</cp:coreProperties>
</file>