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amenvatting-kno-richtlijnen"/>
    <w:p>
      <w:pPr>
        <w:pStyle w:val="Heading1"/>
      </w:pPr>
      <w:r>
        <w:t xml:space="preserve">Samenvatting KNO-Richtlijnen</w:t>
      </w:r>
    </w:p>
    <w:p>
      <w:pPr>
        <w:pStyle w:val="FirstParagraph"/>
      </w:pPr>
      <w:r>
        <w:rPr>
          <w:bCs/>
          <w:b/>
        </w:rPr>
        <w:t xml:space="preserve">Studiemateriaal voor AIOS KNO — breed examenvoorbereiding</w:t>
      </w:r>
    </w:p>
    <w:p>
      <w:pPr>
        <w:pStyle w:val="Block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Deze samenvatting is gebaseerd op bekende inhoud van de NVKNO-richtlijnen. Raadpleeg altijd de actuele brontekst op kno.nl voor definitieve aanbevelingen.</w:t>
      </w:r>
    </w:p>
    <w:p>
      <w:r>
        <w:pict>
          <v:rect style="width:0;height:1.5pt" o:hralign="center" o:hrstd="t" o:hr="t"/>
        </w:pict>
      </w:r>
    </w:p>
    <w:bookmarkEnd w:id="20"/>
    <w:bookmarkStart w:id="103" w:name="otologie"/>
    <w:p>
      <w:pPr>
        <w:pStyle w:val="Heading1"/>
      </w:pPr>
      <w:r>
        <w:t xml:space="preserve">OTOLOGIE</w:t>
      </w:r>
    </w:p>
    <w:p>
      <w:r>
        <w:pict>
          <v:rect style="width:0;height:1.5pt" o:hralign="center" o:hrstd="t" o:hr="t"/>
        </w:pict>
      </w:r>
    </w:p>
    <w:bookmarkStart w:id="26" w:name="Xf9e88fabe880fa6c2cf11561756efbb0ef47c31"/>
    <w:p>
      <w:pPr>
        <w:pStyle w:val="Heading2"/>
      </w:pPr>
      <w:r>
        <w:t xml:space="preserve">1. Audiologische zorg voor slechthorende volwassenen</w:t>
      </w:r>
    </w:p>
    <w:bookmarkStart w:id="21" w:name="definitie-context"/>
    <w:p>
      <w:pPr>
        <w:pStyle w:val="Heading3"/>
      </w:pPr>
      <w:r>
        <w:t xml:space="preserve">Definitie &amp; context</w:t>
      </w:r>
    </w:p>
    <w:p>
      <w:pPr>
        <w:pStyle w:val="FirstParagraph"/>
      </w:pPr>
      <w:r>
        <w:t xml:space="preserve">Richtlijn voor de organisatie van audiologische zorg voor volwassenen (≥18 jaar) met gehoorverlies. Doel: tijdige signalering, juiste diagnostiek en passende interventie.</w:t>
      </w:r>
    </w:p>
    <w:bookmarkEnd w:id="21"/>
    <w:bookmarkStart w:id="22" w:name="diagnostiek"/>
    <w:p>
      <w:pPr>
        <w:pStyle w:val="Heading3"/>
      </w:pPr>
      <w:r>
        <w:t xml:space="preserve">Diagnostiek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PTA4</w:t>
      </w:r>
      <w:r>
        <w:t xml:space="preserve"> </w:t>
      </w:r>
      <w:r>
        <w:t xml:space="preserve">(gemiddelde luchtgeleidingsdrempel bij 500, 1000, 2000 en 4000 Hz) is de standaard maat</w:t>
      </w:r>
    </w:p>
    <w:p>
      <w:pPr>
        <w:numPr>
          <w:ilvl w:val="0"/>
          <w:numId w:val="1001"/>
        </w:numPr>
        <w:pStyle w:val="Compact"/>
      </w:pPr>
      <w:r>
        <w:t xml:space="preserve">Slechthorendheid: PTA4 &gt; 25 dB</w:t>
      </w:r>
    </w:p>
    <w:p>
      <w:pPr>
        <w:numPr>
          <w:ilvl w:val="0"/>
          <w:numId w:val="1001"/>
        </w:numPr>
        <w:pStyle w:val="Compact"/>
      </w:pPr>
      <w:r>
        <w:t xml:space="preserve">Ernst:</w:t>
      </w:r>
    </w:p>
    <w:p>
      <w:pPr>
        <w:numPr>
          <w:ilvl w:val="1"/>
          <w:numId w:val="1002"/>
        </w:numPr>
        <w:pStyle w:val="Compact"/>
      </w:pPr>
      <w:r>
        <w:t xml:space="preserve">Licht: 26–40 dB</w:t>
      </w:r>
    </w:p>
    <w:p>
      <w:pPr>
        <w:numPr>
          <w:ilvl w:val="1"/>
          <w:numId w:val="1002"/>
        </w:numPr>
        <w:pStyle w:val="Compact"/>
      </w:pPr>
      <w:r>
        <w:t xml:space="preserve">Matig: 41–60 dB</w:t>
      </w:r>
    </w:p>
    <w:p>
      <w:pPr>
        <w:numPr>
          <w:ilvl w:val="1"/>
          <w:numId w:val="1002"/>
        </w:numPr>
        <w:pStyle w:val="Compact"/>
      </w:pPr>
      <w:r>
        <w:t xml:space="preserve">Ernstig: 61–80 dB</w:t>
      </w:r>
    </w:p>
    <w:p>
      <w:pPr>
        <w:numPr>
          <w:ilvl w:val="1"/>
          <w:numId w:val="1002"/>
        </w:numPr>
        <w:pStyle w:val="Compact"/>
      </w:pPr>
      <w:r>
        <w:t xml:space="preserve">Zeer ernstig/doof: &gt;80 dB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Spraakaudiogram</w:t>
      </w:r>
      <w:r>
        <w:t xml:space="preserve">: spraakverstaansdrempel (SRT) en maximaal spraakverstaan (MS%)</w:t>
      </w:r>
    </w:p>
    <w:p>
      <w:pPr>
        <w:numPr>
          <w:ilvl w:val="0"/>
          <w:numId w:val="1001"/>
        </w:numPr>
        <w:pStyle w:val="Compact"/>
      </w:pPr>
      <w:r>
        <w:t xml:space="preserve">Tympanometrie en stapediusreflexen</w:t>
      </w:r>
    </w:p>
    <w:p>
      <w:pPr>
        <w:numPr>
          <w:ilvl w:val="0"/>
          <w:numId w:val="1001"/>
        </w:numPr>
        <w:pStyle w:val="Compact"/>
      </w:pPr>
      <w:r>
        <w:t xml:space="preserve">Aanvullend bij verdenking retrocochleair: MRI inwendig gehoorgang (VSP-protocol)</w:t>
      </w:r>
    </w:p>
    <w:bookmarkEnd w:id="22"/>
    <w:bookmarkStart w:id="23" w:name="verwijscriteria-naar-kno-arts"/>
    <w:p>
      <w:pPr>
        <w:pStyle w:val="Heading3"/>
      </w:pPr>
      <w:r>
        <w:t xml:space="preserve">Verwijscriteria naar KNO-arts</w:t>
      </w:r>
    </w:p>
    <w:p>
      <w:pPr>
        <w:numPr>
          <w:ilvl w:val="0"/>
          <w:numId w:val="1003"/>
        </w:numPr>
        <w:pStyle w:val="Compact"/>
      </w:pPr>
      <w:r>
        <w:t xml:space="preserve">Asymmetrisch gehoorverlies (&gt;15 dB verschil bij 2+ frequenties)</w:t>
      </w:r>
    </w:p>
    <w:p>
      <w:pPr>
        <w:numPr>
          <w:ilvl w:val="0"/>
          <w:numId w:val="1003"/>
        </w:numPr>
        <w:pStyle w:val="Compact"/>
      </w:pPr>
      <w:r>
        <w:t xml:space="preserve">Acuut perceptief gehoorverlies</w:t>
      </w:r>
    </w:p>
    <w:p>
      <w:pPr>
        <w:numPr>
          <w:ilvl w:val="0"/>
          <w:numId w:val="1003"/>
        </w:numPr>
        <w:pStyle w:val="Compact"/>
      </w:pPr>
      <w:r>
        <w:t xml:space="preserve">Tinnitus (unilateraal of pulsatiel)</w:t>
      </w:r>
    </w:p>
    <w:p>
      <w:pPr>
        <w:numPr>
          <w:ilvl w:val="0"/>
          <w:numId w:val="1003"/>
        </w:numPr>
        <w:pStyle w:val="Compact"/>
      </w:pPr>
      <w:r>
        <w:t xml:space="preserve">Oorpijn, otorroe, duizeligheid</w:t>
      </w:r>
    </w:p>
    <w:bookmarkEnd w:id="23"/>
    <w:bookmarkStart w:id="24" w:name="X74ef6027be6a52a8f8569fa0b83efd60978f024"/>
    <w:p>
      <w:pPr>
        <w:pStyle w:val="Heading3"/>
      </w:pPr>
      <w:r>
        <w:t xml:space="preserve">Verwijscriteria naar audiologisch centrum (AC)</w:t>
      </w:r>
    </w:p>
    <w:p>
      <w:pPr>
        <w:numPr>
          <w:ilvl w:val="0"/>
          <w:numId w:val="1004"/>
        </w:numPr>
        <w:pStyle w:val="Compact"/>
      </w:pPr>
      <w:r>
        <w:t xml:space="preserve">PTA4 &gt; 35 dB en kandidaat voor hoortoestel</w:t>
      </w:r>
    </w:p>
    <w:p>
      <w:pPr>
        <w:numPr>
          <w:ilvl w:val="0"/>
          <w:numId w:val="1004"/>
        </w:numPr>
        <w:pStyle w:val="Compact"/>
      </w:pPr>
      <w:r>
        <w:t xml:space="preserve">Complexe aanpassing, bijv. bij cognitieve beperking, ernstig verlies</w:t>
      </w:r>
    </w:p>
    <w:bookmarkEnd w:id="24"/>
    <w:bookmarkStart w:id="25" w:name="hoortoestelverstrekking"/>
    <w:p>
      <w:pPr>
        <w:pStyle w:val="Heading3"/>
      </w:pPr>
      <w:r>
        <w:t xml:space="preserve">Hoortoestelverstrekking</w:t>
      </w:r>
    </w:p>
    <w:p>
      <w:pPr>
        <w:numPr>
          <w:ilvl w:val="0"/>
          <w:numId w:val="1005"/>
        </w:numPr>
        <w:pStyle w:val="Compact"/>
      </w:pPr>
      <w:r>
        <w:t xml:space="preserve">Indicatie: PTA4 ≥ 35 dB op het beste oor, of significante communicatieve klachten bij lager verlies</w:t>
      </w:r>
    </w:p>
    <w:p>
      <w:pPr>
        <w:numPr>
          <w:ilvl w:val="0"/>
          <w:numId w:val="1005"/>
        </w:numPr>
        <w:pStyle w:val="Compact"/>
      </w:pPr>
      <w:r>
        <w:t xml:space="preserve">Verzekerd via basisverzekering (bijdrage van patiënt afhankelijk van type toestel)</w:t>
      </w:r>
    </w:p>
    <w:p>
      <w:pPr>
        <w:numPr>
          <w:ilvl w:val="0"/>
          <w:numId w:val="1005"/>
        </w:numPr>
        <w:pStyle w:val="Compact"/>
      </w:pPr>
      <w:r>
        <w:t xml:space="preserve">Proefperiode vóór definitieve aanschaf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bone-conduction-devices-bcd"/>
    <w:p>
      <w:pPr>
        <w:pStyle w:val="Heading2"/>
      </w:pPr>
      <w:r>
        <w:t xml:space="preserve">2. Bone Conduction Devices (BCD)</w:t>
      </w:r>
    </w:p>
    <w:bookmarkStart w:id="27" w:name="indicaties"/>
    <w:p>
      <w:pPr>
        <w:pStyle w:val="Heading3"/>
      </w:pPr>
      <w:r>
        <w:t xml:space="preserve">Indicaties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Conductief/gemengd gehoorverlies</w:t>
      </w:r>
      <w:r>
        <w:t xml:space="preserve"> </w:t>
      </w:r>
      <w:r>
        <w:t xml:space="preserve">waarbij conventioneel hoortoestel niet mogelijk of onvoldoende is (bijv. microtie/atresie, chronische otorroe, drukintolerantie)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Enkelzijdige doofheid (SSD)</w:t>
      </w:r>
      <w:r>
        <w:t xml:space="preserve"> </w:t>
      </w:r>
      <w:r>
        <w:t xml:space="preserve">— om CROS-effect te verkrijgen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Gemengd verlies</w:t>
      </w:r>
      <w:r>
        <w:t xml:space="preserve">: beengeleiding PTA ≤ 45 dB HL (voor standaard BCD), ≤ 55 dB bij sommige actieve implantaten</w:t>
      </w:r>
    </w:p>
    <w:bookmarkEnd w:id="27"/>
    <w:bookmarkStart w:id="28" w:name="typen-bcd"/>
    <w:p>
      <w:pPr>
        <w:pStyle w:val="Heading3"/>
      </w:pPr>
      <w:r>
        <w:t xml:space="preserve">Typen BCD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352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Percutaan (BAHA)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Cochlear Baha, Oticon 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Huidpenetrerende titaniumpen; beste krachtsoverdracht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Transcutaan passief (magnetisch)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Baha Attract, Ponto Attract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huidpenetratie; enig verlies krachtsoverdracht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Actief transcutaan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Bonebridge (MED-EL), Osia (Cochlear)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Implantaat in bot; piezo-electric actuator; betere kracht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Beengeleidingsbril /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Niet-invasief; tijdelijk/kinderen &lt;5 jaar</w:t>
            </w:r>
          </w:p>
        </w:tc>
      </w:tr>
    </w:tbl>
    <w:bookmarkEnd w:id="28"/>
    <w:bookmarkStart w:id="29" w:name="selectiecriteria"/>
    <w:p>
      <w:pPr>
        <w:pStyle w:val="Heading3"/>
      </w:pPr>
      <w:r>
        <w:t xml:space="preserve">Selectiecriteria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Beengeleidingsdrempel (BC-PTA)</w:t>
      </w:r>
      <w:r>
        <w:t xml:space="preserve">: ≤ 45 dB voor conventioneel BCD; ≤ 55 dB voor Osia/Bonebridge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Lucht-beengeleiding (AC-BC gap)</w:t>
      </w:r>
      <w:r>
        <w:t xml:space="preserve">: conductief of gemengd verlies met gap ≥ 30 dB</w:t>
      </w:r>
    </w:p>
    <w:p>
      <w:pPr>
        <w:numPr>
          <w:ilvl w:val="0"/>
          <w:numId w:val="1007"/>
        </w:numPr>
        <w:pStyle w:val="Compact"/>
      </w:pPr>
      <w:r>
        <w:t xml:space="preserve">SSD: normale BC op slechte oor (doofheid) + gezond tegenoor</w:t>
      </w:r>
    </w:p>
    <w:p>
      <w:pPr>
        <w:numPr>
          <w:ilvl w:val="0"/>
          <w:numId w:val="1007"/>
        </w:numPr>
        <w:pStyle w:val="Compact"/>
      </w:pPr>
      <w:r>
        <w:t xml:space="preserve">Leeftijd: percutane implantaten voorkeur ≥ 5 jaar (schedeldikte); jongere kinderen: soft band</w:t>
      </w:r>
    </w:p>
    <w:bookmarkEnd w:id="29"/>
    <w:bookmarkStart w:id="30" w:name="pre-operatieve-evaluatie"/>
    <w:p>
      <w:pPr>
        <w:pStyle w:val="Heading3"/>
      </w:pPr>
      <w:r>
        <w:t xml:space="preserve">Pre-operatieve evaluatie</w:t>
      </w:r>
    </w:p>
    <w:p>
      <w:pPr>
        <w:numPr>
          <w:ilvl w:val="0"/>
          <w:numId w:val="1008"/>
        </w:numPr>
        <w:pStyle w:val="Compact"/>
      </w:pPr>
      <w:r>
        <w:t xml:space="preserve">Audiogram (BC én AC), spraakaudiogram</w:t>
      </w:r>
    </w:p>
    <w:p>
      <w:pPr>
        <w:numPr>
          <w:ilvl w:val="0"/>
          <w:numId w:val="1008"/>
        </w:numPr>
        <w:pStyle w:val="Compact"/>
      </w:pPr>
      <w:r>
        <w:t xml:space="preserve">CT schedelbasis (botstructuur)</w:t>
      </w:r>
    </w:p>
    <w:p>
      <w:pPr>
        <w:numPr>
          <w:ilvl w:val="0"/>
          <w:numId w:val="1008"/>
        </w:numPr>
        <w:pStyle w:val="Compact"/>
      </w:pPr>
      <w:r>
        <w:t xml:space="preserve">Proefperiode met soft band of demobanden</w:t>
      </w:r>
    </w:p>
    <w:bookmarkEnd w:id="30"/>
    <w:bookmarkStart w:id="31" w:name="complicaties-percutaan"/>
    <w:p>
      <w:pPr>
        <w:pStyle w:val="Heading3"/>
      </w:pPr>
      <w:r>
        <w:t xml:space="preserve">Complicaties (percutaan)</w:t>
      </w:r>
    </w:p>
    <w:p>
      <w:pPr>
        <w:numPr>
          <w:ilvl w:val="0"/>
          <w:numId w:val="1009"/>
        </w:numPr>
        <w:pStyle w:val="Compact"/>
      </w:pPr>
      <w:r>
        <w:t xml:space="preserve">Huidreacties rondom abutment (Holgers graad 0–4)</w:t>
      </w:r>
    </w:p>
    <w:p>
      <w:pPr>
        <w:numPr>
          <w:ilvl w:val="0"/>
          <w:numId w:val="1009"/>
        </w:numPr>
        <w:pStyle w:val="Compact"/>
      </w:pPr>
      <w:r>
        <w:t xml:space="preserve">Verlies osseo-integratie</w:t>
      </w:r>
    </w:p>
    <w:p>
      <w:pPr>
        <w:numPr>
          <w:ilvl w:val="0"/>
          <w:numId w:val="1009"/>
        </w:numPr>
        <w:pStyle w:val="Compact"/>
      </w:pPr>
      <w:r>
        <w:t xml:space="preserve">Pijn, infectie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follow-up-na-cholesteatoomchirurgie"/>
    <w:p>
      <w:pPr>
        <w:pStyle w:val="Heading2"/>
      </w:pPr>
      <w:r>
        <w:t xml:space="preserve">3. Follow-up na cholesteatoomchirurgie</w:t>
      </w:r>
    </w:p>
    <w:bookmarkStart w:id="33" w:name="achtergrond"/>
    <w:p>
      <w:pPr>
        <w:pStyle w:val="Heading3"/>
      </w:pPr>
      <w:r>
        <w:t xml:space="preserve">Achtergrond</w:t>
      </w:r>
    </w:p>
    <w:p>
      <w:pPr>
        <w:pStyle w:val="FirstParagraph"/>
      </w:pPr>
      <w:r>
        <w:t xml:space="preserve">Cholesteatoom heeft kans op recidief (residueel of recidiverend); follow-up is essentieel voor vroege detectie.</w:t>
      </w:r>
    </w:p>
    <w:bookmarkEnd w:id="33"/>
    <w:bookmarkStart w:id="34" w:name="chirurgische-technieken"/>
    <w:p>
      <w:pPr>
        <w:pStyle w:val="Heading3"/>
      </w:pPr>
      <w:r>
        <w:t xml:space="preserve">Chirurgische technieken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Gesloten techniek (Canal Wall Up, CWU)</w:t>
      </w:r>
      <w:r>
        <w:t xml:space="preserve">: hogere recidiefkans, tweede operatie (second-look) na 12 maanden vaak nodig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Open techniek (Canal Wall Down, CWD)</w:t>
      </w:r>
      <w:r>
        <w:t xml:space="preserve">: meatoplastiek en regelmatige reiniging; lager recidiefrisico maar functionele nadelen</w:t>
      </w:r>
    </w:p>
    <w:bookmarkEnd w:id="34"/>
    <w:bookmarkStart w:id="35" w:name="follow-up-schema"/>
    <w:p>
      <w:pPr>
        <w:pStyle w:val="Heading3"/>
      </w:pPr>
      <w:r>
        <w:t xml:space="preserve">Follow-up schema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Na CWU</w:t>
      </w:r>
      <w:r>
        <w:t xml:space="preserve">: DW-MRI na 12 maanden + tweede operatie (second-look)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Na CWD</w:t>
      </w:r>
      <w:r>
        <w:t xml:space="preserve">: levenslang poliklinisch (3-12 maandelijks) voor reiniging mastoidholte</w:t>
      </w:r>
    </w:p>
    <w:p>
      <w:pPr>
        <w:numPr>
          <w:ilvl w:val="0"/>
          <w:numId w:val="1011"/>
        </w:numPr>
        <w:pStyle w:val="Compact"/>
      </w:pPr>
      <w:r>
        <w:t xml:space="preserve">Bij geen bewijs van recidief op DW-MRI: follow-up interval kan worden verlengd</w:t>
      </w:r>
    </w:p>
    <w:bookmarkEnd w:id="35"/>
    <w:bookmarkStart w:id="36" w:name="non-epi-dw-mri"/>
    <w:p>
      <w:pPr>
        <w:pStyle w:val="Heading3"/>
      </w:pPr>
      <w:r>
        <w:t xml:space="preserve">Non-EPI DW-MRI</w:t>
      </w:r>
    </w:p>
    <w:p>
      <w:pPr>
        <w:numPr>
          <w:ilvl w:val="0"/>
          <w:numId w:val="1012"/>
        </w:numPr>
        <w:pStyle w:val="Compact"/>
      </w:pPr>
      <w:r>
        <w:t xml:space="preserve">Methode van keuze voor niet-invasieve recidiefdetectie</w:t>
      </w:r>
    </w:p>
    <w:p>
      <w:pPr>
        <w:numPr>
          <w:ilvl w:val="0"/>
          <w:numId w:val="1012"/>
        </w:numPr>
        <w:pStyle w:val="Compact"/>
      </w:pPr>
      <w:r>
        <w:t xml:space="preserve">Sensitiviteit en specificiteit &gt;90% voor cholesteatoom ≥3 mm</w:t>
      </w:r>
    </w:p>
    <w:p>
      <w:pPr>
        <w:numPr>
          <w:ilvl w:val="0"/>
          <w:numId w:val="1012"/>
        </w:numPr>
        <w:pStyle w:val="Compact"/>
      </w:pPr>
      <w:r>
        <w:t xml:space="preserve">Voordeel boven conventionele MRI: minder susceptibiliteitsartefacten</w:t>
      </w:r>
    </w:p>
    <w:p>
      <w:pPr>
        <w:numPr>
          <w:ilvl w:val="0"/>
          <w:numId w:val="1012"/>
        </w:numPr>
        <w:pStyle w:val="Compact"/>
      </w:pPr>
      <w:r>
        <w:t xml:space="preserve">Uitvoeren op minimum 9–12 maanden postoperatief</w:t>
      </w:r>
    </w:p>
    <w:bookmarkEnd w:id="36"/>
    <w:bookmarkStart w:id="37" w:name="indicatie-second-look-operatie"/>
    <w:p>
      <w:pPr>
        <w:pStyle w:val="Heading3"/>
      </w:pPr>
      <w:r>
        <w:t xml:space="preserve">Indicatie second-look operatie</w:t>
      </w:r>
    </w:p>
    <w:p>
      <w:pPr>
        <w:numPr>
          <w:ilvl w:val="0"/>
          <w:numId w:val="1013"/>
        </w:numPr>
        <w:pStyle w:val="Compact"/>
      </w:pPr>
      <w:r>
        <w:t xml:space="preserve">Gesloten techniek met verdenking residueel cholesteatoom op DW-MRI</w:t>
      </w:r>
    </w:p>
    <w:p>
      <w:pPr>
        <w:numPr>
          <w:ilvl w:val="0"/>
          <w:numId w:val="1013"/>
        </w:numPr>
        <w:pStyle w:val="Compact"/>
      </w:pPr>
      <w:r>
        <w:t xml:space="preserve">Reconstructie gehoorbeentjes (ossiculoplastiek) bij gelegenheid</w:t>
      </w:r>
    </w:p>
    <w:bookmarkEnd w:id="37"/>
    <w:bookmarkStart w:id="38" w:name="audiologische-follow-up"/>
    <w:p>
      <w:pPr>
        <w:pStyle w:val="Heading3"/>
      </w:pPr>
      <w:r>
        <w:t xml:space="preserve">Audiologische follow-up</w:t>
      </w:r>
    </w:p>
    <w:p>
      <w:pPr>
        <w:numPr>
          <w:ilvl w:val="0"/>
          <w:numId w:val="1014"/>
        </w:numPr>
        <w:pStyle w:val="Compact"/>
      </w:pPr>
      <w:r>
        <w:t xml:space="preserve">Toonaudiogram pre- en postoperatief</w:t>
      </w:r>
    </w:p>
    <w:p>
      <w:pPr>
        <w:numPr>
          <w:ilvl w:val="0"/>
          <w:numId w:val="1014"/>
        </w:numPr>
        <w:pStyle w:val="Compact"/>
      </w:pPr>
      <w:r>
        <w:t xml:space="preserve">Hoorresultaten (AC-BC gap na ossiculoplastiek)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Xead62d9948fdabaf5cd73c2f96afcbc6eaf35f4"/>
    <w:p>
      <w:pPr>
        <w:pStyle w:val="Heading2"/>
      </w:pPr>
      <w:r>
        <w:t xml:space="preserve">4. Hoorzorg voor slechthorende kinderen van 4 tot 18 jaar</w:t>
      </w:r>
    </w:p>
    <w:bookmarkStart w:id="4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Aanvulling op neonatale gehoorscreening en audiologische zorg 0-4 jaar; gericht op schoolgaande kinderen.</w:t>
      </w:r>
    </w:p>
    <w:bookmarkEnd w:id="40"/>
    <w:bookmarkStart w:id="41" w:name="signalering"/>
    <w:p>
      <w:pPr>
        <w:pStyle w:val="Heading3"/>
      </w:pPr>
      <w:r>
        <w:t xml:space="preserve">Signalering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School-audiometrie</w:t>
      </w:r>
      <w:r>
        <w:t xml:space="preserve"> </w:t>
      </w:r>
      <w:r>
        <w:t xml:space="preserve">(schoolarts/jeugdarts): OAE-screening op scholen</w:t>
      </w:r>
    </w:p>
    <w:p>
      <w:pPr>
        <w:numPr>
          <w:ilvl w:val="0"/>
          <w:numId w:val="1015"/>
        </w:numPr>
        <w:pStyle w:val="Compact"/>
      </w:pPr>
      <w:r>
        <w:t xml:space="preserve">Signalering door ouders, leerkrachten, huisarts</w:t>
      </w:r>
    </w:p>
    <w:p>
      <w:pPr>
        <w:numPr>
          <w:ilvl w:val="0"/>
          <w:numId w:val="1015"/>
        </w:numPr>
        <w:pStyle w:val="Compact"/>
      </w:pPr>
      <w:r>
        <w:t xml:space="preserve">Aandachtspunten: taalachterstand, slechte schoolprestaties, sociaal isolement</w:t>
      </w:r>
    </w:p>
    <w:bookmarkEnd w:id="41"/>
    <w:bookmarkStart w:id="42" w:name="diagnostiek-1"/>
    <w:p>
      <w:pPr>
        <w:pStyle w:val="Heading3"/>
      </w:pPr>
      <w:r>
        <w:t xml:space="preserve">Diagnostiek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Pure tone audiometrie (PTA)</w:t>
      </w:r>
      <w:r>
        <w:t xml:space="preserve">: mogelijk vanaf ca. 3–4 jaar</w:t>
      </w:r>
    </w:p>
    <w:p>
      <w:pPr>
        <w:numPr>
          <w:ilvl w:val="0"/>
          <w:numId w:val="1016"/>
        </w:numPr>
        <w:pStyle w:val="Compact"/>
      </w:pPr>
      <w:r>
        <w:t xml:space="preserve">Spraakaudiometrie (NVA-woordenlijsten), aangevuld met zinnen in ruis (DIN-test)</w:t>
      </w:r>
    </w:p>
    <w:p>
      <w:pPr>
        <w:numPr>
          <w:ilvl w:val="0"/>
          <w:numId w:val="1016"/>
        </w:numPr>
        <w:pStyle w:val="Compact"/>
      </w:pPr>
      <w:r>
        <w:t xml:space="preserve">Tympanometrie</w:t>
      </w:r>
    </w:p>
    <w:p>
      <w:pPr>
        <w:numPr>
          <w:ilvl w:val="0"/>
          <w:numId w:val="1016"/>
        </w:numPr>
        <w:pStyle w:val="Compact"/>
      </w:pPr>
      <w:r>
        <w:t xml:space="preserve">AC Audiologisch Centrum voor complexe casuïstiek</w:t>
      </w:r>
    </w:p>
    <w:bookmarkEnd w:id="42"/>
    <w:bookmarkStart w:id="43" w:name="gehoorverlies-bij-kinderen-oorzaken"/>
    <w:p>
      <w:pPr>
        <w:pStyle w:val="Heading3"/>
      </w:pPr>
      <w:r>
        <w:t xml:space="preserve">Gehoorverlies bij kinderen (oorzaken)</w:t>
      </w:r>
    </w:p>
    <w:p>
      <w:pPr>
        <w:numPr>
          <w:ilvl w:val="0"/>
          <w:numId w:val="1017"/>
        </w:numPr>
        <w:pStyle w:val="Compact"/>
      </w:pPr>
      <w:r>
        <w:t xml:space="preserve">Otitis media met effusie (OME): meest voorkomend geleidingsverlies</w:t>
      </w:r>
    </w:p>
    <w:p>
      <w:pPr>
        <w:numPr>
          <w:ilvl w:val="0"/>
          <w:numId w:val="1017"/>
        </w:numPr>
        <w:pStyle w:val="Compact"/>
      </w:pPr>
      <w:r>
        <w:t xml:space="preserve">Genetisch: connexine 26 (GJB2), DFNB/DFNA-loci</w:t>
      </w:r>
    </w:p>
    <w:p>
      <w:pPr>
        <w:numPr>
          <w:ilvl w:val="0"/>
          <w:numId w:val="1017"/>
        </w:numPr>
        <w:pStyle w:val="Compact"/>
      </w:pPr>
      <w:r>
        <w:t xml:space="preserve">Verworven: CMV, meningitis, medicamenteus (aminoglycosiden, cisplatine)</w:t>
      </w:r>
    </w:p>
    <w:bookmarkEnd w:id="43"/>
    <w:bookmarkStart w:id="44" w:name="hoortoestelverstrekking-1"/>
    <w:p>
      <w:pPr>
        <w:pStyle w:val="Heading3"/>
      </w:pPr>
      <w:r>
        <w:t xml:space="preserve">Hoortoestelverstrekking</w:t>
      </w:r>
    </w:p>
    <w:p>
      <w:pPr>
        <w:numPr>
          <w:ilvl w:val="0"/>
          <w:numId w:val="1018"/>
        </w:numPr>
        <w:pStyle w:val="Compact"/>
      </w:pPr>
      <w:r>
        <w:t xml:space="preserve">Indicatie: gehoorverlies met functionele gevolgen of PTA4 ≥ 35 dB</w:t>
      </w:r>
    </w:p>
    <w:p>
      <w:pPr>
        <w:numPr>
          <w:ilvl w:val="0"/>
          <w:numId w:val="1018"/>
        </w:numPr>
        <w:pStyle w:val="Compact"/>
      </w:pPr>
      <w:r>
        <w:t xml:space="preserve">Aanpassing via AC, begeleiding logopedist en audiologisch maatschappelijk werk</w:t>
      </w:r>
    </w:p>
    <w:p>
      <w:pPr>
        <w:numPr>
          <w:ilvl w:val="0"/>
          <w:numId w:val="1018"/>
        </w:numPr>
        <w:pStyle w:val="Compact"/>
      </w:pPr>
      <w:r>
        <w:t xml:space="preserve">Toestellen volledig vergoed vanuit basisverzekering voor kinderen</w:t>
      </w:r>
    </w:p>
    <w:bookmarkEnd w:id="44"/>
    <w:bookmarkStart w:id="45" w:name="begeleiding"/>
    <w:p>
      <w:pPr>
        <w:pStyle w:val="Heading3"/>
      </w:pPr>
      <w:r>
        <w:t xml:space="preserve">Begeleiding</w:t>
      </w:r>
    </w:p>
    <w:p>
      <w:pPr>
        <w:numPr>
          <w:ilvl w:val="0"/>
          <w:numId w:val="1019"/>
        </w:numPr>
        <w:pStyle w:val="Compact"/>
      </w:pPr>
      <w:r>
        <w:t xml:space="preserve">Onderwijsondersteuning: FM-systemen op school, speciale onderwijs-arrangementen</w:t>
      </w:r>
    </w:p>
    <w:p>
      <w:pPr>
        <w:numPr>
          <w:ilvl w:val="0"/>
          <w:numId w:val="1019"/>
        </w:numPr>
        <w:pStyle w:val="Compact"/>
      </w:pPr>
      <w:r>
        <w:t xml:space="preserve">Logopedische therapie bij spraak-taalachterstand</w:t>
      </w:r>
    </w:p>
    <w:p>
      <w:pPr>
        <w:numPr>
          <w:ilvl w:val="0"/>
          <w:numId w:val="1019"/>
        </w:numPr>
        <w:pStyle w:val="Compact"/>
      </w:pPr>
      <w:r>
        <w:t xml:space="preserve">Periodieke evaluatie: elk jaar audiogram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X9dd75cb26e1c944d40891dc0c190eedc81ddcc8"/>
    <w:p>
      <w:pPr>
        <w:pStyle w:val="Heading2"/>
      </w:pPr>
      <w:r>
        <w:t xml:space="preserve">5. Necrotiserende otitis externa (NOE) / Osteomyelitis schedelbasis</w:t>
      </w:r>
    </w:p>
    <w:bookmarkStart w:id="47" w:name="definitie"/>
    <w:p>
      <w:pPr>
        <w:pStyle w:val="Heading3"/>
      </w:pPr>
      <w:r>
        <w:t xml:space="preserve">Definitie</w:t>
      </w:r>
    </w:p>
    <w:p>
      <w:pPr>
        <w:pStyle w:val="FirstParagraph"/>
      </w:pPr>
      <w:r>
        <w:t xml:space="preserve">Invasieve infectie van gehoorgang die uitbreidt naar schedelbasis; ook wel maligne otitis externa. Levensbedreigende aandoening.</w:t>
      </w:r>
    </w:p>
    <w:bookmarkEnd w:id="47"/>
    <w:bookmarkStart w:id="48" w:name="epidemiologie-risicofactoren"/>
    <w:p>
      <w:pPr>
        <w:pStyle w:val="Heading3"/>
      </w:pPr>
      <w:r>
        <w:t xml:space="preserve">Epidemiologie &amp; risicofactoren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Diabetes mellitus</w:t>
      </w:r>
      <w:r>
        <w:t xml:space="preserve"> </w:t>
      </w:r>
      <w:r>
        <w:t xml:space="preserve">(meest voorkomende risicofactor, micro-angiopathie)</w:t>
      </w:r>
    </w:p>
    <w:p>
      <w:pPr>
        <w:numPr>
          <w:ilvl w:val="0"/>
          <w:numId w:val="1020"/>
        </w:numPr>
        <w:pStyle w:val="Compact"/>
      </w:pPr>
      <w:r>
        <w:t xml:space="preserve">Immuunsuppressie: HIV, chemotherapie, hematologische maligniteiten</w:t>
      </w:r>
    </w:p>
    <w:p>
      <w:pPr>
        <w:numPr>
          <w:ilvl w:val="0"/>
          <w:numId w:val="1020"/>
        </w:numPr>
        <w:pStyle w:val="Compact"/>
      </w:pPr>
      <w:r>
        <w:t xml:space="preserve">Ouderen</w:t>
      </w:r>
    </w:p>
    <w:bookmarkEnd w:id="48"/>
    <w:bookmarkStart w:id="49" w:name="verwekkers"/>
    <w:p>
      <w:pPr>
        <w:pStyle w:val="Heading3"/>
      </w:pPr>
      <w:r>
        <w:t xml:space="preserve">Verwekkers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Pseudomonas aeruginosa</w:t>
      </w:r>
      <w:r>
        <w:t xml:space="preserve"> </w:t>
      </w:r>
      <w:r>
        <w:t xml:space="preserve">(&gt;90%)</w:t>
      </w:r>
    </w:p>
    <w:p>
      <w:pPr>
        <w:numPr>
          <w:ilvl w:val="0"/>
          <w:numId w:val="1021"/>
        </w:numPr>
        <w:pStyle w:val="Compact"/>
      </w:pPr>
      <w:r>
        <w:t xml:space="preserve">Zelden: Aspergillus (bij ernstig immunogecompromitteerden), MRSA, andere Gram-negatieven</w:t>
      </w:r>
    </w:p>
    <w:bookmarkEnd w:id="49"/>
    <w:bookmarkStart w:id="50" w:name="kliniek"/>
    <w:p>
      <w:pPr>
        <w:pStyle w:val="Heading3"/>
      </w:pPr>
      <w:r>
        <w:t xml:space="preserve">Kliniek</w:t>
      </w:r>
    </w:p>
    <w:p>
      <w:pPr>
        <w:numPr>
          <w:ilvl w:val="0"/>
          <w:numId w:val="1022"/>
        </w:numPr>
        <w:pStyle w:val="Compact"/>
      </w:pPr>
      <w:r>
        <w:t xml:space="preserve">Ernstige, aanhoudende oorpijn (niet proportioneel aan bevindingen)</w:t>
      </w:r>
    </w:p>
    <w:p>
      <w:pPr>
        <w:numPr>
          <w:ilvl w:val="0"/>
          <w:numId w:val="1022"/>
        </w:numPr>
        <w:pStyle w:val="Compact"/>
      </w:pPr>
      <w:r>
        <w:t xml:space="preserve">Otorroe</w:t>
      </w:r>
    </w:p>
    <w:p>
      <w:pPr>
        <w:numPr>
          <w:ilvl w:val="0"/>
          <w:numId w:val="1022"/>
        </w:numPr>
        <w:pStyle w:val="Compact"/>
      </w:pPr>
      <w:r>
        <w:t xml:space="preserve">Granulaties op vloer gehoorgang (bodem-oorspleet, pathognomonisch)</w:t>
      </w:r>
    </w:p>
    <w:p>
      <w:pPr>
        <w:numPr>
          <w:ilvl w:val="0"/>
          <w:numId w:val="1022"/>
        </w:numPr>
        <w:pStyle w:val="Compact"/>
      </w:pPr>
      <w:r>
        <w:t xml:space="preserve">Craniale zenuwuitval: n. VII (facialis), IX, X, XI →</w:t>
      </w:r>
      <w:r>
        <w:t xml:space="preserve"> </w:t>
      </w:r>
      <w:r>
        <w:t xml:space="preserve">“</w:t>
      </w:r>
      <w:r>
        <w:t xml:space="preserve">jugulare foramen syndroom</w:t>
      </w:r>
      <w:r>
        <w:t xml:space="preserve">”</w:t>
      </w:r>
    </w:p>
    <w:bookmarkEnd w:id="50"/>
    <w:bookmarkStart w:id="51" w:name="diagnostiek-2"/>
    <w:p>
      <w:pPr>
        <w:pStyle w:val="Heading3"/>
      </w:pPr>
      <w:r>
        <w:t xml:space="preserve">Diagnostiek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CT schedelbasis</w:t>
      </w:r>
      <w:r>
        <w:t xml:space="preserve">: erosie van bot, uitbreiding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MRI</w:t>
      </w:r>
      <w:r>
        <w:t xml:space="preserve">: weke delenuitbreiding, intracraniële betrokkenheid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Botscan</w:t>
      </w:r>
      <w:r>
        <w:t xml:space="preserve"> </w:t>
      </w:r>
      <w:r>
        <w:t xml:space="preserve">(Tc-99m MDP): activiteit (gevoelig maar weinig specifiek)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Ga-67 citrate scan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18F-FDG PET-CT</w:t>
      </w:r>
      <w:r>
        <w:t xml:space="preserve">: monitoring behandelrespons (meest betrouwbaar)</w:t>
      </w:r>
    </w:p>
    <w:p>
      <w:pPr>
        <w:numPr>
          <w:ilvl w:val="0"/>
          <w:numId w:val="1023"/>
        </w:numPr>
        <w:pStyle w:val="Compact"/>
      </w:pPr>
      <w:r>
        <w:t xml:space="preserve">Kweek otorroe (Pseudomonas); weefselbiopten voor histologie (cave: carcinoom in DD)</w:t>
      </w:r>
    </w:p>
    <w:p>
      <w:pPr>
        <w:numPr>
          <w:ilvl w:val="0"/>
          <w:numId w:val="1023"/>
        </w:numPr>
        <w:pStyle w:val="Compact"/>
      </w:pPr>
      <w:r>
        <w:t xml:space="preserve">Bloedglucose, HbA1c, CRP, BSE</w:t>
      </w:r>
    </w:p>
    <w:p>
      <w:pPr>
        <w:numPr>
          <w:ilvl w:val="0"/>
          <w:numId w:val="1023"/>
        </w:numPr>
        <w:pStyle w:val="Compact"/>
      </w:pPr>
      <w:r>
        <w:t xml:space="preserve">BSE/CRP: inflammatiemarker voor follow-up</w:t>
      </w:r>
    </w:p>
    <w:bookmarkEnd w:id="51"/>
    <w:bookmarkStart w:id="52" w:name="behandeling"/>
    <w:p>
      <w:pPr>
        <w:pStyle w:val="Heading3"/>
      </w:pPr>
      <w:r>
        <w:t xml:space="preserve">Behandeling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Antibiotica eerste keus</w:t>
      </w:r>
      <w:r>
        <w:t xml:space="preserve">: fluorochinolonen oraal (ciprofloxacine 750 mg 2dd), minimaal 6–8 weken</w:t>
      </w:r>
    </w:p>
    <w:p>
      <w:pPr>
        <w:numPr>
          <w:ilvl w:val="0"/>
          <w:numId w:val="1024"/>
        </w:numPr>
        <w:pStyle w:val="Compact"/>
      </w:pPr>
      <w:r>
        <w:t xml:space="preserve">IV therapie (piperacilline-tazobactam, ceftazidime) bij ernstige gevallen, onvoldoende respons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Antifungaal</w:t>
      </w:r>
      <w:r>
        <w:t xml:space="preserve"> </w:t>
      </w:r>
      <w:r>
        <w:t xml:space="preserve">(voriconazol, amfotericine B) bij Aspergillus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Optimalisatie diabetes</w:t>
      </w:r>
      <w:r>
        <w:t xml:space="preserve">: insuline</w:t>
      </w:r>
    </w:p>
    <w:p>
      <w:pPr>
        <w:numPr>
          <w:ilvl w:val="0"/>
          <w:numId w:val="1024"/>
        </w:numPr>
        <w:pStyle w:val="Compact"/>
      </w:pPr>
      <w:r>
        <w:t xml:space="preserve">Debridement/chirurgie: verwijdering granulaties, necrotisch weefsel; conservatief, zelden uitgebreide chirurgie</w:t>
      </w:r>
    </w:p>
    <w:p>
      <w:pPr>
        <w:numPr>
          <w:ilvl w:val="0"/>
          <w:numId w:val="1024"/>
        </w:numPr>
        <w:pStyle w:val="Compact"/>
      </w:pPr>
      <w:r>
        <w:t xml:space="preserve">Hyperbare zuurstof: als aanvullende therapie overwegen</w:t>
      </w:r>
    </w:p>
    <w:p>
      <w:pPr>
        <w:numPr>
          <w:ilvl w:val="0"/>
          <w:numId w:val="1024"/>
        </w:numPr>
        <w:pStyle w:val="Compact"/>
      </w:pPr>
      <w:r>
        <w:t xml:space="preserve">Duur behandeling: tot normalisatie CRP + negatieve scan (minimaal 6–8 weken, soms langer)</w:t>
      </w:r>
    </w:p>
    <w:bookmarkEnd w:id="52"/>
    <w:bookmarkStart w:id="53" w:name="prognose"/>
    <w:p>
      <w:pPr>
        <w:pStyle w:val="Heading3"/>
      </w:pPr>
      <w:r>
        <w:t xml:space="preserve">Prognose</w:t>
      </w:r>
    </w:p>
    <w:p>
      <w:pPr>
        <w:numPr>
          <w:ilvl w:val="0"/>
          <w:numId w:val="1025"/>
        </w:numPr>
        <w:pStyle w:val="Compact"/>
      </w:pPr>
      <w:r>
        <w:t xml:space="preserve">Mortaliteit 10–20% bij craniale zenuwuitval</w:t>
      </w:r>
    </w:p>
    <w:p>
      <w:pPr>
        <w:numPr>
          <w:ilvl w:val="0"/>
          <w:numId w:val="1025"/>
        </w:numPr>
        <w:pStyle w:val="Compact"/>
      </w:pPr>
      <w:r>
        <w:t xml:space="preserve">Recidief mogelijk: langdurige follow-up noodzakelijk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otitis-externa-oe"/>
    <w:p>
      <w:pPr>
        <w:pStyle w:val="Heading2"/>
      </w:pPr>
      <w:r>
        <w:t xml:space="preserve">6. Otitis Externa (OE)</w:t>
      </w:r>
    </w:p>
    <w:bookmarkStart w:id="55" w:name="definitie-1"/>
    <w:p>
      <w:pPr>
        <w:pStyle w:val="Heading3"/>
      </w:pPr>
      <w:r>
        <w:t xml:space="preserve">Definitie</w:t>
      </w:r>
    </w:p>
    <w:p>
      <w:pPr>
        <w:pStyle w:val="FirstParagraph"/>
      </w:pPr>
      <w:r>
        <w:t xml:space="preserve">Diffuse inflammatie van de gehoorgang (huid + subcutis). Onderscheid: acuut (&lt;6 weken) vs. chronisch (&gt;3 maanden).</w:t>
      </w:r>
    </w:p>
    <w:bookmarkEnd w:id="55"/>
    <w:bookmarkStart w:id="56" w:name="verwekkers-1"/>
    <w:p>
      <w:pPr>
        <w:pStyle w:val="Heading3"/>
      </w:pPr>
      <w:r>
        <w:t xml:space="preserve">Verwekkers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Pseudomonas aeruginosa</w:t>
      </w:r>
      <w:r>
        <w:t xml:space="preserve"> </w:t>
      </w:r>
      <w:r>
        <w:t xml:space="preserve">(meest voorkomend)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Staphylococcus aureus</w:t>
      </w:r>
    </w:p>
    <w:p>
      <w:pPr>
        <w:numPr>
          <w:ilvl w:val="0"/>
          <w:numId w:val="1026"/>
        </w:numPr>
        <w:pStyle w:val="Compact"/>
      </w:pPr>
      <w:r>
        <w:t xml:space="preserve">Menginfecties</w:t>
      </w:r>
    </w:p>
    <w:p>
      <w:pPr>
        <w:numPr>
          <w:ilvl w:val="0"/>
          <w:numId w:val="1026"/>
        </w:numPr>
        <w:pStyle w:val="Compact"/>
      </w:pPr>
      <w:r>
        <w:t xml:space="preserve">Schimmels (Aspergillus, Candida): otomycose, vaak na antibioticagebruik</w:t>
      </w:r>
    </w:p>
    <w:bookmarkEnd w:id="56"/>
    <w:bookmarkStart w:id="57" w:name="predisponerende-factoren"/>
    <w:p>
      <w:pPr>
        <w:pStyle w:val="Heading3"/>
      </w:pPr>
      <w:r>
        <w:t xml:space="preserve">Predisponerende factoren</w:t>
      </w:r>
    </w:p>
    <w:p>
      <w:pPr>
        <w:numPr>
          <w:ilvl w:val="0"/>
          <w:numId w:val="1027"/>
        </w:numPr>
        <w:pStyle w:val="Compact"/>
      </w:pPr>
      <w:r>
        <w:t xml:space="preserve">Zwemmen (</w:t>
      </w:r>
      <w:r>
        <w:t xml:space="preserve">“</w:t>
      </w:r>
      <w:r>
        <w:t xml:space="preserve">swimmer’s ear</w:t>
      </w:r>
      <w:r>
        <w:t xml:space="preserve">”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Trauma (wattenstaafjes, gehoorapparaat)</w:t>
      </w:r>
    </w:p>
    <w:p>
      <w:pPr>
        <w:numPr>
          <w:ilvl w:val="0"/>
          <w:numId w:val="1027"/>
        </w:numPr>
        <w:pStyle w:val="Compact"/>
      </w:pPr>
      <w:r>
        <w:t xml:space="preserve">Hoog luchtvochtigheid, warmte</w:t>
      </w:r>
    </w:p>
    <w:p>
      <w:pPr>
        <w:numPr>
          <w:ilvl w:val="0"/>
          <w:numId w:val="1027"/>
        </w:numPr>
        <w:pStyle w:val="Compact"/>
      </w:pPr>
      <w:r>
        <w:t xml:space="preserve">Psoriasis, eczeem, dermatitis</w:t>
      </w:r>
    </w:p>
    <w:bookmarkEnd w:id="57"/>
    <w:bookmarkStart w:id="58" w:name="classificatie-ernst"/>
    <w:p>
      <w:pPr>
        <w:pStyle w:val="Heading3"/>
      </w:pPr>
      <w:r>
        <w:t xml:space="preserve">Classificatie ernst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3004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Gehoorgang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Pruritus, lichte pijn, geringe otorroe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Bijna gesloten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Matige pijn, gehoorverlies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 gesloten / oedeem buiten gehoorgang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Hevige pijn, koorts, lymfadenopathie, cellulit</w:t>
            </w:r>
          </w:p>
        </w:tc>
      </w:tr>
    </w:tbl>
    <w:bookmarkEnd w:id="58"/>
    <w:bookmarkStart w:id="59" w:name="behandeling-1"/>
    <w:p>
      <w:pPr>
        <w:pStyle w:val="Heading3"/>
      </w:pPr>
      <w:r>
        <w:t xml:space="preserve">Behandeling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Reinigen</w:t>
      </w:r>
      <w:r>
        <w:t xml:space="preserve"> </w:t>
      </w:r>
      <w:r>
        <w:t xml:space="preserve">(suigend uitvegen, irrigatie): essentieel voor genezing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Lokale therapie</w:t>
      </w:r>
      <w:r>
        <w:t xml:space="preserve"> </w:t>
      </w:r>
      <w:r>
        <w:t xml:space="preserve">(voorkeur boven systemisch):</w:t>
      </w:r>
    </w:p>
    <w:p>
      <w:pPr>
        <w:numPr>
          <w:ilvl w:val="1"/>
          <w:numId w:val="1029"/>
        </w:numPr>
        <w:pStyle w:val="Compact"/>
      </w:pPr>
      <w:r>
        <w:t xml:space="preserve">Antibioticum: ofloxacine, neomycine/polymyxine B, ciprofloxacine</w:t>
      </w:r>
    </w:p>
    <w:p>
      <w:pPr>
        <w:numPr>
          <w:ilvl w:val="1"/>
          <w:numId w:val="1029"/>
        </w:numPr>
        <w:pStyle w:val="Compact"/>
      </w:pPr>
      <w:r>
        <w:t xml:space="preserve">Corticosteroïd: ter reductie oedeem en ontsteking</w:t>
      </w:r>
    </w:p>
    <w:p>
      <w:pPr>
        <w:numPr>
          <w:ilvl w:val="1"/>
          <w:numId w:val="1029"/>
        </w:numPr>
        <w:pStyle w:val="Compact"/>
      </w:pPr>
      <w:r>
        <w:t xml:space="preserve">Combinatiedruppels (antibioticum + steroïd): praktisch en effectief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Tampon</w:t>
      </w:r>
      <w:r>
        <w:t xml:space="preserve"> </w:t>
      </w:r>
      <w:r>
        <w:t xml:space="preserve">(ear wick) bij ernstig oedeem: drager voor druppels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Systemische antibiotica</w:t>
      </w:r>
      <w:r>
        <w:t xml:space="preserve">: bij ernstige OE met koorts, lymfadenopathie, cellulitis, immuunsuppressie, diabetes</w:t>
      </w:r>
    </w:p>
    <w:p>
      <w:pPr>
        <w:numPr>
          <w:ilvl w:val="0"/>
          <w:numId w:val="1028"/>
        </w:numPr>
        <w:pStyle w:val="Compact"/>
      </w:pPr>
      <w:r>
        <w:t xml:space="preserve">Pijnstilling: paracetamol, NSAID</w:t>
      </w:r>
    </w:p>
    <w:bookmarkEnd w:id="59"/>
    <w:bookmarkStart w:id="60" w:name="otomycose"/>
    <w:p>
      <w:pPr>
        <w:pStyle w:val="Heading3"/>
      </w:pPr>
      <w:r>
        <w:t xml:space="preserve">Otomycose</w:t>
      </w:r>
    </w:p>
    <w:p>
      <w:pPr>
        <w:numPr>
          <w:ilvl w:val="0"/>
          <w:numId w:val="1030"/>
        </w:numPr>
        <w:pStyle w:val="Compact"/>
      </w:pPr>
      <w:r>
        <w:t xml:space="preserve">Behandeling: reinigen + lokale antimycotica (clotrimazol, econazol)</w:t>
      </w:r>
    </w:p>
    <w:p>
      <w:pPr>
        <w:numPr>
          <w:ilvl w:val="0"/>
          <w:numId w:val="1030"/>
        </w:numPr>
        <w:pStyle w:val="Compact"/>
      </w:pPr>
      <w:r>
        <w:t xml:space="preserve">Gehoorgangdruppels met antibiotica stoppen</w:t>
      </w:r>
    </w:p>
    <w:bookmarkEnd w:id="60"/>
    <w:bookmarkStart w:id="61" w:name="preventie"/>
    <w:p>
      <w:pPr>
        <w:pStyle w:val="Heading3"/>
      </w:pPr>
      <w:r>
        <w:t xml:space="preserve">Preventie</w:t>
      </w:r>
    </w:p>
    <w:p>
      <w:pPr>
        <w:numPr>
          <w:ilvl w:val="0"/>
          <w:numId w:val="1031"/>
        </w:numPr>
        <w:pStyle w:val="Compact"/>
      </w:pPr>
      <w:r>
        <w:t xml:space="preserve">Drooghouden oor na zwemmen</w:t>
      </w:r>
    </w:p>
    <w:p>
      <w:pPr>
        <w:numPr>
          <w:ilvl w:val="0"/>
          <w:numId w:val="1031"/>
        </w:numPr>
        <w:pStyle w:val="Compact"/>
      </w:pPr>
      <w:r>
        <w:t xml:space="preserve">Geen wattenstaafjes</w:t>
      </w:r>
    </w:p>
    <w:p>
      <w:pPr>
        <w:numPr>
          <w:ilvl w:val="0"/>
          <w:numId w:val="1031"/>
        </w:numPr>
        <w:pStyle w:val="Compact"/>
      </w:pPr>
      <w:r>
        <w:t xml:space="preserve">Oordopjes bij zwemmen bij recidiverende OE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97158f7e7aa7dc2ea08584d1ba1b7b2c8299c9a"/>
    <w:p>
      <w:pPr>
        <w:pStyle w:val="Heading2"/>
      </w:pPr>
      <w:r>
        <w:t xml:space="preserve">7. Perceptieve slechthorendheid bij volwassenen</w:t>
      </w:r>
    </w:p>
    <w:bookmarkStart w:id="63" w:name="Xb39dfb58607c726dc49b5fb42621860717335f0"/>
    <w:p>
      <w:pPr>
        <w:pStyle w:val="Heading3"/>
      </w:pPr>
      <w:r>
        <w:t xml:space="preserve">Plotseling perceptief gehoorverlies (PPGV / Sudden SNHL)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≥30 dB verlies in ≥3 aaneengesloten frequenties, ontstaan binnen 72 uur.</w:t>
      </w:r>
    </w:p>
    <w:p>
      <w:pPr>
        <w:pStyle w:val="BodyText"/>
      </w:pPr>
      <w:r>
        <w:rPr>
          <w:bCs/>
          <w:b/>
        </w:rPr>
        <w:t xml:space="preserve">Etiologie</w:t>
      </w:r>
      <w:r>
        <w:t xml:space="preserve"> </w:t>
      </w:r>
      <w:r>
        <w:t xml:space="preserve">(in meerderheid idiopathisch):</w:t>
      </w:r>
      <w:r>
        <w:t xml:space="preserve"> </w:t>
      </w:r>
      <w:r>
        <w:t xml:space="preserve">- Virale infectie (HSV, CMV)</w:t>
      </w:r>
      <w:r>
        <w:t xml:space="preserve"> </w:t>
      </w:r>
      <w:r>
        <w:t xml:space="preserve">- Vasculaire oorzaak (cochleaire ischemie)</w:t>
      </w:r>
      <w:r>
        <w:t xml:space="preserve"> </w:t>
      </w:r>
      <w:r>
        <w:t xml:space="preserve">- Immuungemedieerd</w:t>
      </w:r>
      <w:r>
        <w:t xml:space="preserve"> </w:t>
      </w:r>
      <w:r>
        <w:t xml:space="preserve">- Perilymfatische fistel</w:t>
      </w:r>
    </w:p>
    <w:p>
      <w:pPr>
        <w:pStyle w:val="BodyText"/>
      </w:pPr>
      <w:r>
        <w:rPr>
          <w:bCs/>
          <w:b/>
        </w:rPr>
        <w:t xml:space="preserve">Behandeling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Orale corticosteroïden</w:t>
      </w:r>
      <w:r>
        <w:t xml:space="preserve">: prednison 1 mg/kg/dag (max 60 mg), 10–14 dagen, daarna aftapering; starten zo snel mogelijk (voorkeur binnen 48 uur)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Intratympanale corticosteroïden (ITC)</w:t>
      </w:r>
      <w:r>
        <w:t xml:space="preserve">: als primaire of salvage-therapie bij onvoldoende respons oraal; methylprednisolon 40 mg/ml of dexamethason</w:t>
      </w:r>
      <w:r>
        <w:t xml:space="preserve"> </w:t>
      </w:r>
      <w:r>
        <w:t xml:space="preserve">- ITC gelijkwaardig aan oraal bij milder verlies; bij ernstig verlies: combinatie overwegen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Antivirale middelen</w:t>
      </w:r>
      <w:r>
        <w:t xml:space="preserve">: geen bewezen meerwaarde (niet standaard)</w:t>
      </w:r>
      <w:r>
        <w:t xml:space="preserve"> </w:t>
      </w:r>
      <w:r>
        <w:t xml:space="preserve">- Bedrust, anxiolytisch beleid</w:t>
      </w:r>
    </w:p>
    <w:p>
      <w:pPr>
        <w:pStyle w:val="BodyText"/>
      </w:pPr>
      <w:r>
        <w:rPr>
          <w:bCs/>
          <w:b/>
        </w:rPr>
        <w:t xml:space="preserve">Prognose</w:t>
      </w:r>
      <w:r>
        <w:t xml:space="preserve">:</w:t>
      </w:r>
      <w:r>
        <w:t xml:space="preserve"> </w:t>
      </w:r>
      <w:r>
        <w:t xml:space="preserve">- Spontaan herstel: 45–65% (bij idiopathisch)</w:t>
      </w:r>
      <w:r>
        <w:t xml:space="preserve"> </w:t>
      </w:r>
      <w:r>
        <w:t xml:space="preserve">- Betere prognose: mild verlies, laagfrequent patroon, geen vestibulair lijden, vroege behandeling</w:t>
      </w:r>
    </w:p>
    <w:bookmarkEnd w:id="63"/>
    <w:bookmarkStart w:id="64" w:name="Xdfe71c8548e67784c6b1cee8e29c7d9274d0e6e"/>
    <w:p>
      <w:pPr>
        <w:pStyle w:val="Heading3"/>
      </w:pPr>
      <w:r>
        <w:t xml:space="preserve">Immuungemedieerd perceptief gehoorverlies</w:t>
      </w:r>
    </w:p>
    <w:p>
      <w:pPr>
        <w:numPr>
          <w:ilvl w:val="0"/>
          <w:numId w:val="1032"/>
        </w:numPr>
        <w:pStyle w:val="Compact"/>
      </w:pPr>
      <w:r>
        <w:t xml:space="preserve">Snel progressief bilateraal gehoorverlies</w:t>
      </w:r>
    </w:p>
    <w:p>
      <w:pPr>
        <w:numPr>
          <w:ilvl w:val="0"/>
          <w:numId w:val="1032"/>
        </w:numPr>
        <w:pStyle w:val="Compact"/>
      </w:pPr>
      <w:r>
        <w:t xml:space="preserve">Respons op corticosteroïden is diagnostisch</w:t>
      </w:r>
    </w:p>
    <w:p>
      <w:pPr>
        <w:numPr>
          <w:ilvl w:val="0"/>
          <w:numId w:val="1032"/>
        </w:numPr>
        <w:pStyle w:val="Compact"/>
      </w:pPr>
      <w:r>
        <w:t xml:space="preserve">Onderhoudsdosis of ciclosporine/methotrexaat overwegen</w:t>
      </w:r>
    </w:p>
    <w:bookmarkEnd w:id="64"/>
    <w:bookmarkStart w:id="65" w:name="ouderdomsslechthorendheid-presbyacusis"/>
    <w:p>
      <w:pPr>
        <w:pStyle w:val="Heading3"/>
      </w:pPr>
      <w:r>
        <w:t xml:space="preserve">Ouderdomsslechthorendheid (presbyacusis)</w:t>
      </w:r>
    </w:p>
    <w:p>
      <w:pPr>
        <w:numPr>
          <w:ilvl w:val="0"/>
          <w:numId w:val="1033"/>
        </w:numPr>
        <w:pStyle w:val="Compact"/>
      </w:pPr>
      <w:r>
        <w:t xml:space="preserve">Bilateraal, symmetrisch, hoogfrequent perceptief verlies</w:t>
      </w:r>
    </w:p>
    <w:p>
      <w:pPr>
        <w:numPr>
          <w:ilvl w:val="0"/>
          <w:numId w:val="1033"/>
        </w:numPr>
        <w:pStyle w:val="Compact"/>
      </w:pPr>
      <w:r>
        <w:t xml:space="preserve">Hoortoestellen eerste keus</w:t>
      </w:r>
    </w:p>
    <w:bookmarkEnd w:id="65"/>
    <w:bookmarkStart w:id="66" w:name="verwijscriteria-vanuit-huisarts"/>
    <w:p>
      <w:pPr>
        <w:pStyle w:val="Heading3"/>
      </w:pPr>
      <w:r>
        <w:t xml:space="preserve">Verwijscriteria vanuit huisarts</w:t>
      </w:r>
    </w:p>
    <w:p>
      <w:pPr>
        <w:numPr>
          <w:ilvl w:val="0"/>
          <w:numId w:val="1034"/>
        </w:numPr>
        <w:pStyle w:val="Compact"/>
      </w:pPr>
      <w:r>
        <w:t xml:space="preserve">Asymmetrie &gt;15 dB bij 2+ frequenties</w:t>
      </w:r>
    </w:p>
    <w:p>
      <w:pPr>
        <w:numPr>
          <w:ilvl w:val="0"/>
          <w:numId w:val="1034"/>
        </w:numPr>
        <w:pStyle w:val="Compact"/>
      </w:pPr>
      <w:r>
        <w:t xml:space="preserve">Plotseling of snel progressief verlies → spoedreferral</w:t>
      </w:r>
    </w:p>
    <w:p>
      <w:pPr>
        <w:numPr>
          <w:ilvl w:val="0"/>
          <w:numId w:val="1034"/>
        </w:numPr>
        <w:pStyle w:val="Compact"/>
      </w:pPr>
      <w:r>
        <w:t xml:space="preserve">Tinnitus, duizeligheid, vol gevoel combinatie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perifere-aangezichtsverlamming"/>
    <w:p>
      <w:pPr>
        <w:pStyle w:val="Heading2"/>
      </w:pPr>
      <w:r>
        <w:t xml:space="preserve">8. Perifere aangezichtsverlamming</w:t>
      </w:r>
    </w:p>
    <w:bookmarkStart w:id="68" w:name="etiologie"/>
    <w:p>
      <w:pPr>
        <w:pStyle w:val="Heading3"/>
      </w:pPr>
      <w:r>
        <w:t xml:space="preserve">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Oorzaak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Bell’s palsy (idiopathisch)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voorkomend (60–75%); diagnose per exclusionem; vermoedelijk HSV-1 reactivatie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Herpes zoster oticus (Ramsay Hunt)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Blaasjes op concha/palatum; soms gehoorverlies + duizeligheid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Otitis media / cholesteatoom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Infectieuze/compressieve oorzaak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Parotistumor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centrale massa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Lyme-borreliose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Serologische diagnostiek; bilateraal mogelijk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Schedelbasisbreuk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Tumor n. VII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Langzaam progressief; overweeg bij atypisch beloop</w:t>
            </w:r>
          </w:p>
        </w:tc>
      </w:tr>
    </w:tbl>
    <w:bookmarkEnd w:id="68"/>
    <w:bookmarkStart w:id="69" w:name="classificatie-house-brackmann-hb-schaal"/>
    <w:p>
      <w:pPr>
        <w:pStyle w:val="Heading3"/>
      </w:pPr>
      <w:r>
        <w:t xml:space="preserve">Classificatie: House-Brackmann (HB) schaal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Omschrijving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Lichte disfunctie; goed oogluiting, geringe asymmetrie 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Matige disfunctie; oogluiting mogelijk met inspanning, duidelijke asymmetrie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Matig-ernstige disfunctie; onvolledige oogluiting, mond duidelijk asymmetrisch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Ernstige disfunctie; nauwelijks zichtbare beweging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Totale parese</w:t>
            </w:r>
          </w:p>
        </w:tc>
      </w:tr>
    </w:tbl>
    <w:bookmarkEnd w:id="69"/>
    <w:bookmarkStart w:id="70" w:name="diagnostiek-3"/>
    <w:p>
      <w:pPr>
        <w:pStyle w:val="Heading3"/>
      </w:pPr>
      <w:r>
        <w:t xml:space="preserve">Diagnostiek</w:t>
      </w:r>
    </w:p>
    <w:p>
      <w:pPr>
        <w:numPr>
          <w:ilvl w:val="0"/>
          <w:numId w:val="1035"/>
        </w:numPr>
        <w:pStyle w:val="Compact"/>
      </w:pPr>
      <w:r>
        <w:t xml:space="preserve">Otoscopie (otitis media, cholesteatoom)</w:t>
      </w:r>
    </w:p>
    <w:p>
      <w:pPr>
        <w:numPr>
          <w:ilvl w:val="0"/>
          <w:numId w:val="1035"/>
        </w:numPr>
        <w:pStyle w:val="Compact"/>
      </w:pPr>
      <w:r>
        <w:t xml:space="preserve">Blaasjes inspecteren (Ramsay Hunt)</w:t>
      </w:r>
    </w:p>
    <w:p>
      <w:pPr>
        <w:numPr>
          <w:ilvl w:val="0"/>
          <w:numId w:val="1035"/>
        </w:numPr>
        <w:pStyle w:val="Compact"/>
      </w:pPr>
      <w:r>
        <w:t xml:space="preserve">Borrelia serologie (IgM/IgG) bij risico (tekenbeet, natuur)</w:t>
      </w:r>
    </w:p>
    <w:p>
      <w:pPr>
        <w:numPr>
          <w:ilvl w:val="0"/>
          <w:numId w:val="1035"/>
        </w:numPr>
        <w:pStyle w:val="Compact"/>
      </w:pPr>
      <w:r>
        <w:t xml:space="preserve">CT/MRI bij atypisch beloop, trauma of verdenking tumor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ENOG (electroneuronografie)</w:t>
      </w:r>
      <w:r>
        <w:t xml:space="preserve">: degeneratie &gt; 90% binnen 14 dagen → slechte prognose, overweeg decompressie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EMG</w:t>
      </w:r>
      <w:r>
        <w:t xml:space="preserve">: aanwezigheid fibrillatiepotentialen → walleriaanse degeneratie; willekeurige motorische eenheden → herstelkans</w:t>
      </w:r>
    </w:p>
    <w:bookmarkEnd w:id="70"/>
    <w:bookmarkStart w:id="71" w:name="behandeling-bells-palsy"/>
    <w:p>
      <w:pPr>
        <w:pStyle w:val="Heading3"/>
      </w:pPr>
      <w:r>
        <w:t xml:space="preserve">Behandeling Bell’s palsy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Prednisolon</w:t>
      </w:r>
      <w:r>
        <w:t xml:space="preserve">: 1 mg/kg/dag (max 60 mg) gedurende 10 dagen; starten binnen 72 uur; sterk aanbevolen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Antivirale middelen</w:t>
      </w:r>
      <w:r>
        <w:t xml:space="preserve"> </w:t>
      </w:r>
      <w:r>
        <w:t xml:space="preserve">(valaciclovir 1000 mg 3dd, 7 dagen): aanbevolen bij HB V–VI of Ramsay Hunt; twijfelachtige meerwaarde bij milde Bell’s palsy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Oogbescherming</w:t>
      </w:r>
      <w:r>
        <w:t xml:space="preserve">: kunsttranen overdag, oogzalf ’s nachts, evt. taping of moisturizing chamber bij onvolledige oogluiting (cornea-ulceratie voorkomen!)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Fysiotherapie/mimetherapie</w:t>
      </w:r>
      <w:r>
        <w:t xml:space="preserve">: bij langdurige uitval</w:t>
      </w:r>
    </w:p>
    <w:bookmarkEnd w:id="71"/>
    <w:bookmarkStart w:id="72" w:name="chirurgie-decompressie-n.-vii"/>
    <w:p>
      <w:pPr>
        <w:pStyle w:val="Heading3"/>
      </w:pPr>
      <w:r>
        <w:t xml:space="preserve">Chirurgie (decompressie n. VII)</w:t>
      </w:r>
    </w:p>
    <w:p>
      <w:pPr>
        <w:numPr>
          <w:ilvl w:val="0"/>
          <w:numId w:val="1037"/>
        </w:numPr>
        <w:pStyle w:val="Compact"/>
      </w:pPr>
      <w:r>
        <w:t xml:space="preserve">Indicatie: ENOG-degeneratie &gt;90% én geen willekeurige motorische activiteit op EMG, binnen 14 dagen na begin parese</w:t>
      </w:r>
    </w:p>
    <w:p>
      <w:pPr>
        <w:numPr>
          <w:ilvl w:val="0"/>
          <w:numId w:val="1037"/>
        </w:numPr>
        <w:pStyle w:val="Compact"/>
      </w:pPr>
      <w:r>
        <w:t xml:space="preserve">Transmastoidale of middle fossa benadering</w:t>
      </w:r>
    </w:p>
    <w:p>
      <w:pPr>
        <w:numPr>
          <w:ilvl w:val="0"/>
          <w:numId w:val="1037"/>
        </w:numPr>
        <w:pStyle w:val="Compact"/>
      </w:pPr>
      <w:r>
        <w:t xml:space="preserve">Controversieel; beperkte evidence</w:t>
      </w:r>
    </w:p>
    <w:bookmarkEnd w:id="72"/>
    <w:bookmarkStart w:id="73" w:name="prognose-bells-palsy"/>
    <w:p>
      <w:pPr>
        <w:pStyle w:val="Heading3"/>
      </w:pPr>
      <w:r>
        <w:t xml:space="preserve">Prognose Bell’s palsy</w:t>
      </w:r>
    </w:p>
    <w:p>
      <w:pPr>
        <w:numPr>
          <w:ilvl w:val="0"/>
          <w:numId w:val="1038"/>
        </w:numPr>
        <w:pStyle w:val="Compact"/>
      </w:pPr>
      <w:r>
        <w:t xml:space="preserve">Volledig herstel: 70–85%</w:t>
      </w:r>
    </w:p>
    <w:p>
      <w:pPr>
        <w:numPr>
          <w:ilvl w:val="0"/>
          <w:numId w:val="1038"/>
        </w:numPr>
        <w:pStyle w:val="Compact"/>
      </w:pPr>
      <w:r>
        <w:t xml:space="preserve">Slechte prognostische factoren: leeftijd &gt;60, totale parese, hoge ENOG-degeneratie, diabetes, hypertensie</w:t>
      </w:r>
    </w:p>
    <w:p>
      <w:pPr>
        <w:numPr>
          <w:ilvl w:val="0"/>
          <w:numId w:val="1038"/>
        </w:numPr>
        <w:pStyle w:val="Compact"/>
      </w:pPr>
      <w:r>
        <w:t xml:space="preserve">Sequelae: synkinesie, contractuur, crocodile tears (gusto-lacrimale reflex)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1" w:name="slechthorendheid-op-de-kinderleeftijd"/>
    <w:p>
      <w:pPr>
        <w:pStyle w:val="Heading2"/>
      </w:pPr>
      <w:r>
        <w:t xml:space="preserve">9. Slechthorendheid op de kinderleeftijd</w:t>
      </w:r>
    </w:p>
    <w:bookmarkStart w:id="75" w:name="neonatale-gehoorscreening-nhs-unhs"/>
    <w:p>
      <w:pPr>
        <w:pStyle w:val="Heading3"/>
      </w:pPr>
      <w:r>
        <w:t xml:space="preserve">Neonatale gehoorscreening (NHS / UNHS)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OAE</w:t>
      </w:r>
      <w:r>
        <w:t xml:space="preserve"> </w:t>
      </w:r>
      <w:r>
        <w:t xml:space="preserve">(otoacoustische emissies): dag 3–5; test cochleaire functie (buitenste haarcellen)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AABR</w:t>
      </w:r>
      <w:r>
        <w:t xml:space="preserve"> </w:t>
      </w:r>
      <w:r>
        <w:t xml:space="preserve">(automated ABR): bij OAE-refer op dag 10–14; test cochleaire + retrocochleaire functie</w:t>
      </w:r>
    </w:p>
    <w:p>
      <w:pPr>
        <w:numPr>
          <w:ilvl w:val="0"/>
          <w:numId w:val="1039"/>
        </w:numPr>
        <w:pStyle w:val="Compact"/>
      </w:pPr>
      <w:r>
        <w:t xml:space="preserve">Doel: diagnose voor 3 maanden, hoortoestellen voor 6 maanden, revalidatie gestart voor 6 maanden (1-3-6 regel)</w:t>
      </w:r>
    </w:p>
    <w:bookmarkEnd w:id="75"/>
    <w:bookmarkStart w:id="76" w:name="prevalentie"/>
    <w:p>
      <w:pPr>
        <w:pStyle w:val="Heading3"/>
      </w:pPr>
      <w:r>
        <w:t xml:space="preserve">Prevalentie</w:t>
      </w:r>
    </w:p>
    <w:p>
      <w:pPr>
        <w:numPr>
          <w:ilvl w:val="0"/>
          <w:numId w:val="1040"/>
        </w:numPr>
        <w:pStyle w:val="Compact"/>
      </w:pPr>
      <w:r>
        <w:t xml:space="preserve">Aangeboren gehoorverlies: ~1–3 per 1000 levendgeborenen</w:t>
      </w:r>
    </w:p>
    <w:p>
      <w:pPr>
        <w:numPr>
          <w:ilvl w:val="0"/>
          <w:numId w:val="1040"/>
        </w:numPr>
        <w:pStyle w:val="Compact"/>
      </w:pPr>
      <w:r>
        <w:t xml:space="preserve">Eenzijdig gehoorverlies: ~1–2 per 1000</w:t>
      </w:r>
    </w:p>
    <w:bookmarkEnd w:id="76"/>
    <w:bookmarkStart w:id="77" w:name="etiologie-1"/>
    <w:p>
      <w:pPr>
        <w:pStyle w:val="Heading3"/>
      </w:pPr>
      <w:r>
        <w:t xml:space="preserve">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Oorzaken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Genetisch (50–60%)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Connexine 26 (GJB2, DFNB1); autosomaal recessief meest voorkomend; syndromaal (Usher, Pendred, Waardenburg, Jervell-Lange-Nielsen)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Perinataal (15–25%)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CMV (meest voorkomend verworven oorzaak), anoxie, prematuur, hyperbilirubinemie, aminoglycosiden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Verworven (15–25%)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Meningitis (pneumokok, meningokok), CMV, bof, trauma, ototoxiciteit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Onbekend (~25%)</w:t>
            </w: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78" w:name="diagnostiek-per-leeftijdsgroep"/>
    <w:p>
      <w:pPr>
        <w:pStyle w:val="Heading3"/>
      </w:pPr>
      <w:r>
        <w:t xml:space="preserve">Diagnostiek per leeftijdsgroep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maanden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(klik + toon-pip), ASSR, DPOAE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6–24 maanden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 (visuele-versterkingsaudiometrie), ASSR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2–4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Spelaudiometrie (conditioned play audiometry)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≥4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tone audiometrie (PTA)</w:t>
            </w:r>
          </w:p>
        </w:tc>
      </w:tr>
    </w:tbl>
    <w:bookmarkEnd w:id="78"/>
    <w:bookmarkStart w:id="79" w:name="aanvullende-diagnostiek"/>
    <w:p>
      <w:pPr>
        <w:pStyle w:val="Heading3"/>
      </w:pPr>
      <w:r>
        <w:t xml:space="preserve">Aanvullende diagnostiek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CT temporaalbeen</w:t>
      </w:r>
      <w:r>
        <w:t xml:space="preserve">: cochlearisaplasie, EVA (enlarged vestibular aqueduct), ossificatie bij meningitis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MRI</w:t>
      </w:r>
      <w:r>
        <w:t xml:space="preserve">: cochleaire zenuw, cochleaire structuren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Genetisch onderzoek</w:t>
      </w:r>
      <w:r>
        <w:t xml:space="preserve">: GJB2-sequencing, gen-panel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CMV-diagnostiek</w:t>
      </w:r>
      <w:r>
        <w:t xml:space="preserve">: urine of speeksel bij pasgeboren (&lt;3 weken), retrospectief via gedroogde bloedvlek</w:t>
      </w:r>
    </w:p>
    <w:bookmarkEnd w:id="79"/>
    <w:bookmarkStart w:id="80" w:name="behandeling-2"/>
    <w:p>
      <w:pPr>
        <w:pStyle w:val="Heading3"/>
      </w:pPr>
      <w:r>
        <w:t xml:space="preserve">Behandeling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Hoortoestellen</w:t>
      </w:r>
      <w:r>
        <w:t xml:space="preserve">: zo vroeg mogelijk (voor 3 maanden); achter-het-oor toestellen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Cochleaire implantatie</w:t>
      </w:r>
      <w:r>
        <w:t xml:space="preserve">: PTA4 &gt;80 dB én onvoldoende baat bij hoortoestel; voorkeur voor 12 maanden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FM-systemen</w:t>
      </w:r>
      <w:r>
        <w:t xml:space="preserve">: op school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Logopedie</w:t>
      </w:r>
      <w:r>
        <w:t xml:space="preserve">: spraak-taalontwikkeling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8" w:name="tinnitus"/>
    <w:p>
      <w:pPr>
        <w:pStyle w:val="Heading2"/>
      </w:pPr>
      <w:r>
        <w:t xml:space="preserve">10. Tinnitus</w:t>
      </w:r>
    </w:p>
    <w:bookmarkStart w:id="82" w:name="definitie-classificatie"/>
    <w:p>
      <w:pPr>
        <w:pStyle w:val="Heading3"/>
      </w:pPr>
      <w:r>
        <w:t xml:space="preserve">Definitie &amp; classificatie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Subjectief tinnitus</w:t>
      </w:r>
      <w:r>
        <w:t xml:space="preserve">: alleen door patiënt waarneembaar (&gt;95% van gevallen)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Objectief tinnitus</w:t>
      </w:r>
      <w:r>
        <w:t xml:space="preserve">: ook door onderzoeker waarneembaar (vasculair, palato-myoklonie) — zeldzaam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Acuut</w:t>
      </w:r>
      <w:r>
        <w:t xml:space="preserve">: &lt;3 maanden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Chronisch</w:t>
      </w:r>
      <w:r>
        <w:t xml:space="preserve">: &gt;3 maanden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Invaliderend chronisch tinnitus</w:t>
      </w:r>
      <w:r>
        <w:t xml:space="preserve">: significante invloed op kwaliteit van leven</w:t>
      </w:r>
    </w:p>
    <w:bookmarkEnd w:id="82"/>
    <w:bookmarkStart w:id="83" w:name="epidemiologie"/>
    <w:p>
      <w:pPr>
        <w:pStyle w:val="Heading3"/>
      </w:pPr>
      <w:r>
        <w:t xml:space="preserve">Epidemiologie</w:t>
      </w:r>
    </w:p>
    <w:p>
      <w:pPr>
        <w:numPr>
          <w:ilvl w:val="0"/>
          <w:numId w:val="1044"/>
        </w:numPr>
        <w:pStyle w:val="Compact"/>
      </w:pPr>
      <w:r>
        <w:t xml:space="preserve">Prevalentie: ~15% van de bevolking; invaliderend bij ~1–2%</w:t>
      </w:r>
    </w:p>
    <w:bookmarkEnd w:id="83"/>
    <w:bookmarkStart w:id="84" w:name="oorzaken"/>
    <w:p>
      <w:pPr>
        <w:pStyle w:val="Heading3"/>
      </w:pPr>
      <w:r>
        <w:t xml:space="preserve">Oorzaken</w:t>
      </w:r>
    </w:p>
    <w:p>
      <w:pPr>
        <w:numPr>
          <w:ilvl w:val="0"/>
          <w:numId w:val="1045"/>
        </w:numPr>
        <w:pStyle w:val="Compact"/>
      </w:pPr>
      <w:r>
        <w:t xml:space="preserve">Gehoorverlies (perceptief, conductief)</w:t>
      </w:r>
    </w:p>
    <w:p>
      <w:pPr>
        <w:numPr>
          <w:ilvl w:val="0"/>
          <w:numId w:val="1045"/>
        </w:numPr>
        <w:pStyle w:val="Compact"/>
      </w:pPr>
      <w:r>
        <w:t xml:space="preserve">Lawaaitrauma</w:t>
      </w:r>
    </w:p>
    <w:p>
      <w:pPr>
        <w:numPr>
          <w:ilvl w:val="0"/>
          <w:numId w:val="1045"/>
        </w:numPr>
        <w:pStyle w:val="Compact"/>
      </w:pPr>
      <w:r>
        <w:t xml:space="preserve">Ototoxische medicatie (salicylaten, aminoglycosiden, loop-diuretica, cisplatine)</w:t>
      </w:r>
    </w:p>
    <w:p>
      <w:pPr>
        <w:numPr>
          <w:ilvl w:val="0"/>
          <w:numId w:val="1045"/>
        </w:numPr>
        <w:pStyle w:val="Compact"/>
      </w:pPr>
      <w:r>
        <w:t xml:space="preserve">Otosclerose</w:t>
      </w:r>
    </w:p>
    <w:p>
      <w:pPr>
        <w:numPr>
          <w:ilvl w:val="0"/>
          <w:numId w:val="1045"/>
        </w:numPr>
        <w:pStyle w:val="Compact"/>
      </w:pPr>
      <w:r>
        <w:t xml:space="preserve">Menière</w:t>
      </w:r>
    </w:p>
    <w:p>
      <w:pPr>
        <w:numPr>
          <w:ilvl w:val="0"/>
          <w:numId w:val="1045"/>
        </w:numPr>
        <w:pStyle w:val="Compact"/>
      </w:pPr>
      <w:r>
        <w:t xml:space="preserve">Akoestisch neurinoom (unilaterale tinnitus → MRI!)</w:t>
      </w:r>
    </w:p>
    <w:p>
      <w:pPr>
        <w:numPr>
          <w:ilvl w:val="0"/>
          <w:numId w:val="1045"/>
        </w:numPr>
        <w:pStyle w:val="Compact"/>
      </w:pPr>
      <w:r>
        <w:t xml:space="preserve">Idiopathisch</w:t>
      </w:r>
    </w:p>
    <w:bookmarkEnd w:id="84"/>
    <w:bookmarkStart w:id="85" w:name="diagnostiek-4"/>
    <w:p>
      <w:pPr>
        <w:pStyle w:val="Heading3"/>
      </w:pPr>
      <w:r>
        <w:t xml:space="preserve">Diagnostiek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Audiogram</w:t>
      </w:r>
      <w:r>
        <w:t xml:space="preserve">: altijd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MRI inwendig gehoorgang</w:t>
      </w:r>
      <w:r>
        <w:t xml:space="preserve">: bij unilaterale of pulsatiele tinnitus (cave VSP)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Tinnitusmatching</w:t>
      </w:r>
      <w:r>
        <w:t xml:space="preserve">: toonhoogte, luidheid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Tinnitus Handicap Inventory (THI)</w:t>
      </w:r>
      <w:r>
        <w:t xml:space="preserve">: kwaliteit-van-leven-meting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Maskeerbaarheid</w:t>
      </w:r>
      <w:r>
        <w:t xml:space="preserve">: aanwijzing voor behandelstrategie</w:t>
      </w:r>
    </w:p>
    <w:p>
      <w:pPr>
        <w:numPr>
          <w:ilvl w:val="0"/>
          <w:numId w:val="1046"/>
        </w:numPr>
        <w:pStyle w:val="Compact"/>
      </w:pPr>
      <w:r>
        <w:t xml:space="preserve">Vasculair onderzoek bij pulsatiele tinnitus (CT angiografie, MRI/A)</w:t>
      </w:r>
    </w:p>
    <w:bookmarkEnd w:id="85"/>
    <w:bookmarkStart w:id="86" w:name="behandeling-3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5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 /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Counseling en psycho-educatie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eerste stap; uitleg over fenomeen, dehabituation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Geluidsenrichment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Vermindering stiltegevoeligheid; witte ruis, natuur-geluiden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Tinnitus Retraining Therapy (TRT)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 counseling + ruis; evidence voor reductie hinder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Cognitieve gedragstherapie (CGT)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psychische comorbiditeit, invaliderende tinnitus; sterk bewijs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Hoortoestellen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gehoorverlies; reductie tinnitus als bijproduct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Maskeertoestellen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Enige symptoomverlichting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Gehoorschadebescherming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Preventief bij lawaaibleotstelling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Niet aanbevolen</w:t>
      </w:r>
      <w:r>
        <w:t xml:space="preserve"> </w:t>
      </w:r>
      <w:r>
        <w:t xml:space="preserve">(onvoldoende bewijs):</w:t>
      </w:r>
      <w:r>
        <w:t xml:space="preserve"> </w:t>
      </w:r>
      <w:r>
        <w:t xml:space="preserve">- Ginkgo biloba</w:t>
      </w:r>
      <w:r>
        <w:t xml:space="preserve"> </w:t>
      </w:r>
      <w:r>
        <w:t xml:space="preserve">- Benzodiazepines (slechts kortdurend voor angstreductie)</w:t>
      </w:r>
      <w:r>
        <w:t xml:space="preserve"> </w:t>
      </w:r>
      <w:r>
        <w:t xml:space="preserve">- Acupunctuur</w:t>
      </w:r>
      <w:r>
        <w:t xml:space="preserve"> </w:t>
      </w:r>
      <w:r>
        <w:t xml:space="preserve">- Hyperbare zuurstoftherapie</w:t>
      </w:r>
      <w:r>
        <w:t xml:space="preserve"> </w:t>
      </w:r>
      <w:r>
        <w:t xml:space="preserve">- Carbamazepine (tenzij vasculaire compressie)</w:t>
      </w:r>
    </w:p>
    <w:bookmarkEnd w:id="86"/>
    <w:bookmarkStart w:id="87" w:name="alarmsymptomen-nader-onderzoek"/>
    <w:p>
      <w:pPr>
        <w:pStyle w:val="Heading3"/>
      </w:pPr>
      <w:r>
        <w:t xml:space="preserve">Alarmsymptomen → nader onderzoek</w:t>
      </w:r>
    </w:p>
    <w:p>
      <w:pPr>
        <w:numPr>
          <w:ilvl w:val="0"/>
          <w:numId w:val="1047"/>
        </w:numPr>
        <w:pStyle w:val="Compact"/>
      </w:pPr>
      <w:r>
        <w:t xml:space="preserve">Pulsatiele tinnitus → vasculaire oorzaak of glomustumor</w:t>
      </w:r>
    </w:p>
    <w:p>
      <w:pPr>
        <w:numPr>
          <w:ilvl w:val="0"/>
          <w:numId w:val="1047"/>
        </w:numPr>
        <w:pStyle w:val="Compact"/>
      </w:pPr>
      <w:r>
        <w:t xml:space="preserve">Unilaterale tinnitus + gehoorverlies → MRI (VSP)</w:t>
      </w:r>
    </w:p>
    <w:p>
      <w:pPr>
        <w:numPr>
          <w:ilvl w:val="0"/>
          <w:numId w:val="1047"/>
        </w:numPr>
        <w:pStyle w:val="Compact"/>
      </w:pPr>
      <w:r>
        <w:t xml:space="preserve">Progressief unilateraal gehoorverlies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6" w:name="veldnorm-cochleaire-implantatie-ci"/>
    <w:p>
      <w:pPr>
        <w:pStyle w:val="Heading2"/>
      </w:pPr>
      <w:r>
        <w:t xml:space="preserve">11. Veldnorm Cochleaire Implantatie (CI)</w:t>
      </w:r>
    </w:p>
    <w:bookmarkStart w:id="89" w:name="indicatiecriteria-volwassenen"/>
    <w:p>
      <w:pPr>
        <w:pStyle w:val="Heading3"/>
      </w:pPr>
      <w:r>
        <w:t xml:space="preserve">Indicatiecriteria volwassenen</w:t>
      </w:r>
    </w:p>
    <w:p>
      <w:pPr>
        <w:numPr>
          <w:ilvl w:val="0"/>
          <w:numId w:val="1048"/>
        </w:numPr>
        <w:pStyle w:val="Compact"/>
      </w:pPr>
      <w:r>
        <w:t xml:space="preserve">Bilateraal perceptief gehoorverlies PTA4</w:t>
      </w:r>
      <w:r>
        <w:t xml:space="preserve"> </w:t>
      </w:r>
      <w:r>
        <w:rPr>
          <w:bCs/>
          <w:b/>
        </w:rPr>
        <w:t xml:space="preserve">&gt;70 dB HL</w:t>
      </w:r>
    </w:p>
    <w:p>
      <w:pPr>
        <w:numPr>
          <w:ilvl w:val="0"/>
          <w:numId w:val="1048"/>
        </w:numPr>
        <w:pStyle w:val="Compact"/>
      </w:pPr>
      <w:r>
        <w:t xml:space="preserve">Maximaal spraakverstaan in stilte</w:t>
      </w:r>
      <w:r>
        <w:t xml:space="preserve"> </w:t>
      </w:r>
      <w:r>
        <w:rPr>
          <w:bCs/>
          <w:b/>
        </w:rPr>
        <w:t xml:space="preserve">&lt;50%</w:t>
      </w:r>
      <w:r>
        <w:t xml:space="preserve"> </w:t>
      </w:r>
      <w:r>
        <w:t xml:space="preserve">bij optimale hoortoestelversterking (NVA-zinnen)</w:t>
      </w:r>
    </w:p>
    <w:p>
      <w:pPr>
        <w:numPr>
          <w:ilvl w:val="0"/>
          <w:numId w:val="1048"/>
        </w:numPr>
        <w:pStyle w:val="Compact"/>
      </w:pPr>
      <w:r>
        <w:t xml:space="preserve">Motivatie, realistische verwachtingen, goede cognitieve functies</w:t>
      </w:r>
    </w:p>
    <w:bookmarkEnd w:id="89"/>
    <w:bookmarkStart w:id="90" w:name="indicatiecriteria-kinderen"/>
    <w:p>
      <w:pPr>
        <w:pStyle w:val="Heading3"/>
      </w:pPr>
      <w:r>
        <w:t xml:space="preserve">Indicatiecriteria kinderen</w:t>
      </w:r>
    </w:p>
    <w:p>
      <w:pPr>
        <w:numPr>
          <w:ilvl w:val="0"/>
          <w:numId w:val="1049"/>
        </w:numPr>
        <w:pStyle w:val="Compact"/>
      </w:pPr>
      <w:r>
        <w:t xml:space="preserve">PTA4</w:t>
      </w:r>
      <w:r>
        <w:t xml:space="preserve"> </w:t>
      </w:r>
      <w:r>
        <w:rPr>
          <w:bCs/>
          <w:b/>
        </w:rPr>
        <w:t xml:space="preserve">&gt;80 dB HL</w:t>
      </w:r>
      <w:r>
        <w:t xml:space="preserve"> </w:t>
      </w:r>
      <w:r>
        <w:t xml:space="preserve">(strengere drempel omdat geleidingsverlies moet worden uitgesloten)</w:t>
      </w:r>
    </w:p>
    <w:p>
      <w:pPr>
        <w:numPr>
          <w:ilvl w:val="0"/>
          <w:numId w:val="1049"/>
        </w:numPr>
        <w:pStyle w:val="Compact"/>
      </w:pPr>
      <w:r>
        <w:t xml:space="preserve">Onvoldoende baat bij hoortoestellen na proefperiode</w:t>
      </w:r>
    </w:p>
    <w:p>
      <w:pPr>
        <w:numPr>
          <w:ilvl w:val="0"/>
          <w:numId w:val="1049"/>
        </w:numPr>
        <w:pStyle w:val="Compact"/>
      </w:pPr>
      <w:r>
        <w:t xml:space="preserve">Voorkeur:</w:t>
      </w:r>
      <w:r>
        <w:t xml:space="preserve"> </w:t>
      </w:r>
      <w:r>
        <w:rPr>
          <w:bCs/>
          <w:b/>
        </w:rPr>
        <w:t xml:space="preserve">vóór 12 maanden</w:t>
      </w:r>
      <w:r>
        <w:t xml:space="preserve"> </w:t>
      </w:r>
      <w:r>
        <w:t xml:space="preserve">(kritische periode taalontwikkeling)</w:t>
      </w:r>
    </w:p>
    <w:p>
      <w:pPr>
        <w:numPr>
          <w:ilvl w:val="0"/>
          <w:numId w:val="1049"/>
        </w:numPr>
        <w:pStyle w:val="Compact"/>
      </w:pPr>
      <w:r>
        <w:t xml:space="preserve">Vroeger bij totale doofheid/meningitis (ossificatierisico)</w:t>
      </w:r>
    </w:p>
    <w:bookmarkEnd w:id="90"/>
    <w:bookmarkStart w:id="91" w:name="bijzondere-indicaties"/>
    <w:p>
      <w:pPr>
        <w:pStyle w:val="Heading3"/>
      </w:pPr>
      <w:r>
        <w:t xml:space="preserve">Bijzondere indicaties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Eenzijdige doofheid (SSD)</w:t>
      </w:r>
      <w:r>
        <w:t xml:space="preserve"> </w:t>
      </w:r>
      <w:r>
        <w:t xml:space="preserve">+ tinnitus: toenemende indicatie CI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Ossificatie cochlea</w:t>
      </w:r>
      <w:r>
        <w:t xml:space="preserve"> </w:t>
      </w:r>
      <w:r>
        <w:t xml:space="preserve">(na meningitis): snelle actie nodig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Cochlear nerve deficiency</w:t>
      </w:r>
      <w:r>
        <w:t xml:space="preserve">: matige verwachting</w:t>
      </w:r>
    </w:p>
    <w:bookmarkEnd w:id="91"/>
    <w:bookmarkStart w:id="92" w:name="pre-operatief-protocol"/>
    <w:p>
      <w:pPr>
        <w:pStyle w:val="Heading3"/>
      </w:pPr>
      <w:r>
        <w:t xml:space="preserve">Pre-operatief protocol</w:t>
      </w:r>
    </w:p>
    <w:p>
      <w:pPr>
        <w:numPr>
          <w:ilvl w:val="0"/>
          <w:numId w:val="1051"/>
        </w:numPr>
        <w:pStyle w:val="Compact"/>
      </w:pPr>
      <w:r>
        <w:t xml:space="preserve">CT temporaalbeen (anatomie, ossificatie)</w:t>
      </w:r>
    </w:p>
    <w:p>
      <w:pPr>
        <w:numPr>
          <w:ilvl w:val="0"/>
          <w:numId w:val="1051"/>
        </w:numPr>
        <w:pStyle w:val="Compact"/>
      </w:pPr>
      <w:r>
        <w:t xml:space="preserve">MRI (cochleaire zenuw, vloeistof in cochlea)</w:t>
      </w:r>
    </w:p>
    <w:p>
      <w:pPr>
        <w:numPr>
          <w:ilvl w:val="0"/>
          <w:numId w:val="1051"/>
        </w:numPr>
        <w:pStyle w:val="Compact"/>
      </w:pPr>
      <w:r>
        <w:t xml:space="preserve">Proefhoortoestelperiode (minimaal 3 maanden)</w:t>
      </w:r>
    </w:p>
    <w:p>
      <w:pPr>
        <w:numPr>
          <w:ilvl w:val="0"/>
          <w:numId w:val="1051"/>
        </w:numPr>
        <w:pStyle w:val="Compact"/>
      </w:pPr>
      <w:r>
        <w:t xml:space="preserve">Multidisciplinair overleg (KNO, audioloog, logopedist, maatschappelijk werk)</w:t>
      </w:r>
    </w:p>
    <w:p>
      <w:pPr>
        <w:numPr>
          <w:ilvl w:val="0"/>
          <w:numId w:val="1051"/>
        </w:numPr>
        <w:pStyle w:val="Compact"/>
      </w:pPr>
      <w:r>
        <w:t xml:space="preserve">Medische evaluatie (geen actieve infectie oor)</w:t>
      </w:r>
    </w:p>
    <w:bookmarkEnd w:id="92"/>
    <w:bookmarkStart w:id="93" w:name="operatie"/>
    <w:p>
      <w:pPr>
        <w:pStyle w:val="Heading3"/>
      </w:pPr>
      <w:r>
        <w:t xml:space="preserve">Operatie</w:t>
      </w:r>
    </w:p>
    <w:p>
      <w:pPr>
        <w:numPr>
          <w:ilvl w:val="0"/>
          <w:numId w:val="1052"/>
        </w:numPr>
        <w:pStyle w:val="Compact"/>
      </w:pPr>
      <w:r>
        <w:t xml:space="preserve">Cochleostomie of round window approach</w:t>
      </w:r>
    </w:p>
    <w:p>
      <w:pPr>
        <w:numPr>
          <w:ilvl w:val="0"/>
          <w:numId w:val="1052"/>
        </w:numPr>
        <w:pStyle w:val="Compact"/>
      </w:pPr>
      <w:r>
        <w:t xml:space="preserve">Elektrode-array insertie in scala tympani</w:t>
      </w:r>
    </w:p>
    <w:p>
      <w:pPr>
        <w:numPr>
          <w:ilvl w:val="0"/>
          <w:numId w:val="1052"/>
        </w:numPr>
        <w:pStyle w:val="Compact"/>
      </w:pPr>
      <w:r>
        <w:t xml:space="preserve">Intra-operatieve NRT (neural response telemetry)</w:t>
      </w:r>
    </w:p>
    <w:bookmarkEnd w:id="93"/>
    <w:bookmarkStart w:id="94" w:name="nazorg-revalidatie"/>
    <w:p>
      <w:pPr>
        <w:pStyle w:val="Heading3"/>
      </w:pPr>
      <w:r>
        <w:t xml:space="preserve">Nazorg &amp; revalidatie</w:t>
      </w:r>
    </w:p>
    <w:p>
      <w:pPr>
        <w:numPr>
          <w:ilvl w:val="0"/>
          <w:numId w:val="1053"/>
        </w:numPr>
        <w:pStyle w:val="Compact"/>
      </w:pPr>
      <w:r>
        <w:t xml:space="preserve">Eerste activatie: 4–6 weken postoperatief</w:t>
      </w:r>
    </w:p>
    <w:p>
      <w:pPr>
        <w:numPr>
          <w:ilvl w:val="0"/>
          <w:numId w:val="1053"/>
        </w:numPr>
        <w:pStyle w:val="Compact"/>
      </w:pPr>
      <w:r>
        <w:t xml:space="preserve">Logopedie: intensief, jaren</w:t>
      </w:r>
    </w:p>
    <w:p>
      <w:pPr>
        <w:numPr>
          <w:ilvl w:val="0"/>
          <w:numId w:val="1053"/>
        </w:numPr>
        <w:pStyle w:val="Compact"/>
      </w:pPr>
      <w:r>
        <w:t xml:space="preserve">Audiologische afstelling: regelmatig</w:t>
      </w:r>
    </w:p>
    <w:p>
      <w:pPr>
        <w:numPr>
          <w:ilvl w:val="0"/>
          <w:numId w:val="1053"/>
        </w:numPr>
        <w:pStyle w:val="Compact"/>
      </w:pPr>
      <w:r>
        <w:t xml:space="preserve">Jaarlijkse controle gehoor en implantaat</w:t>
      </w:r>
    </w:p>
    <w:p>
      <w:pPr>
        <w:numPr>
          <w:ilvl w:val="0"/>
          <w:numId w:val="1053"/>
        </w:numPr>
        <w:pStyle w:val="Compact"/>
      </w:pPr>
      <w:r>
        <w:t xml:space="preserve">Contactsporten, MRI-compatibiliteit (nieuwere systemen)</w:t>
      </w:r>
    </w:p>
    <w:bookmarkEnd w:id="94"/>
    <w:bookmarkStart w:id="95" w:name="ci-centra-vereisten-veldnorm"/>
    <w:p>
      <w:pPr>
        <w:pStyle w:val="Heading3"/>
      </w:pPr>
      <w:r>
        <w:t xml:space="preserve">CI-centra vereisten (veldnorm)</w:t>
      </w:r>
    </w:p>
    <w:p>
      <w:pPr>
        <w:numPr>
          <w:ilvl w:val="0"/>
          <w:numId w:val="1054"/>
        </w:numPr>
        <w:pStyle w:val="Compact"/>
      </w:pPr>
      <w:r>
        <w:t xml:space="preserve">Minimum volume: geaccrediteerde centra met multidisciplinair team</w:t>
      </w:r>
    </w:p>
    <w:p>
      <w:pPr>
        <w:numPr>
          <w:ilvl w:val="0"/>
          <w:numId w:val="1054"/>
        </w:numPr>
        <w:pStyle w:val="Compact"/>
      </w:pPr>
      <w:r>
        <w:t xml:space="preserve">Minimaal aantal implantaties per jaar (volwassenen en kinderen apart)</w:t>
      </w:r>
    </w:p>
    <w:p>
      <w:pPr>
        <w:numPr>
          <w:ilvl w:val="0"/>
          <w:numId w:val="1054"/>
        </w:numPr>
        <w:pStyle w:val="Compact"/>
      </w:pPr>
      <w:r>
        <w:t xml:space="preserve">Registratie in CI-register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2" w:name="veldnorm-hoortoestelverstrekking-noah"/>
    <w:p>
      <w:pPr>
        <w:pStyle w:val="Heading2"/>
      </w:pPr>
      <w:r>
        <w:t xml:space="preserve">12. Veldnorm Hoortoestelverstrekking NOAH</w:t>
      </w:r>
    </w:p>
    <w:bookmarkStart w:id="97" w:name="context-1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NOAH =</w:t>
      </w:r>
      <w:r>
        <w:t xml:space="preserve"> </w:t>
      </w:r>
      <w:r>
        <w:rPr>
          <w:bCs/>
          <w:b/>
        </w:rPr>
        <w:t xml:space="preserve">N</w:t>
      </w:r>
      <w:r>
        <w:t xml:space="preserve">ederlands</w:t>
      </w:r>
      <w:r>
        <w:t xml:space="preserve"> </w:t>
      </w:r>
      <w:r>
        <w:rPr>
          <w:bCs/>
          <w:b/>
        </w:rPr>
        <w:t xml:space="preserve">O</w:t>
      </w:r>
      <w:r>
        <w:t xml:space="preserve">rganization for</w:t>
      </w:r>
      <w:r>
        <w:t xml:space="preserve"> </w:t>
      </w:r>
      <w:r>
        <w:rPr>
          <w:bCs/>
          <w:b/>
        </w:rPr>
        <w:t xml:space="preserve">A</w:t>
      </w:r>
      <w:r>
        <w:t xml:space="preserve">udiological</w:t>
      </w:r>
      <w:r>
        <w:t xml:space="preserve"> </w:t>
      </w:r>
      <w:r>
        <w:rPr>
          <w:bCs/>
          <w:b/>
        </w:rPr>
        <w:t xml:space="preserve">H</w:t>
      </w:r>
      <w:r>
        <w:t xml:space="preserve">ealthcare. Landelijke norm voor kwaliteit hoortoestelverstrekking.</w:t>
      </w:r>
    </w:p>
    <w:bookmarkEnd w:id="97"/>
    <w:bookmarkStart w:id="98" w:name="indicatiecriteria-hoortoestel"/>
    <w:p>
      <w:pPr>
        <w:pStyle w:val="Heading3"/>
      </w:pPr>
      <w:r>
        <w:t xml:space="preserve">Indicatiecriteria hoortoestel</w:t>
      </w:r>
    </w:p>
    <w:p>
      <w:pPr>
        <w:numPr>
          <w:ilvl w:val="0"/>
          <w:numId w:val="1055"/>
        </w:numPr>
        <w:pStyle w:val="Compact"/>
      </w:pPr>
      <w:r>
        <w:t xml:space="preserve">PTA4 ≥</w:t>
      </w:r>
      <w:r>
        <w:t xml:space="preserve"> </w:t>
      </w:r>
      <w:r>
        <w:rPr>
          <w:bCs/>
          <w:b/>
        </w:rPr>
        <w:t xml:space="preserve">35 dB</w:t>
      </w:r>
      <w:r>
        <w:t xml:space="preserve"> </w:t>
      </w:r>
      <w:r>
        <w:t xml:space="preserve">op het beste oor,</w:t>
      </w:r>
      <w:r>
        <w:t xml:space="preserve"> </w:t>
      </w:r>
      <w:r>
        <w:rPr>
          <w:bCs/>
          <w:b/>
        </w:rPr>
        <w:t xml:space="preserve">of</w:t>
      </w:r>
    </w:p>
    <w:p>
      <w:pPr>
        <w:numPr>
          <w:ilvl w:val="0"/>
          <w:numId w:val="1055"/>
        </w:numPr>
        <w:pStyle w:val="Compact"/>
      </w:pPr>
      <w:r>
        <w:t xml:space="preserve">Significante communicatieve beperkingen bij lager verlies (met onderbouwing)</w:t>
      </w:r>
    </w:p>
    <w:bookmarkEnd w:id="98"/>
    <w:bookmarkStart w:id="99" w:name="verstrekprocedure"/>
    <w:p>
      <w:pPr>
        <w:pStyle w:val="Heading3"/>
      </w:pPr>
      <w:r>
        <w:t xml:space="preserve">Verstrekprocedure</w:t>
      </w:r>
    </w:p>
    <w:p>
      <w:pPr>
        <w:numPr>
          <w:ilvl w:val="0"/>
          <w:numId w:val="1056"/>
        </w:numPr>
        <w:pStyle w:val="Compact"/>
      </w:pPr>
      <w:r>
        <w:t xml:space="preserve">Verwijzing KNO-arts of huisarts naar audicien/audiologisch centrum</w:t>
      </w:r>
    </w:p>
    <w:p>
      <w:pPr>
        <w:numPr>
          <w:ilvl w:val="0"/>
          <w:numId w:val="1056"/>
        </w:numPr>
        <w:pStyle w:val="Compact"/>
      </w:pPr>
      <w:r>
        <w:t xml:space="preserve">Uitgebreide hoortest (PTA, spraakaudiogram, tympanometrie)</w:t>
      </w:r>
    </w:p>
    <w:p>
      <w:pPr>
        <w:numPr>
          <w:ilvl w:val="0"/>
          <w:numId w:val="1056"/>
        </w:numPr>
        <w:pStyle w:val="Compact"/>
      </w:pPr>
      <w:r>
        <w:t xml:space="preserve">Indicatiestelling door audioloog/KNO-arts</w:t>
      </w:r>
    </w:p>
    <w:p>
      <w:pPr>
        <w:numPr>
          <w:ilvl w:val="0"/>
          <w:numId w:val="1056"/>
        </w:numPr>
        <w:pStyle w:val="Compact"/>
      </w:pPr>
      <w:r>
        <w:t xml:space="preserve">Hoortoestelproef (minimaal 6 weken)</w:t>
      </w:r>
    </w:p>
    <w:p>
      <w:pPr>
        <w:numPr>
          <w:ilvl w:val="0"/>
          <w:numId w:val="1056"/>
        </w:numPr>
        <w:pStyle w:val="Compact"/>
      </w:pPr>
      <w:r>
        <w:t xml:space="preserve">Definitieve aanpassing en controle</w:t>
      </w:r>
    </w:p>
    <w:bookmarkEnd w:id="99"/>
    <w:bookmarkStart w:id="100" w:name="kwaliteitseisen-noah-norm"/>
    <w:p>
      <w:pPr>
        <w:pStyle w:val="Heading3"/>
      </w:pPr>
      <w:r>
        <w:t xml:space="preserve">Kwaliteitseisen (NOAH-norm)</w:t>
      </w:r>
    </w:p>
    <w:p>
      <w:pPr>
        <w:numPr>
          <w:ilvl w:val="0"/>
          <w:numId w:val="1057"/>
        </w:numPr>
        <w:pStyle w:val="Compact"/>
      </w:pPr>
      <w:r>
        <w:t xml:space="preserve">Gebruik van gevalideerde aanpassingssoftware</w:t>
      </w:r>
    </w:p>
    <w:p>
      <w:pPr>
        <w:numPr>
          <w:ilvl w:val="0"/>
          <w:numId w:val="1057"/>
        </w:numPr>
        <w:pStyle w:val="Compact"/>
      </w:pPr>
      <w:r>
        <w:t xml:space="preserve">Objectieve verificatie (real-ear measurement / REM): koppeling van output aan gehoordrempel</w:t>
      </w:r>
    </w:p>
    <w:p>
      <w:pPr>
        <w:numPr>
          <w:ilvl w:val="0"/>
          <w:numId w:val="1057"/>
        </w:numPr>
        <w:pStyle w:val="Compact"/>
      </w:pPr>
      <w:r>
        <w:t xml:space="preserve">Vastlegging doelstelling en resultaat</w:t>
      </w:r>
    </w:p>
    <w:p>
      <w:pPr>
        <w:numPr>
          <w:ilvl w:val="0"/>
          <w:numId w:val="1057"/>
        </w:numPr>
        <w:pStyle w:val="Compact"/>
      </w:pPr>
      <w:r>
        <w:t xml:space="preserve">Nazorg en follow-up</w:t>
      </w:r>
    </w:p>
    <w:bookmarkEnd w:id="100"/>
    <w:bookmarkStart w:id="101" w:name="vergoeding"/>
    <w:p>
      <w:pPr>
        <w:pStyle w:val="Heading3"/>
      </w:pPr>
      <w:r>
        <w:t xml:space="preserve">Vergoeding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Basisverzekering</w:t>
      </w:r>
      <w:r>
        <w:t xml:space="preserve">: gedeeltelijke vergoeding; bijdrage patiënt afhankelijk van gekozen toestel (functioneel vs. uitgebreider model)</w:t>
      </w:r>
    </w:p>
    <w:p>
      <w:pPr>
        <w:numPr>
          <w:ilvl w:val="0"/>
          <w:numId w:val="1058"/>
        </w:numPr>
        <w:pStyle w:val="Compact"/>
      </w:pPr>
      <w:r>
        <w:t xml:space="preserve">Kinderen: volledig vergoed</w:t>
      </w:r>
    </w:p>
    <w:p>
      <w:pPr>
        <w:numPr>
          <w:ilvl w:val="0"/>
          <w:numId w:val="1058"/>
        </w:numPr>
        <w:pStyle w:val="Compact"/>
      </w:pPr>
      <w:r>
        <w:t xml:space="preserve">Aanvraag voor hogere vergoeding bij ernstig verlies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33" w:name="rhinologie"/>
    <w:p>
      <w:pPr>
        <w:pStyle w:val="Heading1"/>
      </w:pPr>
      <w:r>
        <w:t xml:space="preserve">RHINOLOGIE</w:t>
      </w:r>
    </w:p>
    <w:p>
      <w:r>
        <w:pict>
          <v:rect style="width:0;height:1.5pt" o:hralign="center" o:hrstd="t" o:hr="t"/>
        </w:pict>
      </w:r>
    </w:p>
    <w:bookmarkStart w:id="109" w:name="allergie-van-de-bovenste-luchtwegen"/>
    <w:p>
      <w:pPr>
        <w:pStyle w:val="Heading2"/>
      </w:pPr>
      <w:r>
        <w:t xml:space="preserve">13. Allergie van de bovenste luchtwegen</w:t>
      </w:r>
    </w:p>
    <w:bookmarkStart w:id="104" w:name="definitie-classificatie-aria"/>
    <w:p>
      <w:pPr>
        <w:pStyle w:val="Heading3"/>
      </w:pPr>
      <w:r>
        <w:t xml:space="preserve">Definitie &amp; classificatie (ARIA)</w:t>
      </w:r>
    </w:p>
    <w:p>
      <w:pPr>
        <w:numPr>
          <w:ilvl w:val="0"/>
          <w:numId w:val="1059"/>
        </w:numPr>
        <w:pStyle w:val="Compact"/>
      </w:pPr>
      <w:r>
        <w:t xml:space="preserve">Allergische rhinitis: IgE-gemedieerde ontsteking van nasaal mucosa na expositie aan allergeen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ARIA-classificatie</w:t>
      </w:r>
      <w:r>
        <w:t xml:space="preserve">:</w:t>
      </w:r>
    </w:p>
    <w:p>
      <w:pPr>
        <w:numPr>
          <w:ilvl w:val="1"/>
          <w:numId w:val="1060"/>
        </w:numPr>
        <w:pStyle w:val="Compact"/>
      </w:pPr>
      <w:r>
        <w:rPr>
          <w:iCs/>
          <w:i/>
        </w:rPr>
        <w:t xml:space="preserve">Intermitterend</w:t>
      </w:r>
      <w:r>
        <w:t xml:space="preserve">: symptomen &lt;4 dagen/week OF &lt;4 weken/jaar</w:t>
      </w:r>
    </w:p>
    <w:p>
      <w:pPr>
        <w:numPr>
          <w:ilvl w:val="1"/>
          <w:numId w:val="1060"/>
        </w:numPr>
        <w:pStyle w:val="Compact"/>
      </w:pPr>
      <w:r>
        <w:rPr>
          <w:iCs/>
          <w:i/>
        </w:rPr>
        <w:t xml:space="preserve">Persisterend</w:t>
      </w:r>
      <w:r>
        <w:t xml:space="preserve">: symptomen &gt;4 dagen/week EN &gt;4 weken/jaar</w:t>
      </w:r>
    </w:p>
    <w:p>
      <w:pPr>
        <w:numPr>
          <w:ilvl w:val="1"/>
          <w:numId w:val="1060"/>
        </w:numPr>
        <w:pStyle w:val="Compact"/>
      </w:pPr>
      <w:r>
        <w:rPr>
          <w:iCs/>
          <w:i/>
        </w:rPr>
        <w:t xml:space="preserve">Mild</w:t>
      </w:r>
      <w:r>
        <w:t xml:space="preserve">: geen slaapstoornis, geen beperkingen dagelijks functioneren</w:t>
      </w:r>
    </w:p>
    <w:p>
      <w:pPr>
        <w:numPr>
          <w:ilvl w:val="1"/>
          <w:numId w:val="1060"/>
        </w:numPr>
        <w:pStyle w:val="Compact"/>
      </w:pPr>
      <w:r>
        <w:rPr>
          <w:iCs/>
          <w:i/>
        </w:rPr>
        <w:t xml:space="preserve">Matig-ernstig</w:t>
      </w:r>
      <w:r>
        <w:t xml:space="preserve">: slecht slapen, beperkingen op werk/school/sport</w:t>
      </w:r>
    </w:p>
    <w:bookmarkEnd w:id="104"/>
    <w:bookmarkStart w:id="105" w:name="symptomen"/>
    <w:p>
      <w:pPr>
        <w:pStyle w:val="Heading3"/>
      </w:pPr>
      <w:r>
        <w:t xml:space="preserve">Symptomen</w:t>
      </w:r>
    </w:p>
    <w:p>
      <w:pPr>
        <w:numPr>
          <w:ilvl w:val="0"/>
          <w:numId w:val="1061"/>
        </w:numPr>
        <w:pStyle w:val="Compact"/>
      </w:pPr>
      <w:r>
        <w:t xml:space="preserve">Neusloop (waterig), neusverstopping, niezen, neusjeuk</w:t>
      </w:r>
    </w:p>
    <w:p>
      <w:pPr>
        <w:numPr>
          <w:ilvl w:val="0"/>
          <w:numId w:val="1061"/>
        </w:numPr>
        <w:pStyle w:val="Compact"/>
      </w:pPr>
      <w:r>
        <w:t xml:space="preserve">Oogklachten: roodheid, jeuk, tranenvloed (rhinoconjunctivitis)</w:t>
      </w:r>
    </w:p>
    <w:p>
      <w:pPr>
        <w:numPr>
          <w:ilvl w:val="0"/>
          <w:numId w:val="1061"/>
        </w:numPr>
        <w:pStyle w:val="Compact"/>
      </w:pPr>
      <w:r>
        <w:t xml:space="preserve">Hoofd-halsklachten: oorjeuk, gehemelte-jeuk, hoest</w:t>
      </w:r>
    </w:p>
    <w:bookmarkEnd w:id="105"/>
    <w:bookmarkStart w:id="106" w:name="diagnostiek-5"/>
    <w:p>
      <w:pPr>
        <w:pStyle w:val="Heading3"/>
      </w:pPr>
      <w:r>
        <w:t xml:space="preserve">Diagnostiek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Huidpriktest (SPT)</w:t>
      </w:r>
      <w:r>
        <w:t xml:space="preserve">: goudstandaard; positief bij kwaddel ≥3 mm groter dan negatieve controle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Specifiek IgE</w:t>
      </w:r>
      <w:r>
        <w:t xml:space="preserve"> </w:t>
      </w:r>
      <w:r>
        <w:t xml:space="preserve">(ImmunoCAP/RAST): alternatief of aanvullend; handig bij dermatitis, gebruik antihistaminica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Nasale provocatietest</w:t>
      </w:r>
      <w:r>
        <w:t xml:space="preserve">: bij onduidelijke relatie anamnese-test</w:t>
      </w:r>
    </w:p>
    <w:p>
      <w:pPr>
        <w:numPr>
          <w:ilvl w:val="0"/>
          <w:numId w:val="1062"/>
        </w:numPr>
        <w:pStyle w:val="Compact"/>
      </w:pPr>
      <w:r>
        <w:t xml:space="preserve">Totaal IgE: weinig diagnostische waarde</w:t>
      </w:r>
    </w:p>
    <w:bookmarkEnd w:id="106"/>
    <w:bookmarkStart w:id="107" w:name="belangrijkste-allergenen-nederland"/>
    <w:p>
      <w:pPr>
        <w:pStyle w:val="Heading3"/>
      </w:pPr>
      <w:r>
        <w:t xml:space="preserve">Belangrijkste allergenen Nederland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Seizoengebonden</w:t>
      </w:r>
      <w:r>
        <w:t xml:space="preserve">: graspollen (mei-juli), berkenpollen (maart-april), bijvoet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Jaar-rond</w:t>
      </w:r>
      <w:r>
        <w:t xml:space="preserve">: huisstofmijt (Dermatophagoides), kat, hond, schimmels (Alternaria)</w:t>
      </w:r>
    </w:p>
    <w:p>
      <w:pPr>
        <w:numPr>
          <w:ilvl w:val="0"/>
          <w:numId w:val="1063"/>
        </w:numPr>
        <w:pStyle w:val="Compact"/>
      </w:pPr>
      <w:r>
        <w:t xml:space="preserve">Kruisreactiviteit: berk-appel-noot-wortel (pollen-voedsel allergiesyndroom)</w:t>
      </w:r>
    </w:p>
    <w:bookmarkEnd w:id="107"/>
    <w:bookmarkStart w:id="108" w:name="behandeling-stappenschema"/>
    <w:p>
      <w:pPr>
        <w:pStyle w:val="Heading3"/>
      </w:pPr>
      <w:r>
        <w:t xml:space="preserve">Behandeling — stappenschema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Allergeenvermijding + antihistaminicadruppels (oog) + nasaal antihistaminicum of 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Nasale corticosteroïden (INCS) als basisbehandeling; oraal antihistaminicum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 INCS + antihistaminicum; toevoeging montelukast (bij astma)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Specifieke immunotherapie (AIT) — SCIT of SLIT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INCS</w:t>
      </w:r>
      <w:r>
        <w:t xml:space="preserve"> </w:t>
      </w:r>
      <w:r>
        <w:t xml:space="preserve">(intranasale corticosteroïden, bijv. fluticason, mometason): meest effectief voor neussymptomen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Oraal antihistaminicum</w:t>
      </w:r>
      <w:r>
        <w:t xml:space="preserve"> </w:t>
      </w:r>
      <w:r>
        <w:t xml:space="preserve">(bijv. cetirizine, loratadine, fexofenadine): effectief voor jeuk, niezen, oogklachten; minder voor verstopping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Ipratropium neusspray</w:t>
      </w:r>
      <w:r>
        <w:t xml:space="preserve">: bij neusloop dominant beeld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Decongestiva</w:t>
      </w:r>
      <w:r>
        <w:t xml:space="preserve"> </w:t>
      </w:r>
      <w:r>
        <w:t xml:space="preserve">(xylometazoline): kortstondig gebruik (&lt;10 dagen); rebound-fenomeen bij langdurig gebruik (rhinitis medicamentosa)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X09753e31396259e8fe17765c4c8ccdaf1bb0e64"/>
    <w:p>
      <w:pPr>
        <w:pStyle w:val="Heading2"/>
      </w:pPr>
      <w:r>
        <w:t xml:space="preserve">14. Chronische rhinosinusitis (CRS) en neuspoliepen</w:t>
      </w:r>
    </w:p>
    <w:bookmarkStart w:id="110" w:name="definitie-2"/>
    <w:p>
      <w:pPr>
        <w:pStyle w:val="Heading3"/>
      </w:pPr>
      <w:r>
        <w:t xml:space="preserve">Definitie</w:t>
      </w:r>
    </w:p>
    <w:p>
      <w:pPr>
        <w:pStyle w:val="FirstParagraph"/>
      </w:pPr>
      <w:r>
        <w:rPr>
          <w:bCs/>
          <w:b/>
        </w:rPr>
        <w:t xml:space="preserve">≥2 symptomen</w:t>
      </w:r>
      <w:r>
        <w:t xml:space="preserve"> </w:t>
      </w:r>
      <w:r>
        <w:t xml:space="preserve">(nasale obstructie/blokkade</w:t>
      </w:r>
      <w:r>
        <w:t xml:space="preserve"> </w:t>
      </w:r>
      <w:r>
        <w:rPr>
          <w:bCs/>
          <w:b/>
        </w:rPr>
        <w:t xml:space="preserve">OF</w:t>
      </w:r>
      <w:r>
        <w:t xml:space="preserve"> </w:t>
      </w:r>
      <w:r>
        <w:t xml:space="preserve">nasale afscheiding; + evt. aangezichtspijn/druk, reuk- of smaakverlies)</w:t>
      </w:r>
      <w:r>
        <w:t xml:space="preserve"> </w:t>
      </w:r>
      <w:r>
        <w:rPr>
          <w:bCs/>
          <w:b/>
        </w:rPr>
        <w:t xml:space="preserve">&gt;12 weken</w:t>
      </w:r>
      <w:r>
        <w:t xml:space="preserve">, met objectief bewijs (endoscopie of CT).</w:t>
      </w:r>
    </w:p>
    <w:bookmarkEnd w:id="110"/>
    <w:bookmarkStart w:id="111" w:name="classificatie"/>
    <w:p>
      <w:pPr>
        <w:pStyle w:val="Heading3"/>
      </w:pPr>
      <w:r>
        <w:t xml:space="preserve">Classificatie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CRSsNP</w:t>
      </w:r>
      <w:r>
        <w:t xml:space="preserve">: CRS zonder neuspoliepen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CRSwNP</w:t>
      </w:r>
      <w:r>
        <w:t xml:space="preserve">: CRS met neuspoliepen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AFRS</w:t>
      </w:r>
      <w:r>
        <w:t xml:space="preserve">: allergische schimmel rhinosinusitis (eosinofiel mucine, Charcot-Leyden-kristallen, schimmeldraden)</w:t>
      </w:r>
    </w:p>
    <w:bookmarkEnd w:id="111"/>
    <w:bookmarkStart w:id="112" w:name="pathofysiologie"/>
    <w:p>
      <w:pPr>
        <w:pStyle w:val="Heading3"/>
      </w:pPr>
      <w:r>
        <w:t xml:space="preserve">Pathofysiologie</w:t>
      </w:r>
    </w:p>
    <w:p>
      <w:pPr>
        <w:numPr>
          <w:ilvl w:val="0"/>
          <w:numId w:val="1066"/>
        </w:numPr>
        <w:pStyle w:val="Compact"/>
      </w:pPr>
      <w:r>
        <w:t xml:space="preserve">CRSsNP: neutrofiel, Th1-profiel; microbioom-dysbalans</w:t>
      </w:r>
    </w:p>
    <w:p>
      <w:pPr>
        <w:numPr>
          <w:ilvl w:val="0"/>
          <w:numId w:val="1066"/>
        </w:numPr>
        <w:pStyle w:val="Compact"/>
      </w:pPr>
      <w:r>
        <w:t xml:space="preserve">CRSwNP: eosinofiel, Th2-profiel; IL-4, IL-5, IL-13; overexpressie IgE</w:t>
      </w:r>
    </w:p>
    <w:bookmarkEnd w:id="112"/>
    <w:bookmarkStart w:id="113" w:name="diagnostiek-6"/>
    <w:p>
      <w:pPr>
        <w:pStyle w:val="Heading3"/>
      </w:pPr>
      <w:r>
        <w:t xml:space="preserve">Diagnostiek</w:t>
      </w:r>
    </w:p>
    <w:p>
      <w:pPr>
        <w:numPr>
          <w:ilvl w:val="0"/>
          <w:numId w:val="1067"/>
        </w:numPr>
        <w:pStyle w:val="Compact"/>
      </w:pPr>
      <w:r>
        <w:t xml:space="preserve">Endoscopie: neuspoliepen (Lund-Kennedy score), etterdrains, oedeem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CT bijholten</w:t>
      </w:r>
      <w:r>
        <w:t xml:space="preserve"> </w:t>
      </w:r>
      <w:r>
        <w:t xml:space="preserve">(Lund-Mackay score 0–24): standaard pre-operatief</w:t>
      </w:r>
    </w:p>
    <w:p>
      <w:pPr>
        <w:numPr>
          <w:ilvl w:val="0"/>
          <w:numId w:val="1067"/>
        </w:numPr>
        <w:pStyle w:val="Compact"/>
      </w:pPr>
      <w:r>
        <w:t xml:space="preserve">Reuktest (Sniffin’ Sticks, UPSIT)</w:t>
      </w:r>
    </w:p>
    <w:p>
      <w:pPr>
        <w:numPr>
          <w:ilvl w:val="0"/>
          <w:numId w:val="1067"/>
        </w:numPr>
        <w:pStyle w:val="Compact"/>
      </w:pPr>
      <w:r>
        <w:t xml:space="preserve">Allergie-evaluatie</w:t>
      </w:r>
    </w:p>
    <w:p>
      <w:pPr>
        <w:numPr>
          <w:ilvl w:val="0"/>
          <w:numId w:val="1067"/>
        </w:numPr>
        <w:pStyle w:val="Compact"/>
      </w:pPr>
      <w:r>
        <w:t xml:space="preserve">Biopsie bij verdenking maligniteit of specifieke aandoening</w:t>
      </w:r>
    </w:p>
    <w:bookmarkEnd w:id="113"/>
    <w:bookmarkStart w:id="114" w:name="behandeling-crssnp"/>
    <w:p>
      <w:pPr>
        <w:pStyle w:val="Heading3"/>
      </w:pPr>
      <w:r>
        <w:t xml:space="preserve">Behandeling CRSsNP</w:t>
      </w:r>
    </w:p>
    <w:p>
      <w:pPr>
        <w:numPr>
          <w:ilvl w:val="0"/>
          <w:numId w:val="1068"/>
        </w:numPr>
        <w:pStyle w:val="Compact"/>
      </w:pPr>
      <w:r>
        <w:t xml:space="preserve">Nasale spoeling (fysiologisch zout of hypertoon)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INCS</w:t>
      </w:r>
      <w:r>
        <w:t xml:space="preserve"> </w:t>
      </w:r>
      <w:r>
        <w:t xml:space="preserve">(intranasale corticosteroïden): topisch effect op mucosa</w:t>
      </w:r>
    </w:p>
    <w:p>
      <w:pPr>
        <w:numPr>
          <w:ilvl w:val="0"/>
          <w:numId w:val="1068"/>
        </w:numPr>
        <w:pStyle w:val="Compact"/>
      </w:pPr>
      <w:r>
        <w:t xml:space="preserve">Antibiotica: acute exacerbatie → amoxicilline-clavulanaat; langdurige macrolide-therapie (azithromycine, claritromycine 3 maanden): anti-inflammatoir effect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FESS</w:t>
      </w:r>
      <w:r>
        <w:t xml:space="preserve"> </w:t>
      </w:r>
      <w:r>
        <w:t xml:space="preserve">(functionele endoscopische sinuschirurgie) bij falen medicamenteuze therapie</w:t>
      </w:r>
    </w:p>
    <w:bookmarkEnd w:id="114"/>
    <w:bookmarkStart w:id="115" w:name="behandeling-crswnp"/>
    <w:p>
      <w:pPr>
        <w:pStyle w:val="Heading3"/>
      </w:pPr>
      <w:r>
        <w:t xml:space="preserve">Behandeling CRSwNP</w:t>
      </w:r>
    </w:p>
    <w:p>
      <w:pPr>
        <w:numPr>
          <w:ilvl w:val="0"/>
          <w:numId w:val="1069"/>
        </w:numPr>
        <w:pStyle w:val="Compact"/>
      </w:pPr>
      <w:r>
        <w:t xml:space="preserve">INCS (hoge dosis; druppelinstillatie of spray)</w:t>
      </w:r>
    </w:p>
    <w:p>
      <w:pPr>
        <w:numPr>
          <w:ilvl w:val="0"/>
          <w:numId w:val="1069"/>
        </w:numPr>
        <w:pStyle w:val="Compact"/>
      </w:pPr>
      <w:r>
        <w:t xml:space="preserve">Kortdurende orale corticosteroïden (kuren): voor operatie of bij ernstige polyposis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FESS</w:t>
      </w:r>
      <w:r>
        <w:t xml:space="preserve">: polypectomie + opening bijholten; recidief veelvoorkomend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Biologicals</w:t>
      </w:r>
      <w:r>
        <w:t xml:space="preserve"> </w:t>
      </w:r>
      <w:r>
        <w:t xml:space="preserve">(geregistreerd bij ernstige refractaire CRSwNP):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Dupilumab</w:t>
      </w:r>
      <w:r>
        <w:t xml:space="preserve"> </w:t>
      </w:r>
      <w:r>
        <w:t xml:space="preserve">(anti-IL-4Rα, anti-IL-13): sterk bewijs, ook bij astma comorbiditeit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Mepolizumab</w:t>
      </w:r>
      <w:r>
        <w:t xml:space="preserve"> </w:t>
      </w:r>
      <w:r>
        <w:t xml:space="preserve">(anti-IL-5): ook bij eosinofiel astma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Omalizumab</w:t>
      </w:r>
      <w:r>
        <w:t xml:space="preserve"> </w:t>
      </w:r>
      <w:r>
        <w:t xml:space="preserve">(anti-IgE): bij hoge IgE en atopie</w:t>
      </w:r>
    </w:p>
    <w:p>
      <w:pPr>
        <w:numPr>
          <w:ilvl w:val="0"/>
          <w:numId w:val="1069"/>
        </w:numPr>
        <w:pStyle w:val="Compact"/>
      </w:pPr>
      <w:r>
        <w:t xml:space="preserve">Aspirine desensitisatie bij NSAID-exacerbated respiratory disease (N-ERD = Samter’s triade: astma + CRSwNP + aspirine-intolerantie)</w:t>
      </w:r>
    </w:p>
    <w:bookmarkEnd w:id="115"/>
    <w:bookmarkStart w:id="116" w:name="comorbiditeiten"/>
    <w:p>
      <w:pPr>
        <w:pStyle w:val="Heading3"/>
      </w:pPr>
      <w:r>
        <w:t xml:space="preserve">Comorbiditeiten</w:t>
      </w:r>
    </w:p>
    <w:p>
      <w:pPr>
        <w:numPr>
          <w:ilvl w:val="0"/>
          <w:numId w:val="1071"/>
        </w:numPr>
        <w:pStyle w:val="Compact"/>
      </w:pPr>
      <w:r>
        <w:t xml:space="preserve">Astma (50% bij CRSwNP)</w:t>
      </w:r>
    </w:p>
    <w:p>
      <w:pPr>
        <w:numPr>
          <w:ilvl w:val="0"/>
          <w:numId w:val="1071"/>
        </w:numPr>
        <w:pStyle w:val="Compact"/>
      </w:pPr>
      <w:r>
        <w:t xml:space="preserve">Allergie</w:t>
      </w:r>
    </w:p>
    <w:p>
      <w:pPr>
        <w:numPr>
          <w:ilvl w:val="0"/>
          <w:numId w:val="1071"/>
        </w:numPr>
        <w:pStyle w:val="Compact"/>
      </w:pPr>
      <w:r>
        <w:t xml:space="preserve">N-ERD (Samter’s triade)</w:t>
      </w:r>
    </w:p>
    <w:p>
      <w:pPr>
        <w:numPr>
          <w:ilvl w:val="0"/>
          <w:numId w:val="1071"/>
        </w:numPr>
        <w:pStyle w:val="Compact"/>
      </w:pPr>
      <w:r>
        <w:t xml:space="preserve">Primaire ciliaire dyskinesie (PCD)</w:t>
      </w:r>
    </w:p>
    <w:p>
      <w:pPr>
        <w:numPr>
          <w:ilvl w:val="0"/>
          <w:numId w:val="1071"/>
        </w:numPr>
        <w:pStyle w:val="Compact"/>
      </w:pPr>
      <w:r>
        <w:t xml:space="preserve">Cystische fibrose (jonge patiënten)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5" w:name="Xd777554a3cee176fbab03c54e8306a18e18d47e"/>
    <w:p>
      <w:pPr>
        <w:pStyle w:val="Heading2"/>
      </w:pPr>
      <w:r>
        <w:t xml:space="preserve">15. Immunotherapie voor patiënten met allergische rhinoconjunctivitis (AR)</w:t>
      </w:r>
    </w:p>
    <w:bookmarkStart w:id="118" w:name="definitie-werking"/>
    <w:p>
      <w:pPr>
        <w:pStyle w:val="Heading3"/>
      </w:pPr>
      <w:r>
        <w:t xml:space="preserve">Definitie &amp; werking</w:t>
      </w:r>
    </w:p>
    <w:p>
      <w:pPr>
        <w:pStyle w:val="FirstParagraph"/>
      </w:pPr>
      <w:r>
        <w:rPr>
          <w:bCs/>
          <w:b/>
        </w:rPr>
        <w:t xml:space="preserve">Allergen Immunotherapy (AIT)</w:t>
      </w:r>
      <w:r>
        <w:t xml:space="preserve">: specifieke desensitisatie door geleidelijk oplopende dosering van het veroorzakende allergeen. Enige behandeling die de onderliggende ziekte modificeert.</w:t>
      </w:r>
    </w:p>
    <w:bookmarkEnd w:id="118"/>
    <w:bookmarkStart w:id="119" w:name="vormen"/>
    <w:p>
      <w:pPr>
        <w:pStyle w:val="Heading3"/>
      </w:pPr>
      <w:r>
        <w:t xml:space="preserve">Vormen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10"/>
        <w:gridCol w:w="3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Praktisch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Subcutaan (injectie)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Opbouwfase + onderhoudsfase; maandelijks injectie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Sublinguaal (druppels of tablet)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Dagelijks thuis; tabletten voor gras/huisstofmijt geregistreerd</w:t>
            </w:r>
          </w:p>
        </w:tc>
      </w:tr>
    </w:tbl>
    <w:bookmarkEnd w:id="119"/>
    <w:bookmarkStart w:id="120" w:name="indicaties-1"/>
    <w:p>
      <w:pPr>
        <w:pStyle w:val="Heading3"/>
      </w:pPr>
      <w:r>
        <w:t xml:space="preserve">Indicaties</w:t>
      </w:r>
    </w:p>
    <w:p>
      <w:pPr>
        <w:numPr>
          <w:ilvl w:val="0"/>
          <w:numId w:val="1072"/>
        </w:numPr>
        <w:pStyle w:val="Compact"/>
      </w:pPr>
      <w:r>
        <w:t xml:space="preserve">Bewezen IgE-gemedieerde allergie (SPT positief en/of specifiek IgE)</w:t>
      </w:r>
    </w:p>
    <w:p>
      <w:pPr>
        <w:numPr>
          <w:ilvl w:val="0"/>
          <w:numId w:val="1072"/>
        </w:numPr>
        <w:pStyle w:val="Compact"/>
      </w:pPr>
      <w:r>
        <w:t xml:space="preserve">Onvoldoende symptoomcontrole ondanks adequate medicamenteuze therapie</w:t>
      </w:r>
    </w:p>
    <w:p>
      <w:pPr>
        <w:numPr>
          <w:ilvl w:val="0"/>
          <w:numId w:val="1072"/>
        </w:numPr>
        <w:pStyle w:val="Compact"/>
      </w:pPr>
      <w:r>
        <w:t xml:space="preserve">Patiënt wenst ziektemodificerende behandeling</w:t>
      </w:r>
    </w:p>
    <w:p>
      <w:pPr>
        <w:numPr>
          <w:ilvl w:val="0"/>
          <w:numId w:val="1072"/>
        </w:numPr>
        <w:pStyle w:val="Compact"/>
      </w:pPr>
      <w:r>
        <w:t xml:space="preserve">Beschikbare gestandaardiseerde producten (graspollen, berkenpollen, huisstofmijt, kat, hond)</w:t>
      </w:r>
    </w:p>
    <w:p>
      <w:pPr>
        <w:numPr>
          <w:ilvl w:val="0"/>
          <w:numId w:val="1072"/>
        </w:numPr>
        <w:pStyle w:val="Compact"/>
      </w:pPr>
      <w:r>
        <w:t xml:space="preserve">Duur:</w:t>
      </w:r>
      <w:r>
        <w:t xml:space="preserve"> </w:t>
      </w:r>
      <w:r>
        <w:rPr>
          <w:bCs/>
          <w:b/>
        </w:rPr>
        <w:t xml:space="preserve">3–5 jaar</w:t>
      </w:r>
      <w:r>
        <w:t xml:space="preserve"> </w:t>
      </w:r>
      <w:r>
        <w:t xml:space="preserve">voor blijvend effect</w:t>
      </w:r>
    </w:p>
    <w:bookmarkEnd w:id="120"/>
    <w:bookmarkStart w:id="121" w:name="contra-indicaties"/>
    <w:p>
      <w:pPr>
        <w:pStyle w:val="Heading3"/>
      </w:pPr>
      <w:r>
        <w:t xml:space="preserve">Contra-indicaties</w:t>
      </w:r>
    </w:p>
    <w:p>
      <w:pPr>
        <w:numPr>
          <w:ilvl w:val="0"/>
          <w:numId w:val="1073"/>
        </w:numPr>
        <w:pStyle w:val="Compact"/>
      </w:pPr>
      <w:r>
        <w:t xml:space="preserve">Ernstig of slecht gecontroleerd astma (FEV1 &lt;70% na bronchusverwijding)</w:t>
      </w:r>
    </w:p>
    <w:p>
      <w:pPr>
        <w:numPr>
          <w:ilvl w:val="0"/>
          <w:numId w:val="1073"/>
        </w:numPr>
        <w:pStyle w:val="Compact"/>
      </w:pPr>
      <w:r>
        <w:t xml:space="preserve">Cardiovasculaire ziekten (relatief; bèta-blokker-gebruik: anafylaxiebehandeling bemoeilijkt)</w:t>
      </w:r>
    </w:p>
    <w:p>
      <w:pPr>
        <w:numPr>
          <w:ilvl w:val="0"/>
          <w:numId w:val="1073"/>
        </w:numPr>
        <w:pStyle w:val="Compact"/>
      </w:pPr>
      <w:r>
        <w:t xml:space="preserve">Auto-immuunziekten (actief)</w:t>
      </w:r>
    </w:p>
    <w:p>
      <w:pPr>
        <w:numPr>
          <w:ilvl w:val="0"/>
          <w:numId w:val="1073"/>
        </w:numPr>
        <w:pStyle w:val="Compact"/>
      </w:pPr>
      <w:r>
        <w:t xml:space="preserve">Immunodeficiëntie</w:t>
      </w:r>
    </w:p>
    <w:p>
      <w:pPr>
        <w:numPr>
          <w:ilvl w:val="0"/>
          <w:numId w:val="1073"/>
        </w:numPr>
        <w:pStyle w:val="Compact"/>
      </w:pPr>
      <w:r>
        <w:t xml:space="preserve">Actieve maligniteit</w:t>
      </w:r>
    </w:p>
    <w:p>
      <w:pPr>
        <w:numPr>
          <w:ilvl w:val="0"/>
          <w:numId w:val="1073"/>
        </w:numPr>
        <w:pStyle w:val="Compact"/>
      </w:pPr>
      <w:r>
        <w:t xml:space="preserve">Zwangerschap (start niet; continueren kan)</w:t>
      </w:r>
    </w:p>
    <w:bookmarkEnd w:id="121"/>
    <w:bookmarkStart w:id="122" w:name="bijwerkingen-scit"/>
    <w:p>
      <w:pPr>
        <w:pStyle w:val="Heading3"/>
      </w:pPr>
      <w:r>
        <w:t xml:space="preserve">Bijwerkingen SCIT</w:t>
      </w:r>
    </w:p>
    <w:p>
      <w:pPr>
        <w:numPr>
          <w:ilvl w:val="0"/>
          <w:numId w:val="1074"/>
        </w:numPr>
        <w:pStyle w:val="Compact"/>
      </w:pPr>
      <w:r>
        <w:t xml:space="preserve">Lokaal: jeuk, roodheid, zwelling op injectieplaats (frequent, niet alarmerend)</w:t>
      </w:r>
    </w:p>
    <w:p>
      <w:pPr>
        <w:numPr>
          <w:ilvl w:val="0"/>
          <w:numId w:val="1074"/>
        </w:numPr>
        <w:pStyle w:val="Compact"/>
      </w:pPr>
      <w:r>
        <w:t xml:space="preserve">Systemisch: urticaria, bronchospasme, anafylaxie (zeldzaam maar ernstig)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Observatietijd 30 minuten</w:t>
      </w:r>
      <w:r>
        <w:t xml:space="preserve"> </w:t>
      </w:r>
      <w:r>
        <w:t xml:space="preserve">na iedere injectie verplicht; adrenaline direct beschikbaar</w:t>
      </w:r>
    </w:p>
    <w:bookmarkEnd w:id="122"/>
    <w:bookmarkStart w:id="123" w:name="bijwerkingen-slit"/>
    <w:p>
      <w:pPr>
        <w:pStyle w:val="Heading3"/>
      </w:pPr>
      <w:r>
        <w:t xml:space="preserve">Bijwerkingen SLIT</w:t>
      </w:r>
    </w:p>
    <w:p>
      <w:pPr>
        <w:numPr>
          <w:ilvl w:val="0"/>
          <w:numId w:val="1075"/>
        </w:numPr>
        <w:pStyle w:val="Compact"/>
      </w:pPr>
      <w:r>
        <w:t xml:space="preserve">Lokaal orale irritatie (oraal jeukend/tintelend): frequent maar mild</w:t>
      </w:r>
    </w:p>
    <w:p>
      <w:pPr>
        <w:numPr>
          <w:ilvl w:val="0"/>
          <w:numId w:val="1075"/>
        </w:numPr>
        <w:pStyle w:val="Compact"/>
      </w:pPr>
      <w:r>
        <w:t xml:space="preserve">Anafylaxie: zeer zeldzaam</w:t>
      </w:r>
    </w:p>
    <w:bookmarkEnd w:id="123"/>
    <w:bookmarkStart w:id="124" w:name="effectiviteit"/>
    <w:p>
      <w:pPr>
        <w:pStyle w:val="Heading3"/>
      </w:pPr>
      <w:r>
        <w:t xml:space="preserve">Effectiviteit</w:t>
      </w:r>
    </w:p>
    <w:p>
      <w:pPr>
        <w:numPr>
          <w:ilvl w:val="0"/>
          <w:numId w:val="1076"/>
        </w:numPr>
        <w:pStyle w:val="Compact"/>
      </w:pPr>
      <w:r>
        <w:t xml:space="preserve">Vermindering symptoomscore en medicatiegebruik met 30–40%</w:t>
      </w:r>
    </w:p>
    <w:p>
      <w:pPr>
        <w:numPr>
          <w:ilvl w:val="0"/>
          <w:numId w:val="1076"/>
        </w:numPr>
        <w:pStyle w:val="Compact"/>
      </w:pPr>
      <w:r>
        <w:t xml:space="preserve">Preventie van nieuw allergeen-sensibilisatie</w:t>
      </w:r>
    </w:p>
    <w:p>
      <w:pPr>
        <w:numPr>
          <w:ilvl w:val="0"/>
          <w:numId w:val="1076"/>
        </w:numPr>
        <w:pStyle w:val="Compact"/>
      </w:pPr>
      <w:r>
        <w:t xml:space="preserve">Preventie ontwikkeling astma bij allergische rhinitis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2" w:name="septumcorrectie"/>
    <w:p>
      <w:pPr>
        <w:pStyle w:val="Heading2"/>
      </w:pPr>
      <w:r>
        <w:t xml:space="preserve">16. Septumcorrectie</w:t>
      </w:r>
    </w:p>
    <w:bookmarkStart w:id="126" w:name="indicaties-2"/>
    <w:p>
      <w:pPr>
        <w:pStyle w:val="Heading3"/>
      </w:pPr>
      <w:r>
        <w:t xml:space="preserve">Indicaties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Functioneel</w:t>
      </w:r>
      <w:r>
        <w:t xml:space="preserve">: neusobstructie door septumdeviatie, respiratoire klachten, verminderde slaapkwaliteit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Cosmetisch</w:t>
      </w:r>
      <w:r>
        <w:t xml:space="preserve">: uitwendige neus-asymmetrie (zaddelneus, scheve neus) — vaak in combinatie met rhinoplastiek</w:t>
      </w:r>
    </w:p>
    <w:p>
      <w:pPr>
        <w:numPr>
          <w:ilvl w:val="0"/>
          <w:numId w:val="1077"/>
        </w:numPr>
        <w:pStyle w:val="Compact"/>
      </w:pPr>
      <w:r>
        <w:t xml:space="preserve">Aanvullend bij FESS (correcte toegang), snurken/OSA</w:t>
      </w:r>
    </w:p>
    <w:bookmarkEnd w:id="126"/>
    <w:bookmarkStart w:id="127" w:name="technieken"/>
    <w:p>
      <w:pPr>
        <w:pStyle w:val="Heading3"/>
      </w:pPr>
      <w:r>
        <w:t xml:space="preserve">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Septumplastiek</w:t>
            </w:r>
            <w:r>
              <w:t xml:space="preserve"> </w:t>
            </w:r>
            <w:r>
              <w:t xml:space="preserve">(voorkeur)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Reconstructief: kraakbeen wordt maximaal gespaard, geredigeerd en teruggeplaatst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SMR (submucosal resection)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Verwijdering kraakbeen en bot; eenvoudiger maar meer structuurverlies</w:t>
            </w:r>
          </w:p>
        </w:tc>
      </w:tr>
    </w:tbl>
    <w:bookmarkEnd w:id="127"/>
    <w:bookmarkStart w:id="128" w:name="leeftijdsgrens"/>
    <w:p>
      <w:pPr>
        <w:pStyle w:val="Heading3"/>
      </w:pPr>
      <w:r>
        <w:t xml:space="preserve">Leeftijdsgrens</w:t>
      </w:r>
    </w:p>
    <w:p>
      <w:pPr>
        <w:numPr>
          <w:ilvl w:val="0"/>
          <w:numId w:val="1078"/>
        </w:numPr>
        <w:pStyle w:val="Compact"/>
      </w:pPr>
      <w:r>
        <w:t xml:space="preserve">Groeiafsluiting: ca. 17–18 jaar (vrouwen eerder dan mannen)</w:t>
      </w:r>
    </w:p>
    <w:p>
      <w:pPr>
        <w:numPr>
          <w:ilvl w:val="0"/>
          <w:numId w:val="1078"/>
        </w:numPr>
        <w:pStyle w:val="Compact"/>
      </w:pPr>
      <w:r>
        <w:t xml:space="preserve">Uitzondering: ernstige functionele klachten op jongere leeftijd → overleg</w:t>
      </w:r>
    </w:p>
    <w:bookmarkEnd w:id="128"/>
    <w:bookmarkStart w:id="129" w:name="pre-operatieve-evaluatie-1"/>
    <w:p>
      <w:pPr>
        <w:pStyle w:val="Heading3"/>
      </w:pPr>
      <w:r>
        <w:t xml:space="preserve">Pre-operatieve evaluatie</w:t>
      </w:r>
    </w:p>
    <w:p>
      <w:pPr>
        <w:numPr>
          <w:ilvl w:val="0"/>
          <w:numId w:val="1079"/>
        </w:numPr>
        <w:pStyle w:val="Compact"/>
      </w:pPr>
      <w:r>
        <w:t xml:space="preserve">Endoscopie neus (ook conchae, poliepen)</w:t>
      </w:r>
    </w:p>
    <w:p>
      <w:pPr>
        <w:numPr>
          <w:ilvl w:val="0"/>
          <w:numId w:val="1079"/>
        </w:numPr>
        <w:pStyle w:val="Compact"/>
      </w:pPr>
      <w:r>
        <w:t xml:space="preserve">Anamnese: eerdere operaties, trauma, bloedingsneiging</w:t>
      </w:r>
    </w:p>
    <w:p>
      <w:pPr>
        <w:numPr>
          <w:ilvl w:val="0"/>
          <w:numId w:val="1079"/>
        </w:numPr>
        <w:pStyle w:val="Compact"/>
      </w:pPr>
      <w:r>
        <w:t xml:space="preserve">Medicatie: stoppen anticoagulantia/trombocytenremmers</w:t>
      </w:r>
    </w:p>
    <w:bookmarkEnd w:id="129"/>
    <w:bookmarkStart w:id="130" w:name="operatie-details"/>
    <w:p>
      <w:pPr>
        <w:pStyle w:val="Heading3"/>
      </w:pPr>
      <w:r>
        <w:t xml:space="preserve">Operatie details</w:t>
      </w:r>
    </w:p>
    <w:p>
      <w:pPr>
        <w:numPr>
          <w:ilvl w:val="0"/>
          <w:numId w:val="1080"/>
        </w:numPr>
        <w:pStyle w:val="Compact"/>
      </w:pPr>
      <w:r>
        <w:t xml:space="preserve">Anesthesie: algemeen of lokaal + sedatie</w:t>
      </w:r>
    </w:p>
    <w:p>
      <w:pPr>
        <w:numPr>
          <w:ilvl w:val="0"/>
          <w:numId w:val="1080"/>
        </w:numPr>
        <w:pStyle w:val="Compact"/>
      </w:pPr>
      <w:r>
        <w:t xml:space="preserve">Hemitransfixie-incisie → mucoperichondriaal vlak aan één of beide kanten</w:t>
      </w:r>
    </w:p>
    <w:p>
      <w:pPr>
        <w:numPr>
          <w:ilvl w:val="0"/>
          <w:numId w:val="1080"/>
        </w:numPr>
        <w:pStyle w:val="Compact"/>
      </w:pPr>
      <w:r>
        <w:t xml:space="preserve">Kraakbeencorrectie: scoring, spreader grafts, spreader flaps, kraakbeenexcisie (minimaal)</w:t>
      </w:r>
    </w:p>
    <w:p>
      <w:pPr>
        <w:numPr>
          <w:ilvl w:val="0"/>
          <w:numId w:val="1080"/>
        </w:numPr>
        <w:pStyle w:val="Compact"/>
      </w:pPr>
      <w:r>
        <w:t xml:space="preserve">Botspur: chisel of punch</w:t>
      </w:r>
    </w:p>
    <w:p>
      <w:pPr>
        <w:numPr>
          <w:ilvl w:val="0"/>
          <w:numId w:val="1080"/>
        </w:numPr>
        <w:pStyle w:val="Compact"/>
      </w:pPr>
      <w:r>
        <w:t xml:space="preserve">Gecombineerd:</w:t>
      </w:r>
      <w:r>
        <w:t xml:space="preserve"> </w:t>
      </w:r>
      <w:r>
        <w:rPr>
          <w:bCs/>
          <w:b/>
        </w:rPr>
        <w:t xml:space="preserve">turbinaplastiek</w:t>
      </w:r>
      <w:r>
        <w:t xml:space="preserve"> </w:t>
      </w:r>
      <w:r>
        <w:t xml:space="preserve">(concha inferior reductie) bij hyperplasie</w:t>
      </w:r>
    </w:p>
    <w:bookmarkEnd w:id="130"/>
    <w:bookmarkStart w:id="131" w:name="complicaties"/>
    <w:p>
      <w:pPr>
        <w:pStyle w:val="Heading3"/>
      </w:pPr>
      <w:r>
        <w:t xml:space="preserve">Complicaties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Bloeding</w:t>
      </w:r>
      <w:r>
        <w:t xml:space="preserve">: meest voorkomend; tamponade post-operatief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Septumhematoom</w:t>
      </w:r>
      <w:r>
        <w:t xml:space="preserve">: spoedcomplicatie — dient direct gedraineerd; risico septumdissolutie → zadelneus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Septumperforatie</w:t>
      </w:r>
      <w:r>
        <w:t xml:space="preserve">: door mucosabeschadiging bilateraal; klachten: korstvorming, bloeding, fluittoon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Zadelneus</w:t>
      </w:r>
      <w:r>
        <w:t xml:space="preserve">: verlies dorsale projectie door overcorrectie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Infectie</w:t>
      </w:r>
      <w:r>
        <w:t xml:space="preserve">: zeldzaam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Recidief obstructie</w:t>
      </w:r>
      <w:r>
        <w:t xml:space="preserve">: residu-deviatie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End w:id="133"/>
    <w:bookmarkStart w:id="146" w:name="laryngologie"/>
    <w:p>
      <w:pPr>
        <w:pStyle w:val="Heading1"/>
      </w:pPr>
      <w:r>
        <w:t xml:space="preserve">LARYNGOLOGIE</w:t>
      </w:r>
    </w:p>
    <w:p>
      <w:r>
        <w:pict>
          <v:rect style="width:0;height:1.5pt" o:hralign="center" o:hrstd="t" o:hr="t"/>
        </w:pict>
      </w:r>
    </w:p>
    <w:bookmarkStart w:id="140" w:name="anamnese-bij-orofaryngeale-dysfagie"/>
    <w:p>
      <w:pPr>
        <w:pStyle w:val="Heading2"/>
      </w:pPr>
      <w:r>
        <w:t xml:space="preserve">17. Anamnese bij orofaryngeale dysfagie</w:t>
      </w:r>
    </w:p>
    <w:bookmarkStart w:id="134" w:name="definitie-3"/>
    <w:p>
      <w:pPr>
        <w:pStyle w:val="Heading3"/>
      </w:pPr>
      <w:r>
        <w:t xml:space="preserve">Definitie</w:t>
      </w:r>
    </w:p>
    <w:p>
      <w:pPr>
        <w:pStyle w:val="FirstParagraph"/>
      </w:pPr>
      <w:r>
        <w:t xml:space="preserve">Moeite met het transport van voedsel/vocht van de mond naar de maag (orofaryngeale fase). Onderscheid:</w:t>
      </w:r>
      <w:r>
        <w:t xml:space="preserve"> </w:t>
      </w:r>
      <w:r>
        <w:rPr>
          <w:bCs/>
          <w:b/>
        </w:rPr>
        <w:t xml:space="preserve">orofaryngeaal</w:t>
      </w:r>
      <w:r>
        <w:t xml:space="preserve"> </w:t>
      </w:r>
      <w:r>
        <w:t xml:space="preserve">(transport-fase) vs. </w:t>
      </w:r>
      <w:r>
        <w:rPr>
          <w:bCs/>
          <w:b/>
        </w:rPr>
        <w:t xml:space="preserve">oesofageaal</w:t>
      </w:r>
      <w:r>
        <w:t xml:space="preserve"> </w:t>
      </w:r>
      <w:r>
        <w:t xml:space="preserve">(passagefase).</w:t>
      </w:r>
    </w:p>
    <w:bookmarkEnd w:id="134"/>
    <w:bookmarkStart w:id="135" w:name="screening"/>
    <w:p>
      <w:pPr>
        <w:pStyle w:val="Heading3"/>
      </w:pPr>
      <w:r>
        <w:t xml:space="preserve">Screening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EAT-10</w:t>
      </w:r>
      <w:r>
        <w:t xml:space="preserve"> </w:t>
      </w:r>
      <w:r>
        <w:t xml:space="preserve">(Eating Assessment Tool): vragenlijst 10 items; score ≥3 = risico op dysfagie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3-oz water swallow test</w:t>
      </w:r>
      <w:r>
        <w:t xml:space="preserve">: patiënt drinkt 3 ounce (90 ml) water zonder te stoppen; hoesten of stemverandering → positief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Gugging Swallowing Screen (GUSS)</w:t>
      </w:r>
      <w:r>
        <w:t xml:space="preserve">: gevalideerd voor CVA-patiënten</w:t>
      </w:r>
    </w:p>
    <w:bookmarkEnd w:id="135"/>
    <w:bookmarkStart w:id="136" w:name="oorzaken-1"/>
    <w:p>
      <w:pPr>
        <w:pStyle w:val="Heading3"/>
      </w:pPr>
      <w:r>
        <w:t xml:space="preserve">Oorzaken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CVA, ALS, Parkinson, MS, myasthenia gravis, dementie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Oropharyngeale tumor, post-operatief/post-radiotherapie, Zenker’s divertikel, cricopharyngeale dysfunctie, strictuur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Functioneel/iatrogenisch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Xerostomie (RT, medicatie), mucositis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Polymyositis, oculofaryngeale spierdystrofie</w:t>
            </w:r>
          </w:p>
        </w:tc>
      </w:tr>
    </w:tbl>
    <w:bookmarkEnd w:id="136"/>
    <w:bookmarkStart w:id="137" w:name="klinische-manifestaties-aspiratie"/>
    <w:p>
      <w:pPr>
        <w:pStyle w:val="Heading3"/>
      </w:pPr>
      <w:r>
        <w:t xml:space="preserve">Klinische manifestaties aspiratie</w:t>
      </w:r>
    </w:p>
    <w:p>
      <w:pPr>
        <w:numPr>
          <w:ilvl w:val="0"/>
          <w:numId w:val="1083"/>
        </w:numPr>
        <w:pStyle w:val="Compact"/>
      </w:pPr>
      <w:r>
        <w:t xml:space="preserve">Hoesten/verslikken bij eten/drinken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Stille aspiratie</w:t>
      </w:r>
      <w:r>
        <w:t xml:space="preserve"> </w:t>
      </w:r>
      <w:r>
        <w:t xml:space="preserve">(geen hoestreflex): frequent bij neurologische patiënten → aspiratiepneumonie</w:t>
      </w:r>
    </w:p>
    <w:p>
      <w:pPr>
        <w:numPr>
          <w:ilvl w:val="0"/>
          <w:numId w:val="1083"/>
        </w:numPr>
        <w:pStyle w:val="Compact"/>
      </w:pPr>
      <w:r>
        <w:t xml:space="preserve">Stem verandering na slikken (</w:t>
      </w:r>
      <w:r>
        <w:t xml:space="preserve">“</w:t>
      </w:r>
      <w:r>
        <w:t xml:space="preserve">wet voice</w:t>
      </w:r>
      <w:r>
        <w:t xml:space="preserve">”</w:t>
      </w:r>
      <w:r>
        <w:t xml:space="preserve">)</w:t>
      </w:r>
    </w:p>
    <w:p>
      <w:pPr>
        <w:numPr>
          <w:ilvl w:val="0"/>
          <w:numId w:val="1083"/>
        </w:numPr>
        <w:pStyle w:val="Compact"/>
      </w:pPr>
      <w:r>
        <w:t xml:space="preserve">Gewichtsverlies, dehydratie, recidiverende pneumonieën</w:t>
      </w:r>
    </w:p>
    <w:bookmarkEnd w:id="137"/>
    <w:bookmarkStart w:id="138" w:name="aanvullende-diagnostiek-1"/>
    <w:p>
      <w:pPr>
        <w:pStyle w:val="Heading3"/>
      </w:pPr>
      <w:r>
        <w:t xml:space="preserve">Aanvullende diagnostiek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FEES</w:t>
      </w:r>
      <w:r>
        <w:t xml:space="preserve"> </w:t>
      </w:r>
      <w:r>
        <w:t xml:space="preserve">(Flexible Endoscopic Evaluation of Swallowing): laryngoscopie bij slik; directe visualisatie penetratie/aspiratie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Videofluoroscopie</w:t>
      </w:r>
      <w:r>
        <w:t xml:space="preserve"> </w:t>
      </w:r>
      <w:r>
        <w:t xml:space="preserve">(VFS/MBSS): röntgenologisch, alle fasen zichtbaar; goudstandaard voor slikfysiologie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Manometrie</w:t>
      </w:r>
      <w:r>
        <w:t xml:space="preserve">: bij verdenking cricopharyngeale dysfunctie</w:t>
      </w:r>
    </w:p>
    <w:bookmarkEnd w:id="138"/>
    <w:bookmarkStart w:id="139" w:name="behandeling-begeleiding"/>
    <w:p>
      <w:pPr>
        <w:pStyle w:val="Heading3"/>
      </w:pPr>
      <w:r>
        <w:t xml:space="preserve">Behandeling &amp; begeleiding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Logopedist</w:t>
      </w:r>
      <w:r>
        <w:t xml:space="preserve">: slik-oefeningen, compensatietechnieken (hoofdpositie, Mendelsohn, Shaker), voedsel-consistentieaanpassing (IDDSI-niveaus)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Sondevoeding</w:t>
      </w:r>
      <w:r>
        <w:t xml:space="preserve"> </w:t>
      </w:r>
      <w:r>
        <w:t xml:space="preserve">(naso-gastrisch of PEG): bij ernstige aspiratie of onvoldoende inname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Cricopharyngeale myotomie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botulinum toxine-injectie</w:t>
      </w:r>
      <w:r>
        <w:t xml:space="preserve">: bij cricopharyngeale dysfunctie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Tracheotomie</w:t>
      </w:r>
      <w:r>
        <w:t xml:space="preserve">: bij ernstige aspiratie en onvoldoende laryngeale protectie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stemklachten"/>
    <w:p>
      <w:pPr>
        <w:pStyle w:val="Heading2"/>
      </w:pPr>
      <w:r>
        <w:t xml:space="preserve">18. Stemklachten</w:t>
      </w:r>
    </w:p>
    <w:bookmarkStart w:id="141" w:name="diagnostisch-traject"/>
    <w:p>
      <w:pPr>
        <w:pStyle w:val="Heading3"/>
      </w:pPr>
      <w:r>
        <w:t xml:space="preserve">Diagnostisch traject</w:t>
      </w:r>
    </w:p>
    <w:p>
      <w:pPr>
        <w:numPr>
          <w:ilvl w:val="0"/>
          <w:numId w:val="1086"/>
        </w:numPr>
        <w:pStyle w:val="Compact"/>
      </w:pPr>
      <w:r>
        <w:t xml:space="preserve">Anamnese: begin, beloop, beroep (stembelasting), roken, GERD, bijkomende klachten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Voice Handicap Index (VHI)</w:t>
      </w:r>
      <w:r>
        <w:t xml:space="preserve">: gevalideerde vragenlijst (30 items; V-10 = korte versie)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Laryngoscopie</w:t>
      </w:r>
      <w:r>
        <w:t xml:space="preserve">: indirect (larynxspiegel) of direct (flexibele/rigide endoscopie)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Stroboscopie</w:t>
      </w:r>
      <w:r>
        <w:t xml:space="preserve">: goudstandaard voor beoordeling stembandvibratiepatroon (mucosal wave, symmetrie, sluiting)</w:t>
      </w:r>
    </w:p>
    <w:p>
      <w:pPr>
        <w:numPr>
          <w:ilvl w:val="0"/>
          <w:numId w:val="1086"/>
        </w:numPr>
        <w:pStyle w:val="Compact"/>
      </w:pPr>
      <w:r>
        <w:t xml:space="preserve">Akoestische analyse: jitter, shimmer, harmonic-to-noise ratio</w:t>
      </w:r>
    </w:p>
    <w:bookmarkEnd w:id="141"/>
    <w:bookmarkStart w:id="142" w:name="alarmsymptomen-urgente-laryngoscopie"/>
    <w:p>
      <w:pPr>
        <w:pStyle w:val="Heading3"/>
      </w:pPr>
      <w:r>
        <w:t xml:space="preserve">Alarmsymptomen (→ urgente laryngoscopie)</w:t>
      </w:r>
    </w:p>
    <w:p>
      <w:pPr>
        <w:numPr>
          <w:ilvl w:val="0"/>
          <w:numId w:val="1087"/>
        </w:numPr>
        <w:pStyle w:val="Compact"/>
      </w:pPr>
      <w:r>
        <w:t xml:space="preserve">Heesheid</w:t>
      </w:r>
      <w:r>
        <w:t xml:space="preserve"> </w:t>
      </w:r>
      <w:r>
        <w:rPr>
          <w:bCs/>
          <w:b/>
        </w:rPr>
        <w:t xml:space="preserve">&gt;3 weken</w:t>
      </w:r>
      <w:r>
        <w:t xml:space="preserve"> </w:t>
      </w:r>
      <w:r>
        <w:t xml:space="preserve">bij roker of &gt;50 jaar</w:t>
      </w:r>
    </w:p>
    <w:p>
      <w:pPr>
        <w:numPr>
          <w:ilvl w:val="0"/>
          <w:numId w:val="1087"/>
        </w:numPr>
        <w:pStyle w:val="Compact"/>
      </w:pPr>
      <w:r>
        <w:t xml:space="preserve">Stridor</w:t>
      </w:r>
    </w:p>
    <w:p>
      <w:pPr>
        <w:numPr>
          <w:ilvl w:val="0"/>
          <w:numId w:val="1087"/>
        </w:numPr>
        <w:pStyle w:val="Compact"/>
      </w:pPr>
      <w:r>
        <w:t xml:space="preserve">Dysfagie</w:t>
      </w:r>
    </w:p>
    <w:p>
      <w:pPr>
        <w:numPr>
          <w:ilvl w:val="0"/>
          <w:numId w:val="1087"/>
        </w:numPr>
        <w:pStyle w:val="Compact"/>
      </w:pPr>
      <w:r>
        <w:t xml:space="preserve">Haemoptysis</w:t>
      </w:r>
    </w:p>
    <w:p>
      <w:pPr>
        <w:numPr>
          <w:ilvl w:val="0"/>
          <w:numId w:val="1087"/>
        </w:numPr>
        <w:pStyle w:val="Compact"/>
      </w:pPr>
      <w:r>
        <w:t xml:space="preserve">Pijnlijke heesheid</w:t>
      </w:r>
    </w:p>
    <w:p>
      <w:pPr>
        <w:numPr>
          <w:ilvl w:val="0"/>
          <w:numId w:val="1087"/>
        </w:numPr>
        <w:pStyle w:val="Compact"/>
      </w:pPr>
      <w:r>
        <w:t xml:space="preserve">Locoregionale lymfadenopathie</w:t>
      </w:r>
    </w:p>
    <w:bookmarkEnd w:id="142"/>
    <w:bookmarkStart w:id="143" w:name="oorzaken-2"/>
    <w:p>
      <w:pPr>
        <w:pStyle w:val="Heading3"/>
      </w:pPr>
      <w:r>
        <w:t xml:space="preserve">Oorzaken</w:t>
      </w:r>
    </w:p>
    <w:p>
      <w:pPr>
        <w:pStyle w:val="FirstParagraph"/>
      </w:pPr>
      <w:r>
        <w:rPr>
          <w:bCs/>
          <w:b/>
        </w:rPr>
        <w:t xml:space="preserve">Functioneel:</w:t>
      </w:r>
      <w:r>
        <w:t xml:space="preserve"> </w:t>
      </w:r>
      <w:r>
        <w:t xml:space="preserve">| Type | Kenmerken |</w:t>
      </w:r>
      <w:r>
        <w:t xml:space="preserve"> </w:t>
      </w:r>
      <w:r>
        <w:t xml:space="preserve">|——|———–|</w:t>
      </w:r>
      <w:r>
        <w:t xml:space="preserve"> </w:t>
      </w:r>
      <w:r>
        <w:t xml:space="preserve">| Hyperfunctioneel | Overmatige spanning; noduli, polypen door vocaal misbruik |</w:t>
      </w:r>
      <w:r>
        <w:t xml:space="preserve"> </w:t>
      </w:r>
      <w:r>
        <w:t xml:space="preserve">| Hypofunctioneel | Te weinig spanning; bij Parkinson, presbylaryngis |</w:t>
      </w:r>
      <w:r>
        <w:t xml:space="preserve"> </w:t>
      </w:r>
      <w:r>
        <w:t xml:space="preserve">| Mutatiefonie | Persisterende falsetstem na puberteitsklachten; psychogeen |</w:t>
      </w:r>
      <w:r>
        <w:t xml:space="preserve"> </w:t>
      </w:r>
      <w:r>
        <w:t xml:space="preserve">| Spasmodische dysphonie | Focale laryngeale dystonie; adductor (brokenvoice) &gt; abductor |</w:t>
      </w:r>
    </w:p>
    <w:p>
      <w:pPr>
        <w:pStyle w:val="BodyText"/>
      </w:pPr>
      <w:r>
        <w:rPr>
          <w:bCs/>
          <w:b/>
        </w:rPr>
        <w:t xml:space="preserve">Organisch:</w:t>
      </w:r>
      <w:r>
        <w:t xml:space="preserve"> </w:t>
      </w:r>
      <w:r>
        <w:t xml:space="preserve">| Laesie | Kenmerken | Behandeling |</w:t>
      </w:r>
      <w:r>
        <w:t xml:space="preserve"> </w:t>
      </w:r>
      <w:r>
        <w:t xml:space="preserve">|——-|———–|————-|</w:t>
      </w:r>
      <w:r>
        <w:t xml:space="preserve"> </w:t>
      </w:r>
      <w:r>
        <w:t xml:space="preserve">| Stembandnoduli | Bilateraal, middenderde, door vocaal misbruik | Logopedie eerst; MLS indien nodig |</w:t>
      </w:r>
      <w:r>
        <w:t xml:space="preserve"> </w:t>
      </w:r>
      <w:r>
        <w:t xml:space="preserve">| Stembandpoliep | Unilateraal, gesteeld/sessiel; heesheid plots | MLS |</w:t>
      </w:r>
      <w:r>
        <w:t xml:space="preserve"> </w:t>
      </w:r>
      <w:r>
        <w:t xml:space="preserve">| Reinke’s oedeem | Diffuus oedeem subglottis; rokers, GERD, hypothyreoïdie | Stoppen roken; MLS bij ernstig |</w:t>
      </w:r>
      <w:r>
        <w:t xml:space="preserve"> </w:t>
      </w:r>
      <w:r>
        <w:t xml:space="preserve">| Stembandcyste | Retentie- of epidermoid; unilateraal | MLS |</w:t>
      </w:r>
      <w:r>
        <w:t xml:space="preserve"> </w:t>
      </w:r>
      <w:r>
        <w:t xml:space="preserve">| Larynxcarcinoom | Persistente heesheid, dysfagie, stridor; rokers | Zie hoofd-halstumoren |</w:t>
      </w:r>
      <w:r>
        <w:t xml:space="preserve"> </w:t>
      </w:r>
      <w:r>
        <w:t xml:space="preserve">| Recurrensparese | Unilateraal: heesheid + aspiratierisico; bilateraal: stridor | Steminjectie, tyroplastiek, re-innervatie |</w:t>
      </w:r>
      <w:r>
        <w:t xml:space="preserve"> </w:t>
      </w:r>
      <w:r>
        <w:t xml:space="preserve">| GERD/LPR | Interarytenoïd oedeem, roodheid; globusgevoel | PPI, leefstijl |</w:t>
      </w:r>
    </w:p>
    <w:bookmarkEnd w:id="143"/>
    <w:bookmarkStart w:id="144" w:name="behandeling-4"/>
    <w:p>
      <w:pPr>
        <w:pStyle w:val="Heading3"/>
      </w:pPr>
      <w:r>
        <w:t xml:space="preserve">Behandeling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Logopedie</w:t>
      </w:r>
      <w:r>
        <w:t xml:space="preserve">: stemtherapie; eerste keus bij functionele stemklachten en noduli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Microlaryngoscopie (MLS)</w:t>
      </w:r>
      <w:r>
        <w:t xml:space="preserve">: onder algemene narcose; cold steel (microscopisch), laser (CO2), of KTP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Botulinum toxine-injectie</w:t>
      </w:r>
      <w:r>
        <w:t xml:space="preserve">: spasmodische dysphonie (adductor type: m. thyroarytenoideus), tremor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Steminjectie</w:t>
      </w:r>
      <w:r>
        <w:t xml:space="preserve"> </w:t>
      </w:r>
      <w:r>
        <w:t xml:space="preserve">(lateralisatie/augmentatie): bij unilaterale recurrensparese (collageen, Radiesse, vet)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Tyroplastiek type I</w:t>
      </w:r>
      <w:r>
        <w:t xml:space="preserve"> </w:t>
      </w:r>
      <w:r>
        <w:t xml:space="preserve">(medialisatie): bij definitieve recurrensparese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End w:id="146"/>
    <w:bookmarkStart w:id="170" w:name="vestibulologie-duizeligheid"/>
    <w:p>
      <w:pPr>
        <w:pStyle w:val="Heading1"/>
      </w:pPr>
      <w:r>
        <w:t xml:space="preserve">VESTIBULOLOGIE / DUIZELIGHEID</w:t>
      </w:r>
    </w:p>
    <w:p>
      <w:r>
        <w:pict>
          <v:rect style="width:0;height:1.5pt" o:hralign="center" o:hrstd="t" o:hr="t"/>
        </w:pict>
      </w:r>
    </w:p>
    <w:bookmarkStart w:id="153" w:name="X2e87374f8d0ccd815ee59ed81089f74120500f0"/>
    <w:p>
      <w:pPr>
        <w:pStyle w:val="Heading2"/>
      </w:pPr>
      <w:r>
        <w:t xml:space="preserve">19. Benigne paroxysmale positieduizeligheid (BPPD)</w:t>
      </w:r>
    </w:p>
    <w:bookmarkStart w:id="147" w:name="definitie-epidemiologie"/>
    <w:p>
      <w:pPr>
        <w:pStyle w:val="Heading3"/>
      </w:pPr>
      <w:r>
        <w:t xml:space="preserve">Definitie &amp; epidemiologie</w:t>
      </w:r>
    </w:p>
    <w:p>
      <w:pPr>
        <w:numPr>
          <w:ilvl w:val="0"/>
          <w:numId w:val="1089"/>
        </w:numPr>
        <w:pStyle w:val="Compact"/>
      </w:pPr>
      <w:r>
        <w:t xml:space="preserve">Meest voorkomende oorzaak perifere duizeligheid (~20% van duizeligheidspoli)</w:t>
      </w:r>
    </w:p>
    <w:p>
      <w:pPr>
        <w:numPr>
          <w:ilvl w:val="0"/>
          <w:numId w:val="1089"/>
        </w:numPr>
        <w:pStyle w:val="Compact"/>
      </w:pPr>
      <w:r>
        <w:t xml:space="preserve">Pathofysiologie: vrij zwevende otolieten (canalolithiasis) of aan cupula gehechte otolieten (cupulolithiasis) in semicirculaire kanalen</w:t>
      </w:r>
    </w:p>
    <w:bookmarkEnd w:id="147"/>
    <w:bookmarkStart w:id="148" w:name="betrokken-kanalen-frequentie"/>
    <w:p>
      <w:pPr>
        <w:pStyle w:val="Heading3"/>
      </w:pPr>
      <w:r>
        <w:t xml:space="preserve">Betrokken kanalen (frequentie)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Posterieur kanaal</w:t>
      </w:r>
      <w:r>
        <w:t xml:space="preserve">: ~90%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Horizontaal (lateraal) kanaal</w:t>
      </w:r>
      <w:r>
        <w:t xml:space="preserve">: ~8–10%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Anterieur (superieur) kanaal</w:t>
      </w:r>
      <w:r>
        <w:t xml:space="preserve">: zeldzaam</w:t>
      </w:r>
    </w:p>
    <w:bookmarkEnd w:id="148"/>
    <w:bookmarkStart w:id="149" w:name="diagnostiek-7"/>
    <w:p>
      <w:pPr>
        <w:pStyle w:val="Heading3"/>
      </w:pPr>
      <w:r>
        <w:t xml:space="preserve">Diagnostiek</w:t>
      </w:r>
    </w:p>
    <w:p>
      <w:pPr>
        <w:pStyle w:val="FirstParagraph"/>
      </w:pPr>
      <w:r>
        <w:rPr>
          <w:bCs/>
          <w:b/>
        </w:rPr>
        <w:t xml:space="preserve">Posterieur kanaal BPPD — Dix-Hallpike test:</w:t>
      </w:r>
      <w:r>
        <w:t xml:space="preserve"> </w:t>
      </w:r>
      <w:r>
        <w:t xml:space="preserve">- Uitvoering: patiënt snel achterover (hoofd 45° gedraaid naar aangedane kant); voor- en achterover vanuit zittende positie</w:t>
      </w:r>
      <w:r>
        <w:t xml:space="preserve"> </w:t>
      </w:r>
      <w:r>
        <w:t xml:space="preserve">- Positief:</w:t>
      </w:r>
      <w:r>
        <w:t xml:space="preserve"> </w:t>
      </w:r>
      <w:r>
        <w:rPr>
          <w:bCs/>
          <w:b/>
        </w:rPr>
        <w:t xml:space="preserve">upbeat rotatoire nystagmus</w:t>
      </w:r>
      <w:r>
        <w:t xml:space="preserve"> </w:t>
      </w:r>
      <w:r>
        <w:t xml:space="preserve">(bovenpool oog richting aangedaan oor), latentie 2–5 sec, duur &lt;60 sec, uitdoving, reversal bij rechtop komen</w:t>
      </w:r>
      <w:r>
        <w:t xml:space="preserve"> </w:t>
      </w:r>
      <w:r>
        <w:t xml:space="preserve">- Aangedane kant: kant waarbij nystagmus optreedt</w:t>
      </w:r>
    </w:p>
    <w:p>
      <w:pPr>
        <w:pStyle w:val="BodyText"/>
      </w:pPr>
      <w:r>
        <w:rPr>
          <w:bCs/>
          <w:b/>
        </w:rPr>
        <w:t xml:space="preserve">Horizontaal kanaal BPPD — Supine Roll Test (Pagnini-McClure):</w:t>
      </w:r>
      <w:r>
        <w:t xml:space="preserve"> </w:t>
      </w:r>
      <w:r>
        <w:t xml:space="preserve">- Uitvoering: patiënt liggend, hoofd snel naar links en rechts draaien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Canalolithiasis</w:t>
      </w:r>
      <w:r>
        <w:t xml:space="preserve"> </w:t>
      </w:r>
      <w:r>
        <w:t xml:space="preserve">(meest voorkomend): geotropische horizontale nystagmus (richting naar beneden liggende oor); erger naar aangedane kant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Cupulolithiasis</w:t>
      </w:r>
      <w:r>
        <w:t xml:space="preserve">: apogeotropische horizontale nystagmus (richting van aangedane oor weg); persisteert</w:t>
      </w:r>
    </w:p>
    <w:bookmarkEnd w:id="149"/>
    <w:bookmarkStart w:id="150" w:name="behandeling-repositiemanoeuvres"/>
    <w:p>
      <w:pPr>
        <w:pStyle w:val="Heading3"/>
      </w:pPr>
      <w:r>
        <w:t xml:space="preserve">Behandeling repositiemanoeuvres</w:t>
      </w:r>
    </w:p>
    <w:p>
      <w:pPr>
        <w:pStyle w:val="FirstParagraph"/>
      </w:pPr>
      <w:r>
        <w:rPr>
          <w:bCs/>
          <w:b/>
        </w:rPr>
        <w:t xml:space="preserve">Posterieur kanaal BPPD: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Epley-manoeuvre</w:t>
      </w:r>
      <w:r>
        <w:t xml:space="preserve"> </w:t>
      </w:r>
      <w:r>
        <w:t xml:space="preserve">(canalolithiasis): 4 posities; effectiviteit ~90% na 1–3 sessies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Semont-manoeuvre</w:t>
      </w:r>
      <w:r>
        <w:t xml:space="preserve">: alternatief; snelle positiewisseling</w:t>
      </w:r>
    </w:p>
    <w:p>
      <w:pPr>
        <w:pStyle w:val="BodyText"/>
      </w:pPr>
      <w:r>
        <w:rPr>
          <w:bCs/>
          <w:b/>
        </w:rPr>
        <w:t xml:space="preserve">Horizontaal kanaal BPPD — canalolithiasis (geotropisch):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BBQ roll (Lempert)</w:t>
      </w:r>
      <w:r>
        <w:t xml:space="preserve">: 360° rotatie van het hoofd in supinepositie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Forced prolonged positioning</w:t>
      </w:r>
      <w:r>
        <w:t xml:space="preserve">: zijligging op de gezonde zijde 12 uur</w:t>
      </w:r>
    </w:p>
    <w:p>
      <w:pPr>
        <w:pStyle w:val="BodyText"/>
      </w:pPr>
      <w:r>
        <w:rPr>
          <w:bCs/>
          <w:b/>
        </w:rPr>
        <w:t xml:space="preserve">Horizontaal kanaal — cupulolithiasis (apogeotropisch):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Gufoni-manoeuvre</w:t>
      </w:r>
      <w:r>
        <w:t xml:space="preserve">: snel draaien naar aangedane kant, dan hoofd naar voren</w:t>
      </w:r>
    </w:p>
    <w:bookmarkEnd w:id="150"/>
    <w:bookmarkStart w:id="151" w:name="prognose-recidief"/>
    <w:p>
      <w:pPr>
        <w:pStyle w:val="Heading3"/>
      </w:pPr>
      <w:r>
        <w:t xml:space="preserve">Prognose &amp; recidief</w:t>
      </w:r>
    </w:p>
    <w:p>
      <w:pPr>
        <w:numPr>
          <w:ilvl w:val="0"/>
          <w:numId w:val="1091"/>
        </w:numPr>
        <w:pStyle w:val="Compact"/>
      </w:pPr>
      <w:r>
        <w:t xml:space="preserve">Prognose uitstekend; &gt;90% geneest met repositie</w:t>
      </w:r>
    </w:p>
    <w:p>
      <w:pPr>
        <w:numPr>
          <w:ilvl w:val="0"/>
          <w:numId w:val="1091"/>
        </w:numPr>
        <w:pStyle w:val="Compact"/>
      </w:pPr>
      <w:r>
        <w:t xml:space="preserve">Recidiefkans: 15–30% per jaar</w:t>
      </w:r>
    </w:p>
    <w:p>
      <w:pPr>
        <w:numPr>
          <w:ilvl w:val="0"/>
          <w:numId w:val="1091"/>
        </w:numPr>
        <w:pStyle w:val="Compact"/>
      </w:pPr>
      <w:r>
        <w:t xml:space="preserve">Risicofactoren recidief: osteoporose, vitamine D-deficiëntie, migraine, hoofdtrauma</w:t>
      </w:r>
    </w:p>
    <w:bookmarkEnd w:id="151"/>
    <w:bookmarkStart w:id="152" w:name="aanvullende-behandeling"/>
    <w:p>
      <w:pPr>
        <w:pStyle w:val="Heading3"/>
      </w:pPr>
      <w:r>
        <w:t xml:space="preserve">Aanvullende behandeling</w:t>
      </w:r>
    </w:p>
    <w:p>
      <w:pPr>
        <w:numPr>
          <w:ilvl w:val="0"/>
          <w:numId w:val="1092"/>
        </w:numPr>
        <w:pStyle w:val="Compact"/>
      </w:pPr>
      <w:r>
        <w:t xml:space="preserve">Vestibulaire revalidatie bij persisterend disfunctioneren</w:t>
      </w:r>
    </w:p>
    <w:p>
      <w:pPr>
        <w:numPr>
          <w:ilvl w:val="0"/>
          <w:numId w:val="1092"/>
        </w:numPr>
        <w:pStyle w:val="Compact"/>
      </w:pPr>
      <w:r>
        <w:t xml:space="preserve">Chirurgie (posterior canal occlusion): bij therapieresistente BPPD — uiterst zeldzaam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9" w:name="X494b2a988686e407a90ab6a9a46d38d9006af27"/>
    <w:p>
      <w:pPr>
        <w:pStyle w:val="Heading2"/>
      </w:pPr>
      <w:r>
        <w:t xml:space="preserve">20. Diagnostiek en behandeling van de ziekte van Menière</w:t>
      </w:r>
    </w:p>
    <w:bookmarkStart w:id="154" w:name="definitie-aao-hns-2015-criteria"/>
    <w:p>
      <w:pPr>
        <w:pStyle w:val="Heading3"/>
      </w:pPr>
      <w:r>
        <w:t xml:space="preserve">Definitie (AAO-HNS 2015 criteria)</w:t>
      </w:r>
    </w:p>
    <w:p>
      <w:pPr>
        <w:pStyle w:val="FirstParagraph"/>
      </w:pPr>
      <w:r>
        <w:rPr>
          <w:bCs/>
          <w:b/>
        </w:rPr>
        <w:t xml:space="preserve">Definitief Menière:</w:t>
      </w:r>
      <w:r>
        <w:t xml:space="preserve"> </w:t>
      </w:r>
      <w:r>
        <w:t xml:space="preserve">1. ≥2 spontane vestibulaire episoden van 20 minuten tot 12 uur</w:t>
      </w:r>
      <w:r>
        <w:t xml:space="preserve"> </w:t>
      </w:r>
      <w:r>
        <w:t xml:space="preserve">2. Audiologisch bewezen laagfrequent tot pantonaal SNHL op aangedane oor (vóór, tijdens of na episode)</w:t>
      </w:r>
      <w:r>
        <w:t xml:space="preserve"> </w:t>
      </w:r>
      <w:r>
        <w:t xml:space="preserve">3. Fluctuerend auditieve symptomen (gehoorverlies, tinnitus,</w:t>
      </w:r>
      <w:r>
        <w:t xml:space="preserve"> </w:t>
      </w:r>
      <w:r>
        <w:t xml:space="preserve">“</w:t>
      </w:r>
      <w:r>
        <w:t xml:space="preserve">volheid</w:t>
      </w:r>
      <w:r>
        <w:t xml:space="preserve">”</w:t>
      </w:r>
      <w:r>
        <w:t xml:space="preserve">) op aangedane oor</w:t>
      </w:r>
      <w:r>
        <w:t xml:space="preserve"> </w:t>
      </w:r>
      <w:r>
        <w:t xml:space="preserve">4. Niet verklaard door een andere diagnose</w:t>
      </w:r>
    </w:p>
    <w:p>
      <w:pPr>
        <w:pStyle w:val="BodyText"/>
      </w:pPr>
      <w:r>
        <w:rPr>
          <w:bCs/>
          <w:b/>
        </w:rPr>
        <w:t xml:space="preserve">Waarschijnlijk Menière:</w:t>
      </w:r>
      <w:r>
        <w:t xml:space="preserve"> </w:t>
      </w:r>
      <w:r>
        <w:t xml:space="preserve">aan alle criteria behalve audiologisch bewijs.</w:t>
      </w:r>
    </w:p>
    <w:bookmarkEnd w:id="154"/>
    <w:bookmarkStart w:id="155" w:name="pathofysiologie-1"/>
    <w:p>
      <w:pPr>
        <w:pStyle w:val="Heading3"/>
      </w:pPr>
      <w:r>
        <w:t xml:space="preserve">Pathofysiologie</w:t>
      </w:r>
    </w:p>
    <w:p>
      <w:pPr>
        <w:numPr>
          <w:ilvl w:val="0"/>
          <w:numId w:val="1093"/>
        </w:numPr>
        <w:pStyle w:val="Compact"/>
      </w:pPr>
      <w:r>
        <w:t xml:space="preserve">Endolymfatische hydrops: dilatatie endolymfatische ruimte</w:t>
      </w:r>
    </w:p>
    <w:p>
      <w:pPr>
        <w:numPr>
          <w:ilvl w:val="0"/>
          <w:numId w:val="1093"/>
        </w:numPr>
        <w:pStyle w:val="Compact"/>
      </w:pPr>
      <w:r>
        <w:t xml:space="preserve">Mechanisme aanvallen niet volledig opgehelderd</w:t>
      </w:r>
    </w:p>
    <w:bookmarkEnd w:id="155"/>
    <w:bookmarkStart w:id="156" w:name="diagnostiek-8"/>
    <w:p>
      <w:pPr>
        <w:pStyle w:val="Heading3"/>
      </w:pPr>
      <w:r>
        <w:t xml:space="preserve">Diagnostiek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Audiogram</w:t>
      </w:r>
      <w:r>
        <w:t xml:space="preserve">: fluctuerend laagfrequent SNHL; later pantonaal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Tympanometrie + stapediusreflexen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Electrocochleografie (ECoG)</w:t>
      </w:r>
      <w:r>
        <w:t xml:space="preserve">: verhoogde SP/AP ratio (&gt;0.4 suggestief voor hydrops)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Video-HIT</w:t>
      </w:r>
      <w:r>
        <w:t xml:space="preserve">: uitval horizontaal kanaal aan aangedane zijde bij gevorderd stadium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MRI (hydrops-MRI)</w:t>
      </w:r>
      <w:r>
        <w:t xml:space="preserve"> </w:t>
      </w:r>
      <w:r>
        <w:t xml:space="preserve">na intratympanale gadolinium-injectie: directe visualisatie hydrops; niet routinematig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Kalorisch onderzoek</w:t>
      </w:r>
      <w:r>
        <w:t xml:space="preserve">: eenzijdige vestibulaire uitval</w:t>
      </w:r>
    </w:p>
    <w:bookmarkEnd w:id="156"/>
    <w:bookmarkStart w:id="157" w:name="behandeling-5"/>
    <w:p>
      <w:pPr>
        <w:pStyle w:val="Heading3"/>
      </w:pPr>
      <w:r>
        <w:t xml:space="preserve">Behandeling</w:t>
      </w:r>
    </w:p>
    <w:p>
      <w:pPr>
        <w:pStyle w:val="FirstParagraph"/>
      </w:pPr>
      <w:r>
        <w:rPr>
          <w:bCs/>
          <w:b/>
        </w:rPr>
        <w:t xml:space="preserve">Conservatief: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Zoutbeperkt dieet</w:t>
      </w:r>
      <w:r>
        <w:t xml:space="preserve">: &lt;2 g natrium/dag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Diuretica</w:t>
      </w:r>
      <w:r>
        <w:t xml:space="preserve">: hydrochlorothiazide-triamtereen of acetazolamide; evidencebeperkt maar gangbaar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Betahistine</w:t>
      </w:r>
      <w:r>
        <w:t xml:space="preserve">: 48–144 mg/dag in gesplitste doses; symptoomreductie aanvallen; lange termijn gebruik</w:t>
      </w:r>
      <w:r>
        <w:t xml:space="preserve"> </w:t>
      </w:r>
      <w:r>
        <w:t xml:space="preserve">- Cafeïne, alcohol, stress: vermijden</w:t>
      </w:r>
    </w:p>
    <w:p>
      <w:pPr>
        <w:pStyle w:val="BodyText"/>
      </w:pPr>
      <w:r>
        <w:rPr>
          <w:bCs/>
          <w:b/>
        </w:rPr>
        <w:t xml:space="preserve">Intratympanale behandeling:</w:t>
      </w:r>
      <w:r>
        <w:t xml:space="preserve"> </w:t>
      </w:r>
      <w:r>
        <w:t xml:space="preserve">| Middel | Effect | Risico |</w:t>
      </w:r>
      <w:r>
        <w:t xml:space="preserve"> </w:t>
      </w:r>
      <w:r>
        <w:t xml:space="preserve">|——–|——–|——–|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Corticosteroïden</w:t>
      </w:r>
      <w:r>
        <w:t xml:space="preserve"> </w:t>
      </w:r>
      <w:r>
        <w:t xml:space="preserve">(methyprednisolon/dexamethason) | Niet-destructief; beperkt/inconsistent bewijs | Minimaal (TM-perforatie)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Gentamicine</w:t>
      </w:r>
      <w:r>
        <w:t xml:space="preserve"> </w:t>
      </w:r>
      <w:r>
        <w:t xml:space="preserve">| Chemische ablatie vestibulaire haarcellen; effectief aanvalssuppressie | SNHL (cochleotoxiciteit); ~20% risico op gehoorverslechtering |</w:t>
      </w:r>
    </w:p>
    <w:p>
      <w:pPr>
        <w:pStyle w:val="BodyText"/>
      </w:pPr>
      <w:r>
        <w:rPr>
          <w:bCs/>
          <w:b/>
        </w:rPr>
        <w:t xml:space="preserve">Chirurgisch:</w:t>
      </w:r>
      <w:r>
        <w:t xml:space="preserve"> </w:t>
      </w:r>
      <w:r>
        <w:t xml:space="preserve">| Ingreep | Indicatie | Effect |</w:t>
      </w:r>
      <w:r>
        <w:t xml:space="preserve"> </w:t>
      </w:r>
      <w:r>
        <w:t xml:space="preserve">|———|———–|——–|</w:t>
      </w:r>
      <w:r>
        <w:t xml:space="preserve"> </w:t>
      </w:r>
      <w:r>
        <w:t xml:space="preserve">| Endolymfatische sac decompressie (ELS) | Conservatief falen, gehoor intact | Controversieel; placebo-effect? |</w:t>
      </w:r>
      <w:r>
        <w:t xml:space="preserve"> </w:t>
      </w:r>
      <w:r>
        <w:t xml:space="preserve">| Vestibulaire neurectomie | Ernstige aanvallen, gehoor bewaard, jong | Effectief; intracranieel |</w:t>
      </w:r>
      <w:r>
        <w:t xml:space="preserve"> </w:t>
      </w:r>
      <w:r>
        <w:t xml:space="preserve">| Labyrintectomie | Ernstige aanvallen + slechthorend/doof aangedane oor | Definitief; verlies gehoor |</w:t>
      </w:r>
    </w:p>
    <w:bookmarkEnd w:id="157"/>
    <w:bookmarkStart w:id="158" w:name="prognose-1"/>
    <w:p>
      <w:pPr>
        <w:pStyle w:val="Heading3"/>
      </w:pPr>
      <w:r>
        <w:t xml:space="preserve">Prognose</w:t>
      </w:r>
    </w:p>
    <w:p>
      <w:pPr>
        <w:numPr>
          <w:ilvl w:val="0"/>
          <w:numId w:val="1095"/>
        </w:numPr>
        <w:pStyle w:val="Compact"/>
      </w:pPr>
      <w:r>
        <w:t xml:space="preserve">30% remissie zonder behandeling na 5 jaar</w:t>
      </w:r>
    </w:p>
    <w:p>
      <w:pPr>
        <w:numPr>
          <w:ilvl w:val="0"/>
          <w:numId w:val="1095"/>
        </w:numPr>
        <w:pStyle w:val="Compact"/>
      </w:pPr>
      <w:r>
        <w:t xml:space="preserve">Bilaterale aantasting: ~30% na verloop van jaren</w:t>
      </w:r>
    </w:p>
    <w:p>
      <w:pPr>
        <w:numPr>
          <w:ilvl w:val="0"/>
          <w:numId w:val="1095"/>
        </w:numPr>
        <w:pStyle w:val="Compact"/>
      </w:pPr>
      <w:r>
        <w:t xml:space="preserve">Eindstadium:</w:t>
      </w:r>
      <w:r>
        <w:t xml:space="preserve"> </w:t>
      </w:r>
      <w:r>
        <w:t xml:space="preserve">“</w:t>
      </w:r>
      <w:r>
        <w:t xml:space="preserve">burnt out</w:t>
      </w:r>
      <w:r>
        <w:t xml:space="preserve">”</w:t>
      </w:r>
      <w:r>
        <w:t xml:space="preserve"> </w:t>
      </w:r>
      <w:r>
        <w:t xml:space="preserve">Menière met stabiel SNHL, uitval kalorisch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5" w:name="duizeligheid-bij-ouderen"/>
    <w:p>
      <w:pPr>
        <w:pStyle w:val="Heading2"/>
      </w:pPr>
      <w:r>
        <w:t xml:space="preserve">21. Duizeligheid bij ouderen</w:t>
      </w:r>
    </w:p>
    <w:bookmarkStart w:id="160" w:name="kenmerken"/>
    <w:p>
      <w:pPr>
        <w:pStyle w:val="Heading3"/>
      </w:pPr>
      <w:r>
        <w:t xml:space="preserve">Kenmerken</w:t>
      </w:r>
    </w:p>
    <w:p>
      <w:pPr>
        <w:numPr>
          <w:ilvl w:val="0"/>
          <w:numId w:val="1096"/>
        </w:numPr>
        <w:pStyle w:val="Compact"/>
      </w:pPr>
      <w:r>
        <w:t xml:space="preserve">Multifactorieel van aard: zelden één oorzaak</w:t>
      </w:r>
    </w:p>
    <w:p>
      <w:pPr>
        <w:numPr>
          <w:ilvl w:val="0"/>
          <w:numId w:val="1096"/>
        </w:numPr>
        <w:pStyle w:val="Compact"/>
      </w:pPr>
      <w:r>
        <w:t xml:space="preserve">Presbyvestibulopathie: fysiologisch verlies van haarcellen en afferente vezels vestibulaire organen en hersenstam met veroudering</w:t>
      </w:r>
    </w:p>
    <w:p>
      <w:pPr>
        <w:numPr>
          <w:ilvl w:val="0"/>
          <w:numId w:val="1096"/>
        </w:numPr>
        <w:pStyle w:val="Compact"/>
      </w:pPr>
      <w:r>
        <w:t xml:space="preserve">Hoge prevalentie: ~30% van personen &gt;65 jaar; leidende oorzaak valincidenten</w:t>
      </w:r>
    </w:p>
    <w:bookmarkEnd w:id="160"/>
    <w:bookmarkStart w:id="161" w:name="oorzaken-multifactorieel"/>
    <w:p>
      <w:pPr>
        <w:pStyle w:val="Heading3"/>
      </w:pPr>
      <w:r>
        <w:t xml:space="preserve">Oorzaken (multifactorieel)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34"/>
        <w:gridCol w:w="45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Vestibulair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Presbyvestibulopathie, BPPD (vaker bij ouderen), bilateraal vestibulair falen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Proprioceptief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Polyneuropathie (DM), gewrichtsaandoeningen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Cataract, maculadegeneratie, bifocale glazen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Cardiovasculair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Orthostatische hypotensie, cardiale aritmie, carotissinus-syndroom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Centraal neurologisch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Cerebellair CVA, Parkinson, NPH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Medicamenteus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Benzodiazepines, antihypertensiva, diuretica, psychofarmaca (valrisico!)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Angst, depressie</w:t>
            </w:r>
          </w:p>
        </w:tc>
      </w:tr>
    </w:tbl>
    <w:bookmarkEnd w:id="161"/>
    <w:bookmarkStart w:id="162" w:name="Xee36665971574f00c68372f5de6ac9d13e8acaf"/>
    <w:p>
      <w:pPr>
        <w:pStyle w:val="Heading3"/>
      </w:pPr>
      <w:r>
        <w:t xml:space="preserve">Diagnose presbyvestibulopathie (Barany Society 2019)</w:t>
      </w:r>
    </w:p>
    <w:p>
      <w:pPr>
        <w:numPr>
          <w:ilvl w:val="0"/>
          <w:numId w:val="1097"/>
        </w:numPr>
        <w:pStyle w:val="Compact"/>
      </w:pPr>
      <w:r>
        <w:t xml:space="preserve">Chronisch vestibulaire syndroom (&gt;3 maanden)</w:t>
      </w:r>
    </w:p>
    <w:p>
      <w:pPr>
        <w:numPr>
          <w:ilvl w:val="0"/>
          <w:numId w:val="1097"/>
        </w:numPr>
        <w:pStyle w:val="Compact"/>
      </w:pPr>
      <w:r>
        <w:t xml:space="preserve">Matig bilateraal perifeer vestibulair disfunctioneren: Video-HIT gain 0.6–0.8, kaloriëen &lt;25% asymmetrie, VEMP-abnormaaliteit</w:t>
      </w:r>
    </w:p>
    <w:p>
      <w:pPr>
        <w:numPr>
          <w:ilvl w:val="0"/>
          <w:numId w:val="1097"/>
        </w:numPr>
        <w:pStyle w:val="Compact"/>
      </w:pPr>
      <w:r>
        <w:t xml:space="preserve">Ouderdom ≥60 jaar</w:t>
      </w:r>
    </w:p>
    <w:p>
      <w:pPr>
        <w:numPr>
          <w:ilvl w:val="0"/>
          <w:numId w:val="1097"/>
        </w:numPr>
        <w:pStyle w:val="Compact"/>
      </w:pPr>
      <w:r>
        <w:t xml:space="preserve">Niet verklaard door andere aandoening</w:t>
      </w:r>
    </w:p>
    <w:bookmarkEnd w:id="162"/>
    <w:bookmarkStart w:id="163" w:name="diagnostiek-9"/>
    <w:p>
      <w:pPr>
        <w:pStyle w:val="Heading3"/>
      </w:pPr>
      <w:r>
        <w:t xml:space="preserve">Diagnostiek</w:t>
      </w:r>
    </w:p>
    <w:p>
      <w:pPr>
        <w:numPr>
          <w:ilvl w:val="0"/>
          <w:numId w:val="1098"/>
        </w:numPr>
        <w:pStyle w:val="Compact"/>
      </w:pPr>
      <w:r>
        <w:t xml:space="preserve">Valrisicoassessment (Timed Up and Go test)</w:t>
      </w:r>
    </w:p>
    <w:p>
      <w:pPr>
        <w:numPr>
          <w:ilvl w:val="0"/>
          <w:numId w:val="1098"/>
        </w:numPr>
        <w:pStyle w:val="Compact"/>
      </w:pPr>
      <w:r>
        <w:t xml:space="preserve">Orthostasemeting</w:t>
      </w:r>
    </w:p>
    <w:p>
      <w:pPr>
        <w:numPr>
          <w:ilvl w:val="0"/>
          <w:numId w:val="1098"/>
        </w:numPr>
        <w:pStyle w:val="Compact"/>
      </w:pPr>
      <w:r>
        <w:t xml:space="preserve">Medicatiereview</w:t>
      </w:r>
    </w:p>
    <w:p>
      <w:pPr>
        <w:numPr>
          <w:ilvl w:val="0"/>
          <w:numId w:val="1098"/>
        </w:numPr>
        <w:pStyle w:val="Compact"/>
      </w:pPr>
      <w:r>
        <w:t xml:space="preserve">Video-HIT, kalorisch</w:t>
      </w:r>
    </w:p>
    <w:p>
      <w:pPr>
        <w:numPr>
          <w:ilvl w:val="0"/>
          <w:numId w:val="1098"/>
        </w:numPr>
        <w:pStyle w:val="Compact"/>
      </w:pPr>
      <w:r>
        <w:t xml:space="preserve">Oogbewegingsonderzoek (nystagmus, pursuit, saccaden)</w:t>
      </w:r>
    </w:p>
    <w:p>
      <w:pPr>
        <w:numPr>
          <w:ilvl w:val="0"/>
          <w:numId w:val="1098"/>
        </w:numPr>
        <w:pStyle w:val="Compact"/>
      </w:pPr>
      <w:r>
        <w:t xml:space="preserve">Cardiovasculair en neurologisch onderzoek</w:t>
      </w:r>
    </w:p>
    <w:bookmarkEnd w:id="163"/>
    <w:bookmarkStart w:id="164" w:name="behandeling-6"/>
    <w:p>
      <w:pPr>
        <w:pStyle w:val="Heading3"/>
      </w:pPr>
      <w:r>
        <w:t xml:space="preserve">Behandeling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Vestibulaire revalidatie</w:t>
      </w:r>
      <w:r>
        <w:t xml:space="preserve"> </w:t>
      </w:r>
      <w:r>
        <w:t xml:space="preserve">(VR): bewegen, balanstherapie; sterk aanbevolen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Medicatiereview</w:t>
      </w:r>
      <w:r>
        <w:t xml:space="preserve">: stoppen/reduceren valrisicomedicatie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Orthostatische hypotensie</w:t>
      </w:r>
      <w:r>
        <w:t xml:space="preserve">: niet te snel opstaan, stockings, fludrocortison (voorzichtig)</w:t>
      </w:r>
    </w:p>
    <w:p>
      <w:pPr>
        <w:numPr>
          <w:ilvl w:val="0"/>
          <w:numId w:val="1099"/>
        </w:numPr>
        <w:pStyle w:val="Compact"/>
      </w:pPr>
      <w:r>
        <w:t xml:space="preserve">Visuscorrectie</w:t>
      </w:r>
    </w:p>
    <w:p>
      <w:pPr>
        <w:numPr>
          <w:ilvl w:val="0"/>
          <w:numId w:val="1099"/>
        </w:numPr>
        <w:pStyle w:val="Compact"/>
      </w:pPr>
      <w:r>
        <w:t xml:space="preserve">Loophulpmiddelen</w:t>
      </w:r>
    </w:p>
    <w:p>
      <w:pPr>
        <w:numPr>
          <w:ilvl w:val="0"/>
          <w:numId w:val="1099"/>
        </w:numPr>
        <w:pStyle w:val="Compact"/>
      </w:pPr>
      <w:r>
        <w:t xml:space="preserve">Valpreventie programma (zie volgende richtlijn)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9" w:name="preventie-van-valincidenten-bij-ouderen"/>
    <w:p>
      <w:pPr>
        <w:pStyle w:val="Heading2"/>
      </w:pPr>
      <w:r>
        <w:t xml:space="preserve">22. Preventie van valincidenten bij ouderen</w:t>
      </w:r>
    </w:p>
    <w:bookmarkStart w:id="166" w:name="valrisicofactoren"/>
    <w:p>
      <w:pPr>
        <w:pStyle w:val="Heading3"/>
      </w:pPr>
      <w:r>
        <w:t xml:space="preserve">Valrisicofactoren</w:t>
      </w:r>
    </w:p>
    <w:p>
      <w:pPr>
        <w:pStyle w:val="FirstParagraph"/>
      </w:pPr>
      <w:r>
        <w:rPr>
          <w:bCs/>
          <w:b/>
        </w:rPr>
        <w:t xml:space="preserve">Intrinsiek:</w:t>
      </w:r>
      <w:r>
        <w:t xml:space="preserve"> </w:t>
      </w:r>
      <w:r>
        <w:t xml:space="preserve">- Spierzwakte (sarcopenie)</w:t>
      </w:r>
      <w:r>
        <w:t xml:space="preserve"> </w:t>
      </w:r>
      <w:r>
        <w:t xml:space="preserve">- Balansstoornissen / loopproblemen</w:t>
      </w:r>
      <w:r>
        <w:t xml:space="preserve"> </w:t>
      </w:r>
      <w:r>
        <w:t xml:space="preserve">- Eerder doorgemaakt val</w:t>
      </w:r>
      <w:r>
        <w:t xml:space="preserve"> </w:t>
      </w:r>
      <w:r>
        <w:t xml:space="preserve">- Visusstoornissen</w:t>
      </w:r>
      <w:r>
        <w:t xml:space="preserve"> </w:t>
      </w:r>
      <w:r>
        <w:t xml:space="preserve">- Cognitieve stoornissen</w:t>
      </w:r>
      <w:r>
        <w:t xml:space="preserve"> </w:t>
      </w:r>
      <w:r>
        <w:t xml:space="preserve">- Depressie</w:t>
      </w:r>
      <w:r>
        <w:t xml:space="preserve"> </w:t>
      </w:r>
      <w:r>
        <w:t xml:space="preserve">- Orthostatische hypotensie</w:t>
      </w:r>
      <w:r>
        <w:t xml:space="preserve"> </w:t>
      </w:r>
      <w:r>
        <w:t xml:space="preserve">- Continentieproblemen</w:t>
      </w:r>
    </w:p>
    <w:p>
      <w:pPr>
        <w:pStyle w:val="BodyText"/>
      </w:pPr>
      <w:r>
        <w:rPr>
          <w:bCs/>
          <w:b/>
        </w:rPr>
        <w:t xml:space="preserve">Extrinsiek / medicamenteus:</w:t>
      </w:r>
      <w:r>
        <w:t xml:space="preserve"> </w:t>
      </w:r>
      <w:r>
        <w:t xml:space="preserve">- Benzodiazepines, slaap- en kalmeringsmiddelen</w:t>
      </w:r>
      <w:r>
        <w:t xml:space="preserve"> </w:t>
      </w:r>
      <w:r>
        <w:t xml:space="preserve">- Antihypertensiva, diuretica</w:t>
      </w:r>
      <w:r>
        <w:t xml:space="preserve"> </w:t>
      </w:r>
      <w:r>
        <w:t xml:space="preserve">- Antidepressiva, antipsychotica</w:t>
      </w:r>
      <w:r>
        <w:t xml:space="preserve"> </w:t>
      </w:r>
      <w:r>
        <w:t xml:space="preserve">- Meerdere medicijnen tegelijk (polyfarmaci ≥4 middelen)</w:t>
      </w:r>
    </w:p>
    <w:p>
      <w:pPr>
        <w:pStyle w:val="BodyText"/>
      </w:pPr>
      <w:r>
        <w:rPr>
          <w:bCs/>
          <w:b/>
        </w:rPr>
        <w:t xml:space="preserve">Omgeving:</w:t>
      </w:r>
      <w:r>
        <w:t xml:space="preserve"> </w:t>
      </w:r>
      <w:r>
        <w:t xml:space="preserve">- Drempels, glad vloeroppervlak, slechte verlichting, geen leuningen</w:t>
      </w:r>
    </w:p>
    <w:bookmarkEnd w:id="166"/>
    <w:bookmarkStart w:id="167" w:name="valpreventie-multifactorieel-programma"/>
    <w:p>
      <w:pPr>
        <w:pStyle w:val="Heading3"/>
      </w:pPr>
      <w:r>
        <w:t xml:space="preserve">Valpreventie: multifactorieel programma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Interventie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Kracht- en balanstraining</w:t>
            </w:r>
            <w:r>
              <w:t xml:space="preserve"> </w:t>
            </w:r>
            <w:r>
              <w:t xml:space="preserve">(bijv. tai chi, Otago programma)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Sterk; ↓ vallen 35–40%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Medicatiereview</w:t>
            </w:r>
            <w:r>
              <w:t xml:space="preserve">: afbouwen valrisicomedicatie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Vitamine D-suppletie</w:t>
            </w:r>
            <w:r>
              <w:t xml:space="preserve"> </w:t>
            </w:r>
            <w:r>
              <w:t xml:space="preserve">(bij deficiëntie)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Matig; ↓ vallen bij deficiëntie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Correctie visusproblemen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Aanpassing woonomgeving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Loophulpmiddelen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Heupbeschermers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Matig; compliance laag</w:t>
            </w:r>
          </w:p>
        </w:tc>
      </w:tr>
    </w:tbl>
    <w:bookmarkEnd w:id="167"/>
    <w:bookmarkStart w:id="168" w:name="rol-kno-arts"/>
    <w:p>
      <w:pPr>
        <w:pStyle w:val="Heading3"/>
      </w:pPr>
      <w:r>
        <w:t xml:space="preserve">Rol KNO-arts</w:t>
      </w:r>
    </w:p>
    <w:p>
      <w:pPr>
        <w:numPr>
          <w:ilvl w:val="0"/>
          <w:numId w:val="1100"/>
        </w:numPr>
        <w:pStyle w:val="Compact"/>
      </w:pPr>
      <w:r>
        <w:t xml:space="preserve">Behandeling BPPD → direct valrisicoreductie</w:t>
      </w:r>
    </w:p>
    <w:p>
      <w:pPr>
        <w:numPr>
          <w:ilvl w:val="0"/>
          <w:numId w:val="1100"/>
        </w:numPr>
        <w:pStyle w:val="Compact"/>
      </w:pPr>
      <w:r>
        <w:t xml:space="preserve">Behandeling bilateraal vestibulair verlies: revalidatie</w:t>
      </w:r>
    </w:p>
    <w:p>
      <w:pPr>
        <w:numPr>
          <w:ilvl w:val="0"/>
          <w:numId w:val="1100"/>
        </w:numPr>
        <w:pStyle w:val="Compact"/>
      </w:pPr>
      <w:r>
        <w:t xml:space="preserve">Medicamenteuze behandeling Menière met valrisico-middelen: vermijden sedatieve anti-vertigomedicatie bij ouderen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End w:id="170"/>
    <w:bookmarkStart w:id="177" w:name="slaapgeneeskunde"/>
    <w:p>
      <w:pPr>
        <w:pStyle w:val="Heading1"/>
      </w:pPr>
      <w:r>
        <w:t xml:space="preserve">SLAAPGENEESKUNDE</w:t>
      </w:r>
    </w:p>
    <w:p>
      <w:r>
        <w:pict>
          <v:rect style="width:0;height:1.5pt" o:hralign="center" o:hrstd="t" o:hr="t"/>
        </w:pict>
      </w:r>
    </w:p>
    <w:bookmarkStart w:id="176" w:name="X89f4115fb8a6876b15958abde69a4e5155268bf"/>
    <w:p>
      <w:pPr>
        <w:pStyle w:val="Heading2"/>
      </w:pPr>
      <w:r>
        <w:t xml:space="preserve">23. Obstructief slaapapneu (OSA) bij volwassenen</w:t>
      </w:r>
    </w:p>
    <w:bookmarkStart w:id="171" w:name="definitie-classificatie-1"/>
    <w:p>
      <w:pPr>
        <w:pStyle w:val="Heading3"/>
      </w:pPr>
      <w:r>
        <w:t xml:space="preserve">Definitie &amp; classificatie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AHI</w:t>
      </w:r>
      <w:r>
        <w:t xml:space="preserve"> </w:t>
      </w:r>
      <w:r>
        <w:t xml:space="preserve">(apneu-hypopneu index): aantal apneu’s + hypopneu’s per uur slaap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Diagnose</w:t>
      </w:r>
      <w:r>
        <w:t xml:space="preserve">: AHI ≥5 met symptomen, OF AHI ≥15 ongeacht symptomen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&gt;30/uur</w:t>
            </w:r>
          </w:p>
        </w:tc>
      </w:tr>
    </w:tbl>
    <w:bookmarkEnd w:id="171"/>
    <w:bookmarkStart w:id="172" w:name="kliniek-1"/>
    <w:p>
      <w:pPr>
        <w:pStyle w:val="Heading3"/>
      </w:pPr>
      <w:r>
        <w:t xml:space="preserve">Kliniek</w:t>
      </w:r>
    </w:p>
    <w:p>
      <w:pPr>
        <w:numPr>
          <w:ilvl w:val="0"/>
          <w:numId w:val="1102"/>
        </w:numPr>
        <w:pStyle w:val="Compact"/>
      </w:pPr>
      <w:r>
        <w:t xml:space="preserve">Luid snurken, apneu-perioden (partner observeert), nachtelijk ontwaken</w:t>
      </w:r>
    </w:p>
    <w:p>
      <w:pPr>
        <w:numPr>
          <w:ilvl w:val="0"/>
          <w:numId w:val="1102"/>
        </w:numPr>
        <w:pStyle w:val="Compact"/>
      </w:pPr>
      <w:r>
        <w:t xml:space="preserve">Overmatige slaperigheid overdag (Epworth Sleepiness Scale ≥10)</w:t>
      </w:r>
    </w:p>
    <w:p>
      <w:pPr>
        <w:numPr>
          <w:ilvl w:val="0"/>
          <w:numId w:val="1102"/>
        </w:numPr>
        <w:pStyle w:val="Compact"/>
      </w:pPr>
      <w:r>
        <w:t xml:space="preserve">Ochtendhoofpijn, nycturie, droge mond, cognitieve klachten</w:t>
      </w:r>
    </w:p>
    <w:bookmarkEnd w:id="172"/>
    <w:bookmarkStart w:id="173" w:name="diagnostiek-10"/>
    <w:p>
      <w:pPr>
        <w:pStyle w:val="Heading3"/>
      </w:pPr>
      <w:r>
        <w:t xml:space="preserve">Diagnostiek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Polysomnografie (PSG)</w:t>
      </w:r>
      <w:r>
        <w:t xml:space="preserve">: goudstandaard; volledig slaaplaboratorium; EEG, EMG, EOG, ademhaling, SpO2, ECG, positiemeting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HSAT</w:t>
      </w:r>
      <w:r>
        <w:t xml:space="preserve"> </w:t>
      </w:r>
      <w:r>
        <w:t xml:space="preserve">(Home Sleep Apnea Test, type 2–4): ambulant; minimaal ademhaling + SpO2; bij hoge pre-testkans; geen slaapstadia</w:t>
      </w:r>
    </w:p>
    <w:p>
      <w:pPr>
        <w:numPr>
          <w:ilvl w:val="0"/>
          <w:numId w:val="1103"/>
        </w:numPr>
        <w:pStyle w:val="Compact"/>
      </w:pPr>
      <w:r>
        <w:t xml:space="preserve">Epworth Sleepiness Scale (ESS)</w:t>
      </w:r>
    </w:p>
    <w:p>
      <w:pPr>
        <w:numPr>
          <w:ilvl w:val="0"/>
          <w:numId w:val="1103"/>
        </w:numPr>
        <w:pStyle w:val="Compact"/>
      </w:pPr>
      <w:r>
        <w:t xml:space="preserve">Keel-neus-oor onderzoek: tonsils, uvula, tongbasis, neustussenschot, conchae</w:t>
      </w:r>
    </w:p>
    <w:p>
      <w:pPr>
        <w:numPr>
          <w:ilvl w:val="0"/>
          <w:numId w:val="1103"/>
        </w:numPr>
        <w:pStyle w:val="Compact"/>
      </w:pPr>
      <w:r>
        <w:t xml:space="preserve">Naso-endoscopie met Müller-manoeuvre: lokalisatie obstructie onder negatieve druk</w:t>
      </w:r>
    </w:p>
    <w:bookmarkEnd w:id="173"/>
    <w:bookmarkStart w:id="174" w:name="behandeling-7"/>
    <w:p>
      <w:pPr>
        <w:pStyle w:val="Heading3"/>
      </w:pPr>
      <w:r>
        <w:t xml:space="preserve">Behandeling</w:t>
      </w:r>
    </w:p>
    <w:p>
      <w:pPr>
        <w:pStyle w:val="FirstParagraph"/>
      </w:pPr>
      <w:r>
        <w:rPr>
          <w:bCs/>
          <w:b/>
        </w:rPr>
        <w:t xml:space="preserve">Niet-invasief:</w:t>
      </w:r>
      <w:r>
        <w:t xml:space="preserve"> </w:t>
      </w:r>
      <w:r>
        <w:t xml:space="preserve">| Behandeling | Indicatie | Effectiviteit |</w:t>
      </w:r>
      <w:r>
        <w:t xml:space="preserve"> </w:t>
      </w:r>
      <w:r>
        <w:t xml:space="preserve">|————-|———–|—————|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CPAP</w:t>
      </w:r>
      <w:r>
        <w:t xml:space="preserve"> </w:t>
      </w:r>
      <w:r>
        <w:t xml:space="preserve">| Matig-ernstig OSA; eerste keus | Meest effectief; AHI normalisering &gt;95%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MRA</w:t>
      </w:r>
      <w:r>
        <w:t xml:space="preserve"> </w:t>
      </w:r>
      <w:r>
        <w:t xml:space="preserve">(mandibulair repositie-apparaat) | Mild-matig OSA; CPAP-intolerantie | Minder effectief dan CPAP; betere compliance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Positietherapie</w:t>
      </w:r>
      <w:r>
        <w:t xml:space="preserve"> </w:t>
      </w:r>
      <w:r>
        <w:t xml:space="preserve">| Positioneel OSA (AHI-rug &gt;2× AHI-niet-rug) | Effectief bij positionele patiënten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Gewichtsreductie</w:t>
      </w:r>
      <w:r>
        <w:t xml:space="preserve"> </w:t>
      </w:r>
      <w:r>
        <w:t xml:space="preserve">| BMI &gt;30 | Aanvullend; bij afvallen afname AHI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Neusnevelproducten</w:t>
      </w:r>
      <w:r>
        <w:t xml:space="preserve"> </w:t>
      </w:r>
      <w:r>
        <w:t xml:space="preserve">| Neusverstopping | Ter ondersteuning CPAP-gebruik |</w:t>
      </w:r>
    </w:p>
    <w:p>
      <w:pPr>
        <w:pStyle w:val="BodyText"/>
      </w:pPr>
      <w:r>
        <w:rPr>
          <w:bCs/>
          <w:b/>
        </w:rPr>
        <w:t xml:space="preserve">Chirurgisch:</w:t>
      </w:r>
      <w:r>
        <w:t xml:space="preserve"> </w:t>
      </w:r>
      <w:r>
        <w:t xml:space="preserve">| Ingreep | Indicatie |</w:t>
      </w:r>
      <w:r>
        <w:t xml:space="preserve"> </w:t>
      </w:r>
      <w:r>
        <w:t xml:space="preserve">|———|———–|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Tonsillectomie</w:t>
      </w:r>
      <w:r>
        <w:t xml:space="preserve"> </w:t>
      </w:r>
      <w:r>
        <w:t xml:space="preserve">| Tonsilhypertrofie als dominante factor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UPPP</w:t>
      </w:r>
      <w:r>
        <w:t xml:space="preserve"> </w:t>
      </w:r>
      <w:r>
        <w:t xml:space="preserve">(uvulopalatopharyngoplastiek) | Retropalatale obstructie; vaker bij velopharyngeale obstructie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Tongbasischirurgie</w:t>
      </w:r>
      <w:r>
        <w:t xml:space="preserve"> </w:t>
      </w:r>
      <w:r>
        <w:t xml:space="preserve">| Retrolinguaal niveau; diverse technieken (coblatie, TORS)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Hyoid-suspensie</w:t>
      </w:r>
      <w:r>
        <w:t xml:space="preserve"> </w:t>
      </w:r>
      <w:r>
        <w:t xml:space="preserve">| Combinatie met andere ingrepen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MMA</w:t>
      </w:r>
      <w:r>
        <w:t xml:space="preserve"> </w:t>
      </w:r>
      <w:r>
        <w:t xml:space="preserve">(maxillomandibulaire voorwaartse osteotomie) | Ernstige OSA; craniofaciale stenose; hoge succesratio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Hypoglossuszenuws timulatie (HNS, bijv. Inspire)</w:t>
      </w:r>
      <w:r>
        <w:t xml:space="preserve"> </w:t>
      </w:r>
      <w:r>
        <w:t xml:space="preserve">| Selectie: AHI 15–65, BMI &lt;32, geen circumferentiële collaps op DISE; goede resultaten |</w:t>
      </w:r>
    </w:p>
    <w:p>
      <w:pPr>
        <w:pStyle w:val="BodyText"/>
      </w:pPr>
      <w:r>
        <w:rPr>
          <w:bCs/>
          <w:b/>
        </w:rPr>
        <w:t xml:space="preserve">DISE</w:t>
      </w:r>
      <w:r>
        <w:t xml:space="preserve"> </w:t>
      </w:r>
      <w:r>
        <w:t xml:space="preserve">(Drug-Induced Sleep Endoscopy): propofol-sedatie, evaluatie niveau en patroon obstructie; VOTE-classificatie (Velum, Oropharynx, Tongue base, Epiglottis).</w:t>
      </w:r>
    </w:p>
    <w:bookmarkEnd w:id="174"/>
    <w:bookmarkStart w:id="175" w:name="comorbiditeiten-1"/>
    <w:p>
      <w:pPr>
        <w:pStyle w:val="Heading3"/>
      </w:pPr>
      <w:r>
        <w:t xml:space="preserve">Comorbiditeiten</w:t>
      </w:r>
    </w:p>
    <w:p>
      <w:pPr>
        <w:numPr>
          <w:ilvl w:val="0"/>
          <w:numId w:val="1104"/>
        </w:numPr>
        <w:pStyle w:val="Compact"/>
      </w:pPr>
      <w:r>
        <w:t xml:space="preserve">Hypertensie (prevalentie ~50% bij ernstige OSA)</w:t>
      </w:r>
    </w:p>
    <w:p>
      <w:pPr>
        <w:numPr>
          <w:ilvl w:val="0"/>
          <w:numId w:val="1104"/>
        </w:numPr>
        <w:pStyle w:val="Compact"/>
      </w:pPr>
      <w:r>
        <w:t xml:space="preserve">DM type 2, metabole stoornis</w:t>
      </w:r>
    </w:p>
    <w:p>
      <w:pPr>
        <w:numPr>
          <w:ilvl w:val="0"/>
          <w:numId w:val="1104"/>
        </w:numPr>
        <w:pStyle w:val="Compact"/>
      </w:pPr>
      <w:r>
        <w:t xml:space="preserve">Cardiovasculair: atriumfibrilleren, hartfalen, CVA</w:t>
      </w:r>
    </w:p>
    <w:p>
      <w:pPr>
        <w:numPr>
          <w:ilvl w:val="0"/>
          <w:numId w:val="1104"/>
        </w:numPr>
        <w:pStyle w:val="Compact"/>
      </w:pPr>
      <w:r>
        <w:t xml:space="preserve">Depressie, angst</w:t>
      </w:r>
    </w:p>
    <w:p>
      <w:pPr>
        <w:numPr>
          <w:ilvl w:val="0"/>
          <w:numId w:val="1104"/>
        </w:numPr>
        <w:pStyle w:val="Compact"/>
      </w:pPr>
      <w:r>
        <w:t xml:space="preserve">Rijveiligheid: bij ernstige slaperigheid rijverbod overwegen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End w:id="177"/>
    <w:bookmarkStart w:id="199" w:name="pediatrische-kno"/>
    <w:p>
      <w:pPr>
        <w:pStyle w:val="Heading1"/>
      </w:pPr>
      <w:r>
        <w:t xml:space="preserve">PEDIATRISCHE KNO</w:t>
      </w:r>
    </w:p>
    <w:p>
      <w:r>
        <w:pict>
          <v:rect style="width:0;height:1.5pt" o:hralign="center" o:hrstd="t" o:hr="t"/>
        </w:pict>
      </w:r>
    </w:p>
    <w:bookmarkStart w:id="182" w:name="X3a5edc8ca0c82fc52e449b61dfaffd67c0fa9f2"/>
    <w:p>
      <w:pPr>
        <w:pStyle w:val="Heading2"/>
      </w:pPr>
      <w:r>
        <w:t xml:space="preserve">24. Audiologische zorg voor slechthorende kinderen van 0 tot 4 jaar</w:t>
      </w:r>
    </w:p>
    <w:bookmarkStart w:id="178" w:name="neonatale-gehoorscreening-nhs"/>
    <w:p>
      <w:pPr>
        <w:pStyle w:val="Heading3"/>
      </w:pPr>
      <w:r>
        <w:t xml:space="preserve">Neonatale gehoorscreening (NHS)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Doel</w:t>
      </w:r>
      <w:r>
        <w:t xml:space="preserve">: vroege detectie aangeboren gehoorverlies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1-3-6 regel</w:t>
      </w:r>
      <w:r>
        <w:t xml:space="preserve">: diagnose voor 1 maand, hoortoestellen voor 3 maanden, revalidatie gestart voor 6 maanden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Screeningstechniek</w:t>
      </w:r>
      <w:r>
        <w:t xml:space="preserve">:</w:t>
      </w:r>
    </w:p>
    <w:p>
      <w:pPr>
        <w:numPr>
          <w:ilvl w:val="1"/>
          <w:numId w:val="1106"/>
        </w:numPr>
        <w:pStyle w:val="Compact"/>
      </w:pPr>
      <w:r>
        <w:t xml:space="preserve">OAE (otoacoustische emissies): dag 3–5; test buitenste haarcellen cochlea</w:t>
      </w:r>
    </w:p>
    <w:p>
      <w:pPr>
        <w:numPr>
          <w:ilvl w:val="1"/>
          <w:numId w:val="1106"/>
        </w:numPr>
        <w:pStyle w:val="Compact"/>
      </w:pPr>
      <w:r>
        <w:t xml:space="preserve">Bij refer →</w:t>
      </w:r>
      <w:r>
        <w:t xml:space="preserve"> </w:t>
      </w:r>
      <w:r>
        <w:rPr>
          <w:bCs/>
          <w:b/>
        </w:rPr>
        <w:t xml:space="preserve">AABR</w:t>
      </w:r>
      <w:r>
        <w:t xml:space="preserve"> </w:t>
      </w:r>
      <w:r>
        <w:t xml:space="preserve">(automated ABR): dag 10–14</w:t>
      </w:r>
    </w:p>
    <w:p>
      <w:pPr>
        <w:numPr>
          <w:ilvl w:val="1"/>
          <w:numId w:val="1106"/>
        </w:numPr>
        <w:pStyle w:val="Compact"/>
      </w:pPr>
      <w:r>
        <w:t xml:space="preserve">Bij refer AABR → verwijzing naar AC voor diagnostische ABR</w:t>
      </w:r>
    </w:p>
    <w:bookmarkEnd w:id="178"/>
    <w:bookmarkStart w:id="179" w:name="diagnostiek-11"/>
    <w:p>
      <w:pPr>
        <w:pStyle w:val="Heading3"/>
      </w:pPr>
      <w:r>
        <w:t xml:space="preserve">Diagnostiek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ABR</w:t>
            </w:r>
            <w:r>
              <w:t xml:space="preserve"> </w:t>
            </w:r>
            <w:r>
              <w:t xml:space="preserve">(toon-pip + klik), ASSR (auditory steady state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6–24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VRA</w:t>
            </w:r>
            <w:r>
              <w:t xml:space="preserve"> </w:t>
            </w:r>
            <w:r>
              <w:t xml:space="preserve">(visual reinforcement audiometry)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2–4 jaar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CPA</w:t>
            </w:r>
            <w:r>
              <w:t xml:space="preserve"> </w:t>
            </w:r>
            <w:r>
              <w:t xml:space="preserve">(conditioned play audiometry)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leeftijden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DPOAE, tympanometrie, stapediusreflexen</w:t>
            </w:r>
          </w:p>
        </w:tc>
      </w:tr>
    </w:tbl>
    <w:bookmarkEnd w:id="179"/>
    <w:bookmarkStart w:id="180" w:name="vroegtijdige-interventie"/>
    <w:p>
      <w:pPr>
        <w:pStyle w:val="Heading3"/>
      </w:pPr>
      <w:r>
        <w:t xml:space="preserve">Vroegtijdige interventie</w:t>
      </w:r>
    </w:p>
    <w:p>
      <w:pPr>
        <w:numPr>
          <w:ilvl w:val="0"/>
          <w:numId w:val="1107"/>
        </w:numPr>
        <w:pStyle w:val="Compact"/>
      </w:pPr>
      <w:r>
        <w:t xml:space="preserve">Hoortoestellen:</w:t>
      </w:r>
      <w:r>
        <w:t xml:space="preserve"> </w:t>
      </w:r>
      <w:r>
        <w:rPr>
          <w:bCs/>
          <w:b/>
        </w:rPr>
        <w:t xml:space="preserve">vóór 3 maanden</w:t>
      </w:r>
      <w:r>
        <w:t xml:space="preserve"> </w:t>
      </w:r>
      <w:r>
        <w:t xml:space="preserve">bij bevestigd bilateraal gehoorverlies &gt;35 dB</w:t>
      </w:r>
    </w:p>
    <w:p>
      <w:pPr>
        <w:numPr>
          <w:ilvl w:val="0"/>
          <w:numId w:val="1107"/>
        </w:numPr>
        <w:pStyle w:val="Compact"/>
      </w:pPr>
      <w:r>
        <w:t xml:space="preserve">Achter-het-oor hoortoestellen; aanpassing via geaccrediteerd AC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Cochleaire implantatie</w:t>
      </w:r>
      <w:r>
        <w:t xml:space="preserve"> </w:t>
      </w:r>
      <w:r>
        <w:t xml:space="preserve">bij kinderen: PTA4 &gt;80 dB + onvoldoende baat hoortoestel; voorkeur vóór 12 maanden</w:t>
      </w:r>
    </w:p>
    <w:p>
      <w:pPr>
        <w:numPr>
          <w:ilvl w:val="0"/>
          <w:numId w:val="1107"/>
        </w:numPr>
        <w:pStyle w:val="Compact"/>
      </w:pPr>
      <w:r>
        <w:t xml:space="preserve">Logopedische begeleiding; gezinsondersteuning (audioloog maatschappelijk werk)</w:t>
      </w:r>
    </w:p>
    <w:p>
      <w:pPr>
        <w:numPr>
          <w:ilvl w:val="0"/>
          <w:numId w:val="1107"/>
        </w:numPr>
        <w:pStyle w:val="Compact"/>
      </w:pPr>
      <w:r>
        <w:t xml:space="preserve">Keuze communicatiemodus: gesproken taal, NmG (Nederlands met Gebaren), NGT (Nederlandse Gebarentaal)</w:t>
      </w:r>
    </w:p>
    <w:bookmarkEnd w:id="180"/>
    <w:bookmarkStart w:id="181" w:name="X385f67029975b9461a19f0a414aaf5e0318a0fa"/>
    <w:p>
      <w:pPr>
        <w:pStyle w:val="Heading3"/>
      </w:pPr>
      <w:r>
        <w:t xml:space="preserve">Aanvullende diagnostiek bij bevestigd gehoorverlies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CT temporaalbeen</w:t>
      </w:r>
      <w:r>
        <w:t xml:space="preserve">: anatomie, EVA (enlarged vestibular aqueduct), Mondini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MRI</w:t>
      </w:r>
      <w:r>
        <w:t xml:space="preserve">: cochleaire zenuw, hersenstructuren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Genetisch onderzoek</w:t>
      </w:r>
      <w:r>
        <w:t xml:space="preserve">: GJB2 (connexine 26), DFNB-panel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CMV-diagnostiek</w:t>
      </w:r>
      <w:r>
        <w:t xml:space="preserve">: urine/speeksel ≤3 weken postnataal (bij positief: antivirale behandeling valganciclovir overweeg)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Oogonderzoek</w:t>
      </w:r>
      <w:r>
        <w:t xml:space="preserve">: Usher-syndroom</w:t>
      </w:r>
    </w:p>
    <w:p>
      <w:pPr>
        <w:numPr>
          <w:ilvl w:val="0"/>
          <w:numId w:val="1108"/>
        </w:numPr>
        <w:pStyle w:val="Compact"/>
      </w:pPr>
      <w:r>
        <w:t xml:space="preserve">Cardiologische evaluatie: Jervell-Lange-Nielsen (QT-prolongatie), Waardenburg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8" w:name="obstructief-slaapapneu-osa-bij-kinderen"/>
    <w:p>
      <w:pPr>
        <w:pStyle w:val="Heading2"/>
      </w:pPr>
      <w:r>
        <w:t xml:space="preserve">25. Obstructief slaapapneu (OSA) bij kinderen</w:t>
      </w:r>
    </w:p>
    <w:bookmarkStart w:id="183" w:name="kenmerken-verschil-met-volwassenen"/>
    <w:p>
      <w:pPr>
        <w:pStyle w:val="Heading3"/>
      </w:pPr>
      <w:r>
        <w:t xml:space="preserve">Kenmerken — verschil met volwassenen</w:t>
      </w:r>
    </w:p>
    <w:p>
      <w:pPr>
        <w:numPr>
          <w:ilvl w:val="0"/>
          <w:numId w:val="1109"/>
        </w:numPr>
        <w:pStyle w:val="Compact"/>
      </w:pPr>
      <w:r>
        <w:t xml:space="preserve">Oorzaak: voornamelijk</w:t>
      </w:r>
      <w:r>
        <w:t xml:space="preserve"> </w:t>
      </w:r>
      <w:r>
        <w:rPr>
          <w:bCs/>
          <w:b/>
        </w:rPr>
        <w:t xml:space="preserve">adenotonsillair hypertrofie</w:t>
      </w:r>
      <w:r>
        <w:t xml:space="preserve"> </w:t>
      </w:r>
      <w:r>
        <w:t xml:space="preserve">(i.t.t. volwassenen: obesitas + anatomie)</w:t>
      </w:r>
    </w:p>
    <w:p>
      <w:pPr>
        <w:numPr>
          <w:ilvl w:val="0"/>
          <w:numId w:val="1109"/>
        </w:numPr>
        <w:pStyle w:val="Compact"/>
      </w:pPr>
      <w:r>
        <w:t xml:space="preserve">Symptomen: snurken, rusteloze slaap, nachtelijk zweten, paradoxale thoraco-abdominale ademhaling, enuresis nocturna</w:t>
      </w:r>
    </w:p>
    <w:p>
      <w:pPr>
        <w:numPr>
          <w:ilvl w:val="0"/>
          <w:numId w:val="1109"/>
        </w:numPr>
        <w:pStyle w:val="Compact"/>
      </w:pPr>
      <w:r>
        <w:t xml:space="preserve">Overdag:</w:t>
      </w:r>
      <w:r>
        <w:t xml:space="preserve"> </w:t>
      </w:r>
      <w:r>
        <w:rPr>
          <w:bCs/>
          <w:b/>
        </w:rPr>
        <w:t xml:space="preserve">hyperactiviteit, ADHD-achtig gedrag, aandachtstekort</w:t>
      </w:r>
      <w:r>
        <w:t xml:space="preserve"> </w:t>
      </w:r>
      <w:r>
        <w:t xml:space="preserve">(i.t.t. slaperigheid bij volwassenen), gedragsproblemen, leermoeilijkheden, groeiachterstand</w:t>
      </w:r>
    </w:p>
    <w:bookmarkEnd w:id="183"/>
    <w:bookmarkStart w:id="184" w:name="diagnostiek-12"/>
    <w:p>
      <w:pPr>
        <w:pStyle w:val="Heading3"/>
      </w:pPr>
      <w:r>
        <w:t xml:space="preserve">Diagnostiek</w:t>
      </w:r>
    </w:p>
    <w:p>
      <w:pPr>
        <w:numPr>
          <w:ilvl w:val="0"/>
          <w:numId w:val="1110"/>
        </w:numPr>
        <w:pStyle w:val="Compact"/>
      </w:pPr>
      <w:r>
        <w:t xml:space="preserve">PSG (goudstandaard):</w:t>
      </w:r>
      <w:r>
        <w:t xml:space="preserve"> </w:t>
      </w:r>
      <w:r>
        <w:rPr>
          <w:bCs/>
          <w:b/>
        </w:rPr>
        <w:t xml:space="preserve">AHI &gt;1/uur is abnormaal</w:t>
      </w:r>
      <w:r>
        <w:t xml:space="preserve"> </w:t>
      </w:r>
      <w:r>
        <w:t xml:space="preserve">bij kinderen (grenswaarde anders dan bij volwassenen!)</w:t>
      </w:r>
    </w:p>
    <w:p>
      <w:pPr>
        <w:numPr>
          <w:ilvl w:val="0"/>
          <w:numId w:val="1110"/>
        </w:numPr>
        <w:pStyle w:val="Compact"/>
      </w:pPr>
      <w:r>
        <w:t xml:space="preserve">Ernst:</w:t>
      </w:r>
    </w:p>
    <w:p>
      <w:pPr>
        <w:numPr>
          <w:ilvl w:val="1"/>
          <w:numId w:val="1111"/>
        </w:numPr>
        <w:pStyle w:val="Compact"/>
      </w:pPr>
      <w:r>
        <w:t xml:space="preserve">Mild: AHI 1–5</w:t>
      </w:r>
    </w:p>
    <w:p>
      <w:pPr>
        <w:numPr>
          <w:ilvl w:val="1"/>
          <w:numId w:val="1111"/>
        </w:numPr>
        <w:pStyle w:val="Compact"/>
      </w:pPr>
      <w:r>
        <w:t xml:space="preserve">Matig: AHI 5–10</w:t>
      </w:r>
    </w:p>
    <w:p>
      <w:pPr>
        <w:numPr>
          <w:ilvl w:val="1"/>
          <w:numId w:val="1111"/>
        </w:numPr>
        <w:pStyle w:val="Compact"/>
      </w:pPr>
      <w:r>
        <w:t xml:space="preserve">Ernstig: AHI &gt;10 (of SpO2 nadir &lt;80%)</w:t>
      </w:r>
    </w:p>
    <w:p>
      <w:pPr>
        <w:numPr>
          <w:ilvl w:val="0"/>
          <w:numId w:val="1110"/>
        </w:numPr>
        <w:pStyle w:val="Compact"/>
      </w:pPr>
      <w:r>
        <w:t xml:space="preserve">Klinische beoordeling: Mallampati, tonsils (Friedman of Brodsky 1–4+), adenoïdindruk (neusademing)</w:t>
      </w:r>
    </w:p>
    <w:p>
      <w:pPr>
        <w:numPr>
          <w:ilvl w:val="0"/>
          <w:numId w:val="1110"/>
        </w:numPr>
        <w:pStyle w:val="Compact"/>
      </w:pPr>
      <w:r>
        <w:t xml:space="preserve">Lateral X-ray / nasale endoscopie voor adenoïd</w:t>
      </w:r>
    </w:p>
    <w:bookmarkEnd w:id="184"/>
    <w:bookmarkStart w:id="185" w:name="behandeling-8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90"/>
        <w:gridCol w:w="3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Adenotonsillectomie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Eerste keus bij adenotonsillair hypertrofie; curatie ~70–80%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resterende OSA na adenotonsillectomie, contra-indicaties chirurgie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INCS + montelukast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 OSA, klein adenoïd/tonsils, als initiële 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Orthodontie / RME (rapid maxillary expansion)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Hoge palatinale boog, smal palatum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Gewichtsreductie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Obese kinderen</w:t>
            </w:r>
          </w:p>
        </w:tc>
      </w:tr>
    </w:tbl>
    <w:bookmarkEnd w:id="185"/>
    <w:bookmarkStart w:id="186" w:name="post-operatieve-psg"/>
    <w:p>
      <w:pPr>
        <w:pStyle w:val="Heading3"/>
      </w:pPr>
      <w:r>
        <w:t xml:space="preserve">Post-operatieve PSG</w:t>
      </w:r>
    </w:p>
    <w:p>
      <w:pPr>
        <w:pStyle w:val="FirstParagraph"/>
      </w:pPr>
      <w:r>
        <w:t xml:space="preserve">Aanbevolen bij:</w:t>
      </w:r>
      <w:r>
        <w:t xml:space="preserve"> </w:t>
      </w:r>
      <w:r>
        <w:t xml:space="preserve">- Ernstig OSA pre-operatief (AHI &gt;10)</w:t>
      </w:r>
      <w:r>
        <w:t xml:space="preserve"> </w:t>
      </w:r>
      <w:r>
        <w:t xml:space="preserve">- Obesitas</w:t>
      </w:r>
      <w:r>
        <w:t xml:space="preserve"> </w:t>
      </w:r>
      <w:r>
        <w:t xml:space="preserve">- Syndromale kinderen (Down, Prader-Willi, Pierre Robin)</w:t>
      </w:r>
      <w:r>
        <w:t xml:space="preserve"> </w:t>
      </w:r>
      <w:r>
        <w:t xml:space="preserve">- Jonge kinderen (&lt;3 jaar)</w:t>
      </w:r>
      <w:r>
        <w:t xml:space="preserve"> </w:t>
      </w:r>
      <w:r>
        <w:t xml:space="preserve">- Persisterende symptomen na chirurgie</w:t>
      </w:r>
    </w:p>
    <w:bookmarkEnd w:id="186"/>
    <w:bookmarkStart w:id="187" w:name="complicaties-osa-bij-kinderen"/>
    <w:p>
      <w:pPr>
        <w:pStyle w:val="Heading3"/>
      </w:pPr>
      <w:r>
        <w:t xml:space="preserve">Complicaties OSA bij kinderen</w:t>
      </w:r>
    </w:p>
    <w:p>
      <w:pPr>
        <w:numPr>
          <w:ilvl w:val="0"/>
          <w:numId w:val="1112"/>
        </w:numPr>
        <w:pStyle w:val="Compact"/>
      </w:pPr>
      <w:r>
        <w:t xml:space="preserve">Pulmonale hypertensie (bij chronisch ernstig OSA)</w:t>
      </w:r>
    </w:p>
    <w:p>
      <w:pPr>
        <w:numPr>
          <w:ilvl w:val="0"/>
          <w:numId w:val="1112"/>
        </w:numPr>
        <w:pStyle w:val="Compact"/>
      </w:pPr>
      <w:r>
        <w:t xml:space="preserve">Cor pulmonale</w:t>
      </w:r>
    </w:p>
    <w:p>
      <w:pPr>
        <w:numPr>
          <w:ilvl w:val="0"/>
          <w:numId w:val="1112"/>
        </w:numPr>
        <w:pStyle w:val="Compact"/>
      </w:pPr>
      <w:r>
        <w:t xml:space="preserve">Neuro-cognitieve schade</w:t>
      </w:r>
    </w:p>
    <w:p>
      <w:pPr>
        <w:numPr>
          <w:ilvl w:val="0"/>
          <w:numId w:val="1112"/>
        </w:numPr>
        <w:pStyle w:val="Compact"/>
      </w:pPr>
      <w:r>
        <w:t xml:space="preserve">Groeiachterstand (verhoogd groeihormoonmetabolisme)</w:t>
      </w:r>
    </w:p>
    <w:p>
      <w:pPr>
        <w:numPr>
          <w:ilvl w:val="0"/>
          <w:numId w:val="1112"/>
        </w:numPr>
        <w:pStyle w:val="Compact"/>
      </w:pPr>
      <w:r>
        <w:t xml:space="preserve">Cardiovasculaire morbiditeit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X316a6742429cbf1b1b15696489bebf99245eb50"/>
    <w:p>
      <w:pPr>
        <w:pStyle w:val="Heading2"/>
      </w:pPr>
      <w:r>
        <w:t xml:space="preserve">26. Otitis Media bij kinderen in de tweede lijn</w:t>
      </w:r>
    </w:p>
    <w:bookmarkStart w:id="189" w:name="acute-otitis-media-aom"/>
    <w:p>
      <w:pPr>
        <w:pStyle w:val="Heading3"/>
      </w:pPr>
      <w:r>
        <w:t xml:space="preserve">Acute Otitis Media (AOM)</w:t>
      </w:r>
    </w:p>
    <w:p>
      <w:pPr>
        <w:pStyle w:val="FirstParagraph"/>
      </w:pPr>
      <w:r>
        <w:rPr>
          <w:bCs/>
          <w:b/>
        </w:rPr>
        <w:t xml:space="preserve">Diagnostische criteria:</w:t>
      </w:r>
      <w:r>
        <w:t xml:space="preserve"> </w:t>
      </w:r>
      <w:r>
        <w:t xml:space="preserve">1. Acuut begin (&lt; 48 uur) van klachten</w:t>
      </w:r>
      <w:r>
        <w:t xml:space="preserve"> </w:t>
      </w:r>
      <w:r>
        <w:t xml:space="preserve">2. Tekenen van acute ontsteking: koorts, oorpijn, geïrriteerd gedrag</w:t>
      </w:r>
      <w:r>
        <w:t xml:space="preserve"> </w:t>
      </w:r>
      <w:r>
        <w:t xml:space="preserve">3. Otoscopische tekenen: bolle, rode, doorschijnendheid-verlies van trommelvlies; OF otorroe</w:t>
      </w:r>
    </w:p>
    <w:p>
      <w:pPr>
        <w:pStyle w:val="BodyText"/>
      </w:pPr>
      <w:r>
        <w:rPr>
          <w:bCs/>
          <w:b/>
        </w:rPr>
        <w:t xml:space="preserve">Verwekkers</w:t>
      </w:r>
      <w:r>
        <w:t xml:space="preserve">: S. pneumoniae, H. influenzae, M. catarrhalis</w:t>
      </w:r>
    </w:p>
    <w:p>
      <w:pPr>
        <w:pStyle w:val="BodyText"/>
      </w:pPr>
      <w:r>
        <w:rPr>
          <w:bCs/>
          <w:b/>
        </w:rPr>
        <w:t xml:space="preserve">Antibioticabeleid:</w:t>
      </w:r>
      <w:r>
        <w:t xml:space="preserve"> </w:t>
      </w:r>
      <w:r>
        <w:t xml:space="preserve">| Indicatie | Antibioticum |</w:t>
      </w:r>
      <w:r>
        <w:t xml:space="preserve"> </w:t>
      </w:r>
      <w:r>
        <w:t xml:space="preserve">|———–|————-|</w:t>
      </w:r>
      <w:r>
        <w:t xml:space="preserve"> </w:t>
      </w:r>
      <w:r>
        <w:t xml:space="preserve">| Algemeen: watchful waiting 48–72 uur bij matig ziek | Geen (zekerheidsrecept)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Altijd antibiotica</w:t>
      </w:r>
      <w:r>
        <w:t xml:space="preserve">: &lt;6 mnd, bilateraal AOM (2-12 jr), otorroe, ernstig ziek, immuundeficiëntie | Amoxicilline 40–90 mg/kg/dag 7–10 dg |</w:t>
      </w:r>
      <w:r>
        <w:t xml:space="preserve"> </w:t>
      </w:r>
      <w:r>
        <w:t xml:space="preserve">| Falen amoxicilline (48-72 uur) | Amoxicilline-clavulanaat |</w:t>
      </w:r>
      <w:r>
        <w:t xml:space="preserve"> </w:t>
      </w:r>
      <w:r>
        <w:t xml:space="preserve">| Penicilline-allergie | Azithromycine of cotrimoxazol |</w:t>
      </w:r>
    </w:p>
    <w:p>
      <w:pPr>
        <w:pStyle w:val="BodyText"/>
      </w:pPr>
      <w:r>
        <w:rPr>
          <w:bCs/>
          <w:b/>
        </w:rPr>
        <w:t xml:space="preserve">Recidiverende AOM</w:t>
      </w:r>
      <w:r>
        <w:t xml:space="preserve">: ≥3 episoden in 6 maanden of ≥4 in 12 maanden → trommelvliesbuisjes overwegen</w:t>
      </w:r>
    </w:p>
    <w:bookmarkEnd w:id="189"/>
    <w:bookmarkStart w:id="190" w:name="otitis-media-met-effusie-ome-som-lijmoor"/>
    <w:p>
      <w:pPr>
        <w:pStyle w:val="Heading3"/>
      </w:pPr>
      <w:r>
        <w:t xml:space="preserve">Otitis Media met Effusie (OME / SOM / lijmoor)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vochtophoping achter trommelvlies zonder tekenen van acute infectie &gt;3 maanden.</w:t>
      </w:r>
    </w:p>
    <w:p>
      <w:pPr>
        <w:pStyle w:val="BodyText"/>
      </w:pPr>
      <w:r>
        <w:rPr>
          <w:bCs/>
          <w:b/>
        </w:rPr>
        <w:t xml:space="preserve">Epidemiologie</w:t>
      </w:r>
      <w:r>
        <w:t xml:space="preserve">: &gt;60% van kinderen heeft ooit OME; spontaan herstel in 3 maanden bij 60–80%.</w:t>
      </w:r>
    </w:p>
    <w:p>
      <w:pPr>
        <w:pStyle w:val="BodyText"/>
      </w:pPr>
      <w:r>
        <w:rPr>
          <w:bCs/>
          <w:b/>
        </w:rPr>
        <w:t xml:space="preserve">Diagnostiek</w:t>
      </w:r>
      <w:r>
        <w:t xml:space="preserve">: otoscopie (mat, geretralieerd TM, vloeistofniveau), tympanometrie (type B-curve), PTA.</w:t>
      </w:r>
    </w:p>
    <w:p>
      <w:pPr>
        <w:pStyle w:val="BodyText"/>
      </w:pPr>
      <w:r>
        <w:rPr>
          <w:bCs/>
          <w:b/>
        </w:rPr>
        <w:t xml:space="preserve">Watchful waiting</w:t>
      </w:r>
      <w:r>
        <w:t xml:space="preserve">: standaard eerste 3 maanden.</w:t>
      </w:r>
    </w:p>
    <w:p>
      <w:pPr>
        <w:pStyle w:val="BodyText"/>
      </w:pPr>
      <w:r>
        <w:rPr>
          <w:bCs/>
          <w:b/>
        </w:rPr>
        <w:t xml:space="preserve">Indicaties trommelvliesbuisjes:</w:t>
      </w:r>
      <w:r>
        <w:t xml:space="preserve"> </w:t>
      </w:r>
      <w:r>
        <w:t xml:space="preserve">- OME aanhoudend &gt;3 maanden</w:t>
      </w:r>
      <w:r>
        <w:t xml:space="preserve"> </w:t>
      </w:r>
      <w:r>
        <w:rPr>
          <w:bCs/>
          <w:b/>
        </w:rPr>
        <w:t xml:space="preserve">én</w:t>
      </w:r>
      <w:r>
        <w:t xml:space="preserve"> </w:t>
      </w:r>
      <w:r>
        <w:t xml:space="preserve">gehoorverlies ≥25–30 dB</w:t>
      </w:r>
      <w:r>
        <w:t xml:space="preserve"> </w:t>
      </w:r>
      <w:r>
        <w:t xml:space="preserve">- Spraak-/taalontwikkelingsachterstand</w:t>
      </w:r>
      <w:r>
        <w:t xml:space="preserve"> </w:t>
      </w:r>
      <w:r>
        <w:t xml:space="preserve">- Structurele TM-afwijkingen (retractie, cholesteatoomvorming)</w:t>
      </w:r>
      <w:r>
        <w:t xml:space="preserve"> </w:t>
      </w:r>
      <w:r>
        <w:t xml:space="preserve">- Functionele klachten (balanceer-, gedragsproblemen)</w:t>
      </w:r>
    </w:p>
    <w:p>
      <w:pPr>
        <w:pStyle w:val="BodyText"/>
      </w:pPr>
      <w:r>
        <w:rPr>
          <w:bCs/>
          <w:b/>
        </w:rPr>
        <w:t xml:space="preserve">Complicaties AOM</w:t>
      </w:r>
      <w:r>
        <w:t xml:space="preserve"> </w:t>
      </w:r>
      <w:r>
        <w:t xml:space="preserve">(vermelden bij examen!):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Mastoïditis acuta</w:t>
      </w:r>
      <w:r>
        <w:t xml:space="preserve">: meest voorkomende complicatie; zwelling retroauriculair, oorschelp voorwaarts verplaatst; CT-schedelbasis; IV antibiotica + myringotomie; bij abcedering: mastoïdectomie</w:t>
      </w:r>
      <w:r>
        <w:t xml:space="preserve"> </w:t>
      </w:r>
      <w:r>
        <w:t xml:space="preserve">- Labyrintitis</w:t>
      </w:r>
      <w:r>
        <w:t xml:space="preserve"> </w:t>
      </w:r>
      <w:r>
        <w:t xml:space="preserve">- Petrositis</w:t>
      </w:r>
      <w:r>
        <w:t xml:space="preserve"> </w:t>
      </w:r>
      <w:r>
        <w:t xml:space="preserve">- Meningitis</w:t>
      </w:r>
      <w:r>
        <w:t xml:space="preserve"> </w:t>
      </w:r>
      <w:r>
        <w:t xml:space="preserve">- Epiduraal/subduraal/hersenabces</w:t>
      </w:r>
      <w:r>
        <w:t xml:space="preserve"> </w:t>
      </w:r>
      <w:r>
        <w:t xml:space="preserve">- Sinustrombosflebitis (sinus sigmoideus)</w:t>
      </w:r>
      <w:r>
        <w:t xml:space="preserve"> </w:t>
      </w:r>
      <w:r>
        <w:t xml:space="preserve">- Facialis-uitval</w:t>
      </w:r>
      <w:r>
        <w:t xml:space="preserve"> </w:t>
      </w:r>
      <w:r>
        <w:t xml:space="preserve">- Cholesteatoom (bij chronisch beloop)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8" w:name="ziekten-van-adenoïd-en-tonsillen-zatt"/>
    <w:p>
      <w:pPr>
        <w:pStyle w:val="Heading2"/>
      </w:pPr>
      <w:r>
        <w:t xml:space="preserve">27. Ziekten van adenoïd en tonsillen (ZATT)</w:t>
      </w:r>
    </w:p>
    <w:bookmarkStart w:id="192" w:name="acute-tonsillitis"/>
    <w:p>
      <w:pPr>
        <w:pStyle w:val="Heading3"/>
      </w:pPr>
      <w:r>
        <w:t xml:space="preserve">Acute tonsillitis</w:t>
      </w:r>
    </w:p>
    <w:p>
      <w:pPr>
        <w:pStyle w:val="FirstParagraph"/>
      </w:pPr>
      <w:r>
        <w:rPr>
          <w:bCs/>
          <w:b/>
        </w:rPr>
        <w:t xml:space="preserve">Verwekkers</w:t>
      </w:r>
      <w:r>
        <w:t xml:space="preserve">: Streptococcus pyogenes (GABHS, groep A), EBV (mononucleosis), adenovirus</w:t>
      </w:r>
    </w:p>
    <w:p>
      <w:pPr>
        <w:pStyle w:val="BodyText"/>
      </w:pPr>
      <w:r>
        <w:rPr>
          <w:bCs/>
          <w:b/>
        </w:rPr>
        <w:t xml:space="preserve">Centor/McIsaac-score</w:t>
      </w:r>
      <w:r>
        <w:t xml:space="preserve"> </w:t>
      </w:r>
      <w:r>
        <w:t xml:space="preserve">(voor indicatie antibiotica bij acute keelpijn):</w:t>
      </w:r>
      <w:r>
        <w:t xml:space="preserve"> </w:t>
      </w:r>
      <w:r>
        <w:t xml:space="preserve">- Exsudaat op tonsillen (+1)</w:t>
      </w:r>
      <w:r>
        <w:t xml:space="preserve"> </w:t>
      </w:r>
      <w:r>
        <w:t xml:space="preserve">- Gevoelige anterieure cervicale lymfeklieren (+1)</w:t>
      </w:r>
      <w:r>
        <w:t xml:space="preserve"> </w:t>
      </w:r>
      <w:r>
        <w:t xml:space="preserve">- Koorts &gt;38°C (+1)</w:t>
      </w:r>
      <w:r>
        <w:t xml:space="preserve"> </w:t>
      </w:r>
      <w:r>
        <w:t xml:space="preserve">- Geen hoest (+1)</w:t>
      </w:r>
      <w:r>
        <w:t xml:space="preserve"> </w:t>
      </w:r>
      <w:r>
        <w:t xml:space="preserve">- Leeftijd 3–14 jaar (+1), 15–44 jaar (0), ≥45 jaar (-1)</w:t>
      </w:r>
      <w:r>
        <w:t xml:space="preserve"> </w:t>
      </w:r>
      <w:r>
        <w:t xml:space="preserve">- Score ≥4: direct antibiotica; score 2–3: kweek/sneltest; score 0–1: geen antibiotica</w:t>
      </w:r>
    </w:p>
    <w:p>
      <w:pPr>
        <w:pStyle w:val="BodyText"/>
      </w:pPr>
      <w:r>
        <w:rPr>
          <w:bCs/>
          <w:b/>
        </w:rPr>
        <w:t xml:space="preserve">Antibiotica</w:t>
      </w:r>
      <w:r>
        <w:t xml:space="preserve">: fenoxymethylpenicilline (penicilline V) 10 dagen; bij mononucleosis:</w:t>
      </w:r>
      <w:r>
        <w:t xml:space="preserve"> </w:t>
      </w:r>
      <w:r>
        <w:rPr>
          <w:bCs/>
          <w:b/>
        </w:rPr>
        <w:t xml:space="preserve">geen amoxicilline</w:t>
      </w:r>
      <w:r>
        <w:t xml:space="preserve"> </w:t>
      </w:r>
      <w:r>
        <w:t xml:space="preserve">(exantheem!); erythromycine/azithromycine bij allergie.</w:t>
      </w:r>
    </w:p>
    <w:bookmarkEnd w:id="192"/>
    <w:bookmarkStart w:id="193" w:name="X71b58228b4b576206c907adc1a9f81d9fcc99d8"/>
    <w:p>
      <w:pPr>
        <w:pStyle w:val="Heading3"/>
      </w:pPr>
      <w:r>
        <w:t xml:space="preserve">Recidiverende tonsillitis — tonsillectomie-indicaties (Paradise criteria)</w:t>
      </w:r>
    </w:p>
    <w:p>
      <w:pPr>
        <w:numPr>
          <w:ilvl w:val="0"/>
          <w:numId w:val="1113"/>
        </w:numPr>
        <w:pStyle w:val="Compact"/>
      </w:pPr>
      <w:r>
        <w:t xml:space="preserve">≥7 episoden in afgelopen jaar,</w:t>
      </w:r>
      <w:r>
        <w:t xml:space="preserve"> </w:t>
      </w:r>
      <w:r>
        <w:rPr>
          <w:bCs/>
          <w:b/>
        </w:rPr>
        <w:t xml:space="preserve">OF</w:t>
      </w:r>
    </w:p>
    <w:p>
      <w:pPr>
        <w:numPr>
          <w:ilvl w:val="0"/>
          <w:numId w:val="1113"/>
        </w:numPr>
        <w:pStyle w:val="Compact"/>
      </w:pPr>
      <w:r>
        <w:t xml:space="preserve">≥5 episoden per jaar in de afgelopen 2 jaar,</w:t>
      </w:r>
      <w:r>
        <w:t xml:space="preserve"> </w:t>
      </w:r>
      <w:r>
        <w:rPr>
          <w:bCs/>
          <w:b/>
        </w:rPr>
        <w:t xml:space="preserve">OF</w:t>
      </w:r>
    </w:p>
    <w:p>
      <w:pPr>
        <w:numPr>
          <w:ilvl w:val="0"/>
          <w:numId w:val="1113"/>
        </w:numPr>
        <w:pStyle w:val="Compact"/>
      </w:pPr>
      <w:r>
        <w:t xml:space="preserve">≥3 episoden per jaar in de afgelopen 3 jaar</w:t>
      </w:r>
    </w:p>
    <w:p>
      <w:pPr>
        <w:numPr>
          <w:ilvl w:val="0"/>
          <w:numId w:val="1113"/>
        </w:numPr>
        <w:pStyle w:val="Compact"/>
      </w:pPr>
      <w:r>
        <w:t xml:space="preserve">Episoden moeten klinisch gedocumenteerd zijn (koorts, exsudaat, adenopathie, positieve kweek)</w:t>
      </w:r>
    </w:p>
    <w:bookmarkEnd w:id="193"/>
    <w:bookmarkStart w:id="194" w:name="peritonsillair-abces-pta"/>
    <w:p>
      <w:pPr>
        <w:pStyle w:val="Heading3"/>
      </w:pPr>
      <w:r>
        <w:t xml:space="preserve">Peritonsillair abces (PTA)</w:t>
      </w:r>
    </w:p>
    <w:p>
      <w:pPr>
        <w:pStyle w:val="FirstParagraph"/>
      </w:pPr>
      <w:r>
        <w:rPr>
          <w:bCs/>
          <w:b/>
        </w:rPr>
        <w:t xml:space="preserve">Kliniek</w:t>
      </w:r>
      <w:r>
        <w:t xml:space="preserve">: unilaterale keelopening, uvula gedeveerd naar contralateraal, hot-potato-voice, trismus, ptyalisme.</w:t>
      </w:r>
    </w:p>
    <w:p>
      <w:pPr>
        <w:pStyle w:val="BodyText"/>
      </w:pPr>
      <w:r>
        <w:rPr>
          <w:bCs/>
          <w:b/>
        </w:rPr>
        <w:t xml:space="preserve">Behandeling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Punctie-aspiratie</w:t>
      </w:r>
      <w:r>
        <w:t xml:space="preserve"> </w:t>
      </w:r>
      <w:r>
        <w:t xml:space="preserve">(diagnostisch en therapeutisch): eenvoudig, herhaalbaar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Incisie en drainage</w:t>
      </w:r>
      <w:r>
        <w:t xml:space="preserve">: definitiever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IV antibiotica</w:t>
      </w:r>
      <w:r>
        <w:t xml:space="preserve">: benzylpenicilline (of amoxicilline-clavulanaat) IV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Tonsillectomie à chaud</w:t>
      </w:r>
      <w:r>
        <w:t xml:space="preserve">: bij recidief-PTA, falen drainage, sepsis; controversieel vs. interval-tonsillectomie</w:t>
      </w:r>
    </w:p>
    <w:p>
      <w:pPr>
        <w:pStyle w:val="BodyText"/>
      </w:pPr>
      <w:r>
        <w:t xml:space="preserve">Recidiefkans PTA na conservatieve behandeling: ~10–15%.</w:t>
      </w:r>
    </w:p>
    <w:bookmarkEnd w:id="194"/>
    <w:bookmarkStart w:id="195" w:name="pfapa-syndroom"/>
    <w:p>
      <w:pPr>
        <w:pStyle w:val="Heading3"/>
      </w:pPr>
      <w:r>
        <w:t xml:space="preserve">PFAPA-syndroom</w:t>
      </w:r>
    </w:p>
    <w:p>
      <w:pPr>
        <w:pStyle w:val="FirstParagraph"/>
      </w:pPr>
      <w:r>
        <w:rPr>
          <w:bCs/>
          <w:b/>
        </w:rPr>
        <w:t xml:space="preserve">Periodic Fever, Aphthous stomatitis, Pharyngitis, Adenitis</w:t>
      </w:r>
    </w:p>
    <w:p>
      <w:pPr>
        <w:numPr>
          <w:ilvl w:val="0"/>
          <w:numId w:val="1114"/>
        </w:numPr>
        <w:pStyle w:val="Compact"/>
      </w:pPr>
      <w:r>
        <w:t xml:space="preserve">Periodiek koorts elke 3–8 weken (zeer regelmatig!)</w:t>
      </w:r>
    </w:p>
    <w:p>
      <w:pPr>
        <w:numPr>
          <w:ilvl w:val="0"/>
          <w:numId w:val="1114"/>
        </w:numPr>
        <w:pStyle w:val="Compact"/>
      </w:pPr>
      <w:r>
        <w:t xml:space="preserve">Volledig herstel tussen episodes</w:t>
      </w:r>
    </w:p>
    <w:p>
      <w:pPr>
        <w:numPr>
          <w:ilvl w:val="0"/>
          <w:numId w:val="1114"/>
        </w:numPr>
        <w:pStyle w:val="Compact"/>
      </w:pPr>
      <w:r>
        <w:t xml:space="preserve">Geen infectieuze verwekker gevonden</w:t>
      </w:r>
    </w:p>
    <w:p>
      <w:pPr>
        <w:numPr>
          <w:ilvl w:val="0"/>
          <w:numId w:val="1114"/>
        </w:numPr>
        <w:pStyle w:val="Compact"/>
      </w:pPr>
      <w:r>
        <w:t xml:space="preserve">Kinderen 2–5 jaar; normale groei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Behandeling</w:t>
      </w:r>
      <w:r>
        <w:t xml:space="preserve">: corticosteroïden (prednison 1–2 mg/kg) abortief effect;</w:t>
      </w:r>
      <w:r>
        <w:t xml:space="preserve"> </w:t>
      </w:r>
      <w:r>
        <w:rPr>
          <w:bCs/>
          <w:b/>
        </w:rPr>
        <w:t xml:space="preserve">tonsillectomie</w:t>
      </w:r>
      <w:r>
        <w:t xml:space="preserve">: curatief bij meerderheid (90%)</w:t>
      </w:r>
    </w:p>
    <w:p>
      <w:pPr>
        <w:numPr>
          <w:ilvl w:val="0"/>
          <w:numId w:val="1114"/>
        </w:numPr>
        <w:pStyle w:val="Compact"/>
      </w:pPr>
      <w:r>
        <w:t xml:space="preserve">DD: FMF (familiaire mediterrane koorts), HIDS, TRAPS</w:t>
      </w:r>
    </w:p>
    <w:bookmarkEnd w:id="195"/>
    <w:bookmarkStart w:id="196" w:name="adenoïd-adenoïdectomie"/>
    <w:p>
      <w:pPr>
        <w:pStyle w:val="Heading3"/>
      </w:pPr>
      <w:r>
        <w:t xml:space="preserve">Adenoïd &amp; adenoïdectomie</w:t>
      </w:r>
    </w:p>
    <w:p>
      <w:pPr>
        <w:pStyle w:val="FirstParagraph"/>
      </w:pPr>
      <w:r>
        <w:rPr>
          <w:bCs/>
          <w:b/>
        </w:rPr>
        <w:t xml:space="preserve">Indicaties adenoïdectomie:</w:t>
      </w:r>
      <w:r>
        <w:t xml:space="preserve"> </w:t>
      </w:r>
      <w:r>
        <w:t xml:space="preserve">- Nasale obstructie/persistente neusblokkade door adenoïdhypertrofie</w:t>
      </w:r>
      <w:r>
        <w:t xml:space="preserve"> </w:t>
      </w:r>
      <w:r>
        <w:t xml:space="preserve">- Tubaire dysfunctie: OME bij adenoïdhypertrofie (adenoïdectomie + buisjes effectiever dan buisjes alleen)</w:t>
      </w:r>
      <w:r>
        <w:t xml:space="preserve"> </w:t>
      </w:r>
      <w:r>
        <w:t xml:space="preserve">- Recidiverende AOM (combinatie met buisjes)</w:t>
      </w:r>
      <w:r>
        <w:t xml:space="preserve"> </w:t>
      </w:r>
      <w:r>
        <w:t xml:space="preserve">- Slaapverstoord ademen/OSA</w:t>
      </w:r>
    </w:p>
    <w:p>
      <w:pPr>
        <w:pStyle w:val="BodyText"/>
      </w:pPr>
      <w:r>
        <w:rPr>
          <w:bCs/>
          <w:b/>
        </w:rPr>
        <w:t xml:space="preserve">Adenotonsillectomie</w:t>
      </w:r>
      <w:r>
        <w:t xml:space="preserve">: gecombineerde ingreep bij OSA, tonsilhypertrofie + adenoïdhypertrofie.</w:t>
      </w:r>
    </w:p>
    <w:bookmarkEnd w:id="196"/>
    <w:bookmarkStart w:id="197" w:name="tonsillectomie-technieken"/>
    <w:p>
      <w:pPr>
        <w:pStyle w:val="Heading3"/>
      </w:pPr>
      <w:r>
        <w:t xml:space="preserve">Tonsillectomie — 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Koude dissectie (cold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Klassiek; volledig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Lage bloedingskans intra-operatief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Elektrocoagulatie/bipolaire diathermie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Warmte; coagulatie vaatjes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Meer postoperatieve pijn?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Coblatie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Radiofrequentie in zoutoplossing; laag thermisch letsel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Minder pijn; goed resultaat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Tonsillotomie</w:t>
            </w:r>
            <w:r>
              <w:t xml:space="preserve"> </w:t>
            </w:r>
            <w:r>
              <w:t xml:space="preserve">(intracapsulaire tonsillectomie)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Partiële verwijdering; capsule intact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Minder pijn, minder bloedingsrisico; recidief tonsillitis mogelijk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Complicaties tonsillectomie: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Primaire nabloeding</w:t>
      </w:r>
      <w:r>
        <w:t xml:space="preserve"> </w:t>
      </w:r>
      <w:r>
        <w:t xml:space="preserve">(&lt;24 uur): intra-operatief; zeldzaam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Secundaire nabloeding</w:t>
      </w:r>
      <w:r>
        <w:t xml:space="preserve"> </w:t>
      </w:r>
      <w:r>
        <w:t xml:space="preserve">(dag 5–10): meest frequent; door loslaten van stollingskorst; behandeling: revisie onder narcose bij aanhoudend bloeden</w:t>
      </w:r>
      <w:r>
        <w:t xml:space="preserve"> </w:t>
      </w:r>
      <w:r>
        <w:t xml:space="preserve">- Totale bloedingskans: 0,5–5%</w:t>
      </w:r>
      <w:r>
        <w:t xml:space="preserve"> </w:t>
      </w:r>
      <w:r>
        <w:t xml:space="preserve">- Pijn (ernstig, 1–2 weken), dehydratie, aspiratiepneumonie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End w:id="199"/>
    <w:bookmarkStart w:id="226" w:name="hoofd-halschirurgie"/>
    <w:p>
      <w:pPr>
        <w:pStyle w:val="Heading1"/>
      </w:pPr>
      <w:r>
        <w:t xml:space="preserve">HOOFD-HALSCHIRURGIE</w:t>
      </w:r>
    </w:p>
    <w:p>
      <w:r>
        <w:pict>
          <v:rect style="width:0;height:1.5pt" o:hralign="center" o:hrstd="t" o:hr="t"/>
        </w:pict>
      </w:r>
    </w:p>
    <w:bookmarkStart w:id="206" w:name="hoofd-halsparagangliomen-hhpgl"/>
    <w:p>
      <w:pPr>
        <w:pStyle w:val="Heading2"/>
      </w:pPr>
      <w:r>
        <w:t xml:space="preserve">28. Hoofd-/halsparagangliomen (HHPGL)</w:t>
      </w:r>
    </w:p>
    <w:bookmarkStart w:id="200" w:name="definitie-lokalisatie"/>
    <w:p>
      <w:pPr>
        <w:pStyle w:val="Heading3"/>
      </w:pPr>
      <w:r>
        <w:t xml:space="preserve">Definitie &amp; lokalisatie</w:t>
      </w:r>
    </w:p>
    <w:p>
      <w:pPr>
        <w:pStyle w:val="FirstParagraph"/>
      </w:pPr>
      <w:r>
        <w:t xml:space="preserve">Benigne (meestal) neuroendocriene tumoren afkomstig van paraganglionair weefsel van het autonome zenuwstelsel.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01"/>
        <w:gridCol w:w="1900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Lokalisatie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Zenuw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Carotisbifurcatie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Carotislichaamsparanglioom (CBT)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IX,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Jugulare foramen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Glomus jugulare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IX, X, XI (jugulare foramen syndroom)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N. vagus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Glomus vagale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Middenoor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Glomus tympanicum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Jacobson’s zenuw (N. IX)</w:t>
            </w:r>
          </w:p>
        </w:tc>
      </w:tr>
    </w:tbl>
    <w:bookmarkEnd w:id="200"/>
    <w:bookmarkStart w:id="201" w:name="classificaties"/>
    <w:p>
      <w:pPr>
        <w:pStyle w:val="Heading3"/>
      </w:pPr>
      <w:r>
        <w:t xml:space="preserve">Classificaties</w:t>
      </w:r>
    </w:p>
    <w:p>
      <w:pPr>
        <w:pStyle w:val="FirstParagraph"/>
      </w:pPr>
      <w:r>
        <w:rPr>
          <w:bCs/>
          <w:b/>
        </w:rPr>
        <w:t xml:space="preserve">Shamblin-classificatie (CBT):</w:t>
      </w:r>
      <w:r>
        <w:t xml:space="preserve"> </w:t>
      </w:r>
      <w:r>
        <w:t xml:space="preserve">- Type I: vrij van carotis, eenvoudig te reseceren</w:t>
      </w:r>
      <w:r>
        <w:t xml:space="preserve"> </w:t>
      </w:r>
      <w:r>
        <w:t xml:space="preserve">- Type II: gedeeltelijk omvat; matige dissectie</w:t>
      </w:r>
      <w:r>
        <w:t xml:space="preserve"> </w:t>
      </w:r>
      <w:r>
        <w:t xml:space="preserve">- Type III: omgeeft carotis volledig; hoge morbiditeit</w:t>
      </w:r>
    </w:p>
    <w:p>
      <w:pPr>
        <w:pStyle w:val="BodyText"/>
      </w:pPr>
      <w:r>
        <w:rPr>
          <w:bCs/>
          <w:b/>
        </w:rPr>
        <w:t xml:space="preserve">Fisch-classificatie (glomus jugulare/tympanicum):</w:t>
      </w:r>
      <w:r>
        <w:t xml:space="preserve"> </w:t>
      </w:r>
      <w:r>
        <w:t xml:space="preserve">- Type A: tympanicum, beperkt tot middenoor</w:t>
      </w:r>
      <w:r>
        <w:t xml:space="preserve"> </w:t>
      </w:r>
      <w:r>
        <w:t xml:space="preserve">- Type B: tympanomastoidaal, geen destructie</w:t>
      </w:r>
      <w:r>
        <w:t xml:space="preserve"> </w:t>
      </w:r>
      <w:r>
        <w:t xml:space="preserve">- Type C1–4: infralabyrinthair, uitbreiding schedelbasis</w:t>
      </w:r>
      <w:r>
        <w:t xml:space="preserve"> </w:t>
      </w:r>
      <w:r>
        <w:t xml:space="preserve">- Type D1–2: intracraniële uitbreiding</w:t>
      </w:r>
    </w:p>
    <w:bookmarkEnd w:id="201"/>
    <w:bookmarkStart w:id="202" w:name="genetica-belangrijk"/>
    <w:p>
      <w:pPr>
        <w:pStyle w:val="Heading3"/>
      </w:pPr>
      <w:r>
        <w:t xml:space="preserve">Genetica (belangrijk!)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30–40% hereditair</w:t>
      </w:r>
      <w:r>
        <w:t xml:space="preserve">: autosomaaldominant</w:t>
      </w:r>
    </w:p>
    <w:p>
      <w:pPr>
        <w:numPr>
          <w:ilvl w:val="0"/>
          <w:numId w:val="1115"/>
        </w:numPr>
        <w:pStyle w:val="Compact"/>
      </w:pPr>
      <w:r>
        <w:t xml:space="preserve">Genen:</w:t>
      </w:r>
      <w:r>
        <w:t xml:space="preserve"> </w:t>
      </w:r>
      <w:r>
        <w:rPr>
          <w:bCs/>
          <w:b/>
        </w:rPr>
        <w:t xml:space="preserve">SDHB, SDHC, SDHD</w:t>
      </w:r>
      <w:r>
        <w:t xml:space="preserve"> </w:t>
      </w:r>
      <w:r>
        <w:t xml:space="preserve">(succinate dehydrogenase), SDHA, TMEM127, MAX, RET (MEN2), VHL, NF1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SDHB</w:t>
      </w:r>
      <w:r>
        <w:t xml:space="preserve">: verhoogd maligniteitsrisico (~40%), extracranieel (bijnier, abdominaal)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SDHD</w:t>
      </w:r>
      <w:r>
        <w:t xml:space="preserve">: multipele tumoren, parasympathetisch, paternale overerving (imprinting)</w:t>
      </w:r>
    </w:p>
    <w:p>
      <w:pPr>
        <w:numPr>
          <w:ilvl w:val="0"/>
          <w:numId w:val="1115"/>
        </w:numPr>
        <w:pStyle w:val="Compact"/>
      </w:pPr>
      <w:r>
        <w:t xml:space="preserve">Genetische counseling en familiescreening bij alle patiënten &lt;60 jaar of bij multipele/bilaterale tumoren</w:t>
      </w:r>
    </w:p>
    <w:bookmarkEnd w:id="202"/>
    <w:bookmarkStart w:id="203" w:name="diagnostiek-13"/>
    <w:p>
      <w:pPr>
        <w:pStyle w:val="Heading3"/>
      </w:pPr>
      <w:r>
        <w:t xml:space="preserve">Diagnostiek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MRI</w:t>
      </w:r>
      <w:r>
        <w:t xml:space="preserve">:</w:t>
      </w:r>
      <w:r>
        <w:t xml:space="preserve"> </w:t>
      </w:r>
      <w:r>
        <w:t xml:space="preserve">“</w:t>
      </w:r>
      <w:r>
        <w:t xml:space="preserve">salt-and-pepper</w:t>
      </w:r>
      <w:r>
        <w:t xml:space="preserve">”</w:t>
      </w:r>
      <w:r>
        <w:t xml:space="preserve"> </w:t>
      </w:r>
      <w:r>
        <w:t xml:space="preserve">aspect (flow voids in stroma); beste anatomische informatie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CT</w:t>
      </w:r>
      <w:r>
        <w:t xml:space="preserve">: botdestructie, uitbreiding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⁶⁸Ga-DOTATATE PET-CT</w:t>
      </w:r>
      <w:r>
        <w:t xml:space="preserve">: meest sensitief voor totaal-lichaamsstaging; somatostatine-receptor imaging; ook voor follow-up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¹²³I-MIBG</w:t>
      </w:r>
      <w:r>
        <w:t xml:space="preserve">: alternatief, minder sensitief voor HH paragangliomen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Catecholamines</w:t>
      </w:r>
      <w:r>
        <w:t xml:space="preserve">: plasma-metanefrinen/normetanefrinen of 24-uurs urine (bij verdenking secreterend paraganglioom/feochromocytoom, &lt;5% van HHPGL secreteert)</w:t>
      </w:r>
    </w:p>
    <w:p>
      <w:pPr>
        <w:numPr>
          <w:ilvl w:val="0"/>
          <w:numId w:val="1116"/>
        </w:numPr>
        <w:pStyle w:val="Compact"/>
      </w:pPr>
      <w:r>
        <w:t xml:space="preserve">Audiogram, spraakaudiogram</w:t>
      </w:r>
    </w:p>
    <w:bookmarkEnd w:id="203"/>
    <w:bookmarkStart w:id="204" w:name="behandeling-9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50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Lokalisatie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 voorkeur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Chirurgie (voorkeur); pre-operatieve embolisatie bij Shamblin II–III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Glomus tympanicum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Chirurgie; transmastoidale of transcanale benadering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Glomus jugulare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Wait-and-scan (ouderen, comorbiditeit, kleine tumor); stereotactische radiochirurgie (Gamma Knife); chirurgie (Fisch type C/D: craniofaciale benadering)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Glomus vagale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Wait-and-scan of radiochirurgie (vanwege N.X-risico)</w:t>
            </w:r>
          </w:p>
        </w:tc>
      </w:tr>
    </w:tbl>
    <w:p>
      <w:pPr>
        <w:pStyle w:val="BodyText"/>
      </w:pPr>
      <w:r>
        <w:rPr>
          <w:bCs/>
          <w:b/>
        </w:rPr>
        <w:t xml:space="preserve">Multidisciplinair</w:t>
      </w:r>
      <w:r>
        <w:t xml:space="preserve">: KNO, neurochirurgie, vaatchirurgie, nucleaire geneeskunde, genetica.</w:t>
      </w:r>
    </w:p>
    <w:bookmarkEnd w:id="204"/>
    <w:bookmarkStart w:id="205" w:name="complicaties-chirurgie"/>
    <w:p>
      <w:pPr>
        <w:pStyle w:val="Heading3"/>
      </w:pPr>
      <w:r>
        <w:t xml:space="preserve">Complicaties chirurgie</w:t>
      </w:r>
    </w:p>
    <w:p>
      <w:pPr>
        <w:numPr>
          <w:ilvl w:val="0"/>
          <w:numId w:val="1117"/>
        </w:numPr>
        <w:pStyle w:val="Compact"/>
      </w:pPr>
      <w:r>
        <w:t xml:space="preserve">Craniale zenuwuitval (N. VII, IX, X, XI, XII)</w:t>
      </w:r>
    </w:p>
    <w:p>
      <w:pPr>
        <w:numPr>
          <w:ilvl w:val="0"/>
          <w:numId w:val="1117"/>
        </w:numPr>
        <w:pStyle w:val="Compact"/>
      </w:pPr>
      <w:r>
        <w:t xml:space="preserve">Carotis-beschadiging, CVA</w:t>
      </w:r>
    </w:p>
    <w:p>
      <w:pPr>
        <w:numPr>
          <w:ilvl w:val="0"/>
          <w:numId w:val="1117"/>
        </w:numPr>
        <w:pStyle w:val="Compact"/>
      </w:pPr>
      <w:r>
        <w:t xml:space="preserve">CSF-lekkage (bij intracraniële uitbreiding)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14" w:name="hoofd-halstumoren"/>
    <w:p>
      <w:pPr>
        <w:pStyle w:val="Heading2"/>
      </w:pPr>
      <w:r>
        <w:t xml:space="preserve">29. Hoofd-halstumoren</w:t>
      </w:r>
    </w:p>
    <w:bookmarkStart w:id="207" w:name="algemeen"/>
    <w:p>
      <w:pPr>
        <w:pStyle w:val="Heading3"/>
      </w:pPr>
      <w:r>
        <w:t xml:space="preserve">Algemeen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Multidisciplinaire behandeling</w:t>
      </w:r>
      <w:r>
        <w:t xml:space="preserve">: MDO verplicht (KNO, radiotherapeut, medisch oncoloog, plastisch chirurg, radioloog, patholoog, logopedist, diëtist)</w:t>
      </w:r>
    </w:p>
    <w:p>
      <w:pPr>
        <w:numPr>
          <w:ilvl w:val="0"/>
          <w:numId w:val="1118"/>
        </w:numPr>
        <w:pStyle w:val="Compact"/>
      </w:pPr>
      <w:r>
        <w:t xml:space="preserve">Staging:</w:t>
      </w:r>
      <w:r>
        <w:t xml:space="preserve"> </w:t>
      </w:r>
      <w:r>
        <w:rPr>
          <w:bCs/>
          <w:b/>
        </w:rPr>
        <w:t xml:space="preserve">TNM (UICC 8e editie, 2017)</w:t>
      </w:r>
      <w:r>
        <w:t xml:space="preserve"> </w:t>
      </w:r>
      <w:r>
        <w:t xml:space="preserve">— separate staging voor HPV+ orofarynx</w:t>
      </w:r>
    </w:p>
    <w:bookmarkEnd w:id="207"/>
    <w:bookmarkStart w:id="208" w:name="diagnostiek-14"/>
    <w:p>
      <w:pPr>
        <w:pStyle w:val="Heading3"/>
      </w:pPr>
      <w:r>
        <w:t xml:space="preserve">Diagnostiek</w:t>
      </w:r>
    </w:p>
    <w:p>
      <w:pPr>
        <w:numPr>
          <w:ilvl w:val="0"/>
          <w:numId w:val="1119"/>
        </w:numPr>
        <w:pStyle w:val="Compact"/>
      </w:pPr>
      <w:r>
        <w:t xml:space="preserve">Endoscopie met biopten (panendoscopie)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CT hals + thorax + abdomen</w:t>
      </w:r>
      <w:r>
        <w:t xml:space="preserve">: metastasen, longcarcinoom DD, primaire tumor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MRI lokaal</w:t>
      </w:r>
      <w:r>
        <w:t xml:space="preserve">: beter voor weke delen, perinerale invasie, schedelbasis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PET-CT</w:t>
      </w:r>
      <w:r>
        <w:t xml:space="preserve"> </w:t>
      </w:r>
      <w:r>
        <w:t xml:space="preserve">(ⁱ⁸F-FDG): bij N2-3, recidief, onbekende primaire tumor</w:t>
      </w:r>
    </w:p>
    <w:p>
      <w:pPr>
        <w:numPr>
          <w:ilvl w:val="0"/>
          <w:numId w:val="1119"/>
        </w:numPr>
        <w:pStyle w:val="Compact"/>
      </w:pPr>
      <w:r>
        <w:t xml:space="preserve">p16-IHC en HPV-PCR voor orofarynxcarcinoom</w:t>
      </w:r>
    </w:p>
    <w:bookmarkEnd w:id="208"/>
    <w:bookmarkStart w:id="209" w:name="hpv-en-orofarynxcarcinoom"/>
    <w:p>
      <w:pPr>
        <w:pStyle w:val="Heading3"/>
      </w:pPr>
      <w:r>
        <w:t xml:space="preserve">HPV en orofarynxcarcinoom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HPV-positief</w:t>
      </w:r>
      <w:r>
        <w:t xml:space="preserve">: betere prognose (5-jaarsoverleving ~80%), jongere patiënten, minder roken/alcohol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p16</w:t>
      </w:r>
      <w:r>
        <w:t xml:space="preserve"> </w:t>
      </w:r>
      <w:r>
        <w:t xml:space="preserve">(CDKN2A): surrogaatmarker HPV; IHC-positief ≥70% = HPV-positief classificatie</w:t>
      </w:r>
    </w:p>
    <w:p>
      <w:pPr>
        <w:numPr>
          <w:ilvl w:val="0"/>
          <w:numId w:val="1120"/>
        </w:numPr>
        <w:pStyle w:val="Compact"/>
      </w:pPr>
      <w:r>
        <w:t xml:space="preserve">Eigen TNM-classificatie (8e editie): p-staging (HPV+) aparte tabellen</w:t>
      </w:r>
    </w:p>
    <w:bookmarkEnd w:id="209"/>
    <w:bookmarkStart w:id="210" w:name="behandeling-per-tumor-type"/>
    <w:p>
      <w:pPr>
        <w:pStyle w:val="Heading3"/>
      </w:pPr>
      <w:r>
        <w:t xml:space="preserve">Behandeling per tumor-type</w:t>
      </w:r>
    </w:p>
    <w:p>
      <w:pPr>
        <w:pStyle w:val="FirstParagraph"/>
      </w:pPr>
      <w:r>
        <w:rPr>
          <w:bCs/>
          <w:b/>
        </w:rPr>
        <w:t xml:space="preserve">Larynxcarcinoom:</w:t>
      </w:r>
      <w:r>
        <w:t xml:space="preserve"> </w:t>
      </w:r>
      <w:r>
        <w:t xml:space="preserve">| Stadium | Behandeling |</w:t>
      </w:r>
      <w:r>
        <w:t xml:space="preserve"> </w:t>
      </w:r>
      <w:r>
        <w:t xml:space="preserve">|———|————-|</w:t>
      </w:r>
      <w:r>
        <w:t xml:space="preserve"> </w:t>
      </w:r>
      <w:r>
        <w:t xml:space="preserve">| T1–2 N0 |</w:t>
      </w:r>
      <w:r>
        <w:t xml:space="preserve"> </w:t>
      </w:r>
      <w:r>
        <w:rPr>
          <w:bCs/>
          <w:b/>
        </w:rPr>
        <w:t xml:space="preserve">Radiotherapie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transoral laser microsurgery (TLM)</w:t>
      </w:r>
      <w:r>
        <w:t xml:space="preserve"> </w:t>
      </w:r>
      <w:r>
        <w:t xml:space="preserve">|</w:t>
      </w:r>
      <w:r>
        <w:t xml:space="preserve"> </w:t>
      </w:r>
      <w:r>
        <w:t xml:space="preserve">| T3 N0 | RT (larynxbehoud) of laryngectomie |</w:t>
      </w:r>
      <w:r>
        <w:t xml:space="preserve"> </w:t>
      </w:r>
      <w:r>
        <w:t xml:space="preserve">| T4 of N+ | (Chemo)RT of totale laryngectomie + halsklierdissectie |</w:t>
      </w:r>
    </w:p>
    <w:p>
      <w:pPr>
        <w:pStyle w:val="BodyText"/>
      </w:pPr>
      <w:r>
        <w:rPr>
          <w:bCs/>
          <w:b/>
        </w:rPr>
        <w:t xml:space="preserve">Orofarynxcarcinoom:</w:t>
      </w:r>
      <w:r>
        <w:t xml:space="preserve"> </w:t>
      </w:r>
      <w:r>
        <w:t xml:space="preserve">- Vroeg: RT of TLM/TORS</w:t>
      </w:r>
      <w:r>
        <w:t xml:space="preserve"> </w:t>
      </w:r>
      <w:r>
        <w:t xml:space="preserve">- Gevorderd: concomitante chemoradiatie (cisplatine); chirurgie + adjuvante RT bij pathologisch N+</w:t>
      </w:r>
    </w:p>
    <w:p>
      <w:pPr>
        <w:pStyle w:val="BodyText"/>
      </w:pPr>
      <w:r>
        <w:rPr>
          <w:bCs/>
          <w:b/>
        </w:rPr>
        <w:t xml:space="preserve">Mondholtecarcinoom:</w:t>
      </w:r>
      <w:r>
        <w:t xml:space="preserve"> </w:t>
      </w:r>
      <w:r>
        <w:t xml:space="preserve">- Chirurgie (excisie primaire tumor + halsklierdissectie) + adjuvante RT/CRT indien indicatie</w:t>
      </w:r>
      <w:r>
        <w:t xml:space="preserve"> </w:t>
      </w:r>
      <w:r>
        <w:t xml:space="preserve">- SLNB bij cN0 (sentinelklierbiopsie)</w:t>
      </w:r>
    </w:p>
    <w:p>
      <w:pPr>
        <w:pStyle w:val="BodyText"/>
      </w:pPr>
      <w:r>
        <w:rPr>
          <w:bCs/>
          <w:b/>
        </w:rPr>
        <w:t xml:space="preserve">Hypofarynxcarcinoom:</w:t>
      </w:r>
      <w:r>
        <w:t xml:space="preserve"> </w:t>
      </w:r>
      <w:r>
        <w:t xml:space="preserve">- Slechte prognose; concomitante CRT of laryngofaryngectomie + vrije lap</w:t>
      </w:r>
    </w:p>
    <w:bookmarkEnd w:id="210"/>
    <w:bookmarkStart w:id="211" w:name="halsklierdissectie"/>
    <w:p>
      <w:pPr>
        <w:pStyle w:val="Heading3"/>
      </w:pPr>
      <w:r>
        <w:t xml:space="preserve">Halsklierdissectie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2534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Selectieve HKD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Bijv. levels I–III, II–IV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Electief bij cN0 hoog-risico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Radicale/modified radicale HKD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 I–V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Uitgebreide HKD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extra structuren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invasie vaat/zenuw/huid</w:t>
            </w:r>
          </w:p>
        </w:tc>
      </w:tr>
    </w:tbl>
    <w:p>
      <w:pPr>
        <w:pStyle w:val="BodyText"/>
      </w:pPr>
      <w:r>
        <w:rPr>
          <w:bCs/>
          <w:b/>
        </w:rPr>
        <w:t xml:space="preserve">Levels</w:t>
      </w:r>
      <w:r>
        <w:t xml:space="preserve">: I (submentaal+submandibularis), II (bovenste jugulaire), III (middelste jugulaire), IV (onderste jugulaire), V (posterieur driehoek), VI (centraal compartiment)</w:t>
      </w:r>
    </w:p>
    <w:bookmarkEnd w:id="211"/>
    <w:bookmarkStart w:id="212" w:name="reconstructie"/>
    <w:p>
      <w:pPr>
        <w:pStyle w:val="Heading3"/>
      </w:pPr>
      <w:r>
        <w:t xml:space="preserve">Reconstructie</w:t>
      </w:r>
    </w:p>
    <w:p>
      <w:pPr>
        <w:numPr>
          <w:ilvl w:val="0"/>
          <w:numId w:val="1121"/>
        </w:numPr>
        <w:pStyle w:val="Compact"/>
      </w:pPr>
      <w:r>
        <w:t xml:space="preserve">Vrije lapplastieken:</w:t>
      </w:r>
      <w:r>
        <w:t xml:space="preserve"> </w:t>
      </w:r>
      <w:r>
        <w:rPr>
          <w:bCs/>
          <w:b/>
        </w:rPr>
        <w:t xml:space="preserve">ALT-lap</w:t>
      </w:r>
      <w:r>
        <w:t xml:space="preserve"> </w:t>
      </w:r>
      <w:r>
        <w:t xml:space="preserve">(anterolateral thigh),</w:t>
      </w:r>
      <w:r>
        <w:t xml:space="preserve"> </w:t>
      </w:r>
      <w:r>
        <w:rPr>
          <w:bCs/>
          <w:b/>
        </w:rPr>
        <w:t xml:space="preserve">radiale onderarmlap</w:t>
      </w:r>
      <w:r>
        <w:t xml:space="preserve"> </w:t>
      </w:r>
      <w:r>
        <w:t xml:space="preserve">(dunne mucosa),</w:t>
      </w:r>
      <w:r>
        <w:t xml:space="preserve"> </w:t>
      </w:r>
      <w:r>
        <w:rPr>
          <w:bCs/>
          <w:b/>
        </w:rPr>
        <w:t xml:space="preserve">fibulaflap</w:t>
      </w:r>
      <w:r>
        <w:t xml:space="preserve"> </w:t>
      </w:r>
      <w:r>
        <w:t xml:space="preserve">(mandibulareconstruktie)</w:t>
      </w:r>
    </w:p>
    <w:p>
      <w:pPr>
        <w:numPr>
          <w:ilvl w:val="0"/>
          <w:numId w:val="1121"/>
        </w:numPr>
        <w:pStyle w:val="Compact"/>
      </w:pPr>
      <w:r>
        <w:t xml:space="preserve">Regionale lappen: pectoralis major</w:t>
      </w:r>
    </w:p>
    <w:bookmarkEnd w:id="212"/>
    <w:bookmarkStart w:id="213" w:name="sentinelklierbiopsie-slnb"/>
    <w:p>
      <w:pPr>
        <w:pStyle w:val="Heading3"/>
      </w:pPr>
      <w:r>
        <w:t xml:space="preserve">Sentinelklierbiopsie (SLNB)</w:t>
      </w:r>
    </w:p>
    <w:p>
      <w:pPr>
        <w:numPr>
          <w:ilvl w:val="0"/>
          <w:numId w:val="1122"/>
        </w:numPr>
        <w:pStyle w:val="Compact"/>
      </w:pPr>
      <w:r>
        <w:t xml:space="preserve">Indicatie: cN0 mondholte en orofarynxcarcinoom T1–T2</w:t>
      </w:r>
    </w:p>
    <w:p>
      <w:pPr>
        <w:numPr>
          <w:ilvl w:val="0"/>
          <w:numId w:val="1122"/>
        </w:numPr>
        <w:pStyle w:val="Compact"/>
      </w:pPr>
      <w:r>
        <w:t xml:space="preserve">Blauwe kleurstof + radioactief colloïd</w:t>
      </w:r>
    </w:p>
    <w:p>
      <w:pPr>
        <w:numPr>
          <w:ilvl w:val="0"/>
          <w:numId w:val="1122"/>
        </w:numPr>
        <w:pStyle w:val="Compact"/>
      </w:pPr>
      <w:r>
        <w:t xml:space="preserve">Pathologie: H&amp;E + IHC seriële coupes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20" w:name="leidraad-benigne-speekselkliertumoren"/>
    <w:p>
      <w:pPr>
        <w:pStyle w:val="Heading2"/>
      </w:pPr>
      <w:r>
        <w:t xml:space="preserve">30. Leidraad Benigne Speekselkliertumoren</w:t>
      </w:r>
    </w:p>
    <w:bookmarkStart w:id="215" w:name="epidemiologie-1"/>
    <w:p>
      <w:pPr>
        <w:pStyle w:val="Heading3"/>
      </w:pPr>
      <w:r>
        <w:t xml:space="preserve">Epidemiologie</w:t>
      </w:r>
    </w:p>
    <w:p>
      <w:pPr>
        <w:numPr>
          <w:ilvl w:val="0"/>
          <w:numId w:val="1123"/>
        </w:numPr>
        <w:pStyle w:val="Compact"/>
      </w:pPr>
      <w:r>
        <w:t xml:space="preserve">80% van speekselkliertumoren in</w:t>
      </w:r>
      <w:r>
        <w:t xml:space="preserve"> </w:t>
      </w:r>
      <w:r>
        <w:rPr>
          <w:bCs/>
          <w:b/>
        </w:rPr>
        <w:t xml:space="preserve">glandula parotis</w:t>
      </w:r>
    </w:p>
    <w:p>
      <w:pPr>
        <w:numPr>
          <w:ilvl w:val="0"/>
          <w:numId w:val="1123"/>
        </w:numPr>
        <w:pStyle w:val="Compact"/>
      </w:pPr>
      <w:r>
        <w:t xml:space="preserve">80% van parotistumoren is</w:t>
      </w:r>
      <w:r>
        <w:t xml:space="preserve"> </w:t>
      </w:r>
      <w:r>
        <w:rPr>
          <w:bCs/>
          <w:b/>
        </w:rPr>
        <w:t xml:space="preserve">benigne</w:t>
      </w:r>
    </w:p>
    <w:p>
      <w:pPr>
        <w:numPr>
          <w:ilvl w:val="0"/>
          <w:numId w:val="1123"/>
        </w:numPr>
        <w:pStyle w:val="Compact"/>
      </w:pPr>
      <w:r>
        <w:t xml:space="preserve">Meest frequent benigne:</w:t>
      </w:r>
      <w:r>
        <w:t xml:space="preserve"> </w:t>
      </w:r>
      <w:r>
        <w:rPr>
          <w:bCs/>
          <w:b/>
        </w:rPr>
        <w:t xml:space="preserve">pleomorf adenoom</w:t>
      </w:r>
      <w:r>
        <w:t xml:space="preserve"> </w:t>
      </w:r>
      <w:r>
        <w:t xml:space="preserve">(PA, 60–70%), Warthin-tumor (adenolymfoom, 10%)</w:t>
      </w:r>
    </w:p>
    <w:bookmarkEnd w:id="215"/>
    <w:bookmarkStart w:id="216" w:name="benigne-tumoren-kenmerken"/>
    <w:p>
      <w:pPr>
        <w:pStyle w:val="Heading3"/>
      </w:pPr>
      <w:r>
        <w:t xml:space="preserve">Benigne tumoren — kenmerken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Pleomorf adenoom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voorkomend; alle leeftijden; langzame groei; risico maligne transformatie (carcinoma ex-PA) bij jarenlang bestaan; onvolledige kapsel → recidief bij onvoldoende marge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Warthin-tumor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Mannen &gt;60 jaar; bilateraal in ~10%; staartparotis; cystisch; rökhisorie; geen maligne potentieel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Basaalcel adenoom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Zeldzaam; goed omschreven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Myoepithelioom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Zeldzaam; solide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Oncocytoom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Zeldzaam; ouderen</w:t>
            </w:r>
          </w:p>
        </w:tc>
      </w:tr>
    </w:tbl>
    <w:bookmarkEnd w:id="216"/>
    <w:bookmarkStart w:id="217" w:name="diagnostiek-15"/>
    <w:p>
      <w:pPr>
        <w:pStyle w:val="Heading3"/>
      </w:pPr>
      <w:r>
        <w:t xml:space="preserve">Diagnostiek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Echografie</w:t>
      </w:r>
      <w:r>
        <w:t xml:space="preserve">: eerste beeldvorming; Doppler; weefselkarakteristiek; FNA-geleiding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MRI</w:t>
      </w:r>
      <w:r>
        <w:t xml:space="preserve">: uitstekend voor anatomische relatie en weefselkarakter (PA: heterogeen, hoog signaal T2)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CT</w:t>
      </w:r>
      <w:r>
        <w:t xml:space="preserve">: bij verdenking maligniteit/botinvasie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FNA (cytologie)</w:t>
      </w:r>
      <w:r>
        <w:t xml:space="preserve">: gevoeligheid ~80–90%; beperkingen bij heterogene PA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Scintigrafie</w:t>
      </w:r>
      <w:r>
        <w:t xml:space="preserve"> </w:t>
      </w:r>
      <w:r>
        <w:t xml:space="preserve">(pertechnetaat): Warthin-tumor: hot spot; overige tumoren: cold spot</w:t>
      </w:r>
    </w:p>
    <w:p>
      <w:pPr>
        <w:numPr>
          <w:ilvl w:val="0"/>
          <w:numId w:val="1124"/>
        </w:numPr>
        <w:pStyle w:val="Compact"/>
      </w:pPr>
      <w:r>
        <w:t xml:space="preserve">Chirurgie is primair diagnostisch én therapeutisch</w:t>
      </w:r>
    </w:p>
    <w:bookmarkEnd w:id="217"/>
    <w:bookmarkStart w:id="218" w:name="behandeling-10"/>
    <w:p>
      <w:pPr>
        <w:pStyle w:val="Heading3"/>
      </w:pPr>
      <w:r>
        <w:t xml:space="preserve">Behandeling</w:t>
      </w:r>
    </w:p>
    <w:p>
      <w:pPr>
        <w:pStyle w:val="FirstParagraph"/>
      </w:pPr>
      <w:r>
        <w:rPr>
          <w:bCs/>
          <w:b/>
        </w:rPr>
        <w:t xml:space="preserve">Parotis: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Oppervlakkige parotidectomie</w:t>
      </w:r>
      <w:r>
        <w:t xml:space="preserve">: lobectomie lateraal van n. facialis; standaard voor PA in staart/oppervlakkige kwab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Totale parotidectomie</w:t>
      </w:r>
      <w:r>
        <w:t xml:space="preserve">: bij diepe kwab betrokkenheid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Extracapsulaire dissectie</w:t>
      </w:r>
      <w:r>
        <w:t xml:space="preserve">: bij kleine goed omschreven tumoren (Warthin); minder morbiditeit</w:t>
      </w:r>
      <w:r>
        <w:t xml:space="preserve"> </w:t>
      </w:r>
      <w:r>
        <w:t xml:space="preserve">- N. facialis identificatie: 3 landmarks:</w:t>
      </w:r>
      <w:r>
        <w:t xml:space="preserve"> </w:t>
      </w:r>
      <w:r>
        <w:rPr>
          <w:bCs/>
          <w:b/>
        </w:rPr>
        <w:t xml:space="preserve">tragal pointer</w:t>
      </w:r>
      <w:r>
        <w:t xml:space="preserve"> </w:t>
      </w:r>
      <w:r>
        <w:t xml:space="preserve">(2 cm dieper en anterieur),</w:t>
      </w:r>
      <w:r>
        <w:t xml:space="preserve"> </w:t>
      </w:r>
      <w:r>
        <w:rPr>
          <w:bCs/>
          <w:b/>
        </w:rPr>
        <w:t xml:space="preserve">mastoid pointer</w:t>
      </w:r>
      <w:r>
        <w:t xml:space="preserve">,</w:t>
      </w:r>
      <w:r>
        <w:t xml:space="preserve"> </w:t>
      </w:r>
      <w:r>
        <w:rPr>
          <w:bCs/>
          <w:b/>
        </w:rPr>
        <w:t xml:space="preserve">digastricus posterior buik</w:t>
      </w:r>
    </w:p>
    <w:p>
      <w:pPr>
        <w:pStyle w:val="BodyText"/>
      </w:pPr>
      <w:r>
        <w:rPr>
          <w:bCs/>
          <w:b/>
        </w:rPr>
        <w:t xml:space="preserve">Glandula submandibularis: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Submandibulaire klierdissectie</w:t>
      </w:r>
      <w:r>
        <w:t xml:space="preserve">: identifceer n. marginalis mandibulae (tak n. VII), n. lingualis, n. hypoglossus</w:t>
      </w:r>
    </w:p>
    <w:p>
      <w:pPr>
        <w:pStyle w:val="BodyText"/>
      </w:pPr>
      <w:r>
        <w:rPr>
          <w:bCs/>
          <w:b/>
        </w:rPr>
        <w:t xml:space="preserve">Glandula sublingualis</w:t>
      </w:r>
      <w:r>
        <w:t xml:space="preserve"> </w:t>
      </w:r>
      <w:r>
        <w:t xml:space="preserve">(zeldzaam): excisie via mondbodemincisie.</w:t>
      </w:r>
    </w:p>
    <w:bookmarkEnd w:id="218"/>
    <w:bookmarkStart w:id="219" w:name="complicaties-parotidectomie"/>
    <w:p>
      <w:pPr>
        <w:pStyle w:val="Heading3"/>
      </w:pPr>
      <w:r>
        <w:t xml:space="preserve">Complicaties parotidectomie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02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Facialis-parese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Tijdelijk: 10–50%; permanent: &lt;2–5%; afhankelijk van techniek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Frey-syndroom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Auriculotemporalis-syndroom; gustatorisch zweten; 30–60%; behandeling: botulinetoxine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Speeksellekkage/fisteling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Conservatief (drukverband); soms botox parotis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Postoperatief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Recidief 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incomplete resectie (spilling); &lt;1–5% bij adequate techniek; multipele noduli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Maligne transformatie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Carcinoma ex-PA: 1–7% bij PA &gt;15 jaar bestaan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5" w:name="Xe614680421913dd02d404c5954044710f208395"/>
    <w:p>
      <w:pPr>
        <w:pStyle w:val="Heading2"/>
      </w:pPr>
      <w:r>
        <w:t xml:space="preserve">31. Nazorg, follow-up en ziekte-specifieke revalidatie bij hoofd-halstumoren</w:t>
      </w:r>
    </w:p>
    <w:bookmarkStart w:id="221" w:name="follow-up-schema-1"/>
    <w:p>
      <w:pPr>
        <w:pStyle w:val="Heading3"/>
      </w:pPr>
      <w:r>
        <w:t xml:space="preserve">Follow-up 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Jaar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 3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Jaar 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 6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 5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Jaarlijks (of stoppen bij laag risico)</w:t>
            </w:r>
          </w:p>
        </w:tc>
      </w:tr>
    </w:tbl>
    <w:bookmarkEnd w:id="221"/>
    <w:bookmarkStart w:id="222" w:name="doelstellingen-follow-up"/>
    <w:p>
      <w:pPr>
        <w:pStyle w:val="Heading3"/>
      </w:pPr>
      <w:r>
        <w:t xml:space="preserve">Doelstellingen follow-up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Vroege detectie locoregionaal recidief of tweede primaire tumor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Detectie afstandsmetastasen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Monitoring en behandeling bijwerkingen therapie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Revalidatie en psychosociale ondersteuning</w:t>
      </w:r>
    </w:p>
    <w:bookmarkEnd w:id="222"/>
    <w:bookmarkStart w:id="223" w:name="revalidatie-per-functie"/>
    <w:p>
      <w:pPr>
        <w:pStyle w:val="Heading3"/>
      </w:pPr>
      <w:r>
        <w:t xml:space="preserve">Revalidatie — per functie</w:t>
      </w:r>
    </w:p>
    <w:p>
      <w:pPr>
        <w:pStyle w:val="FirstParagraph"/>
      </w:pPr>
      <w:r>
        <w:rPr>
          <w:bCs/>
          <w:b/>
        </w:rPr>
        <w:t xml:space="preserve">Slikfunctie:</w:t>
      </w:r>
      <w:r>
        <w:t xml:space="preserve"> </w:t>
      </w:r>
      <w:r>
        <w:t xml:space="preserve">- FEES of videofluoroscopie bij aanwijzingen aspiratie</w:t>
      </w:r>
      <w:r>
        <w:t xml:space="preserve"> </w:t>
      </w:r>
      <w:r>
        <w:t xml:space="preserve">- Logopedie: slikoefeningen, compensatietechnieken, voedselconsistentie (IDDSI)</w:t>
      </w:r>
      <w:r>
        <w:t xml:space="preserve"> </w:t>
      </w:r>
      <w:r>
        <w:t xml:space="preserve">- Sondevoeding (nasogastrisch of PEG) bij onvoldoende inname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Trismus</w:t>
      </w:r>
      <w:r>
        <w:t xml:space="preserve"> </w:t>
      </w:r>
      <w:r>
        <w:t xml:space="preserve">(kaakstijfheid na RT): jaw-opening oefeningen (TheraBite-apparaat); preventieve training vóór RT</w:t>
      </w:r>
    </w:p>
    <w:p>
      <w:pPr>
        <w:pStyle w:val="BodyText"/>
      </w:pPr>
      <w:r>
        <w:rPr>
          <w:bCs/>
          <w:b/>
        </w:rPr>
        <w:t xml:space="preserve">Spraak/stem (na laryngectomie):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Tracheofonatieprothese (TFP)</w:t>
      </w:r>
      <w:r>
        <w:t xml:space="preserve">: meest effectief; shunt tussen trachea en oesofagus (Blom-Singer, Provox)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Oesofagusstem</w:t>
      </w:r>
      <w:r>
        <w:t xml:space="preserve">: lucht-injectie oesofagus; minder gebruikelijk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Elektrolarynx</w:t>
      </w:r>
      <w:r>
        <w:t xml:space="preserve">: trillend apparaat op hals; altijd als backup</w:t>
      </w:r>
    </w:p>
    <w:p>
      <w:pPr>
        <w:pStyle w:val="BodyText"/>
      </w:pPr>
      <w:r>
        <w:rPr>
          <w:bCs/>
          <w:b/>
        </w:rPr>
        <w:t xml:space="preserve">Schouder:</w:t>
      </w:r>
      <w:r>
        <w:t xml:space="preserve"> </w:t>
      </w:r>
      <w:r>
        <w:t xml:space="preserve">- N. accessorius (XI) uitval na HKD: schouderdalig syndroom (pijn, abductiebeperking)</w:t>
      </w:r>
      <w:r>
        <w:t xml:space="preserve"> </w:t>
      </w:r>
      <w:r>
        <w:t xml:space="preserve">- Fysiotherapie: schouderrevalidatie; preventief zo vroeg mogelijk starten</w:t>
      </w:r>
    </w:p>
    <w:p>
      <w:pPr>
        <w:pStyle w:val="BodyText"/>
      </w:pPr>
      <w:r>
        <w:rPr>
          <w:bCs/>
          <w:b/>
        </w:rPr>
        <w:t xml:space="preserve">Lymfoedeem:</w:t>
      </w:r>
      <w:r>
        <w:t xml:space="preserve"> </w:t>
      </w:r>
      <w:r>
        <w:t xml:space="preserve">- Frequente complicatie na RT ± chirurgie</w:t>
      </w:r>
      <w:r>
        <w:t xml:space="preserve"> </w:t>
      </w:r>
      <w:r>
        <w:t xml:space="preserve">- Manuele lymfedrainage, compressietherapie</w:t>
      </w:r>
    </w:p>
    <w:p>
      <w:pPr>
        <w:pStyle w:val="BodyText"/>
      </w:pPr>
      <w:r>
        <w:rPr>
          <w:bCs/>
          <w:b/>
        </w:rPr>
        <w:t xml:space="preserve">Hypothyreoïdie:</w:t>
      </w:r>
      <w:r>
        <w:t xml:space="preserve"> </w:t>
      </w:r>
      <w:r>
        <w:t xml:space="preserve">- Na RT van halsregio of schildklier:</w:t>
      </w:r>
      <w:r>
        <w:t xml:space="preserve"> </w:t>
      </w:r>
      <w:r>
        <w:rPr>
          <w:bCs/>
          <w:b/>
        </w:rPr>
        <w:t xml:space="preserve">TSH-meting jaarlijks</w:t>
      </w:r>
      <w:r>
        <w:t xml:space="preserve"> </w:t>
      </w:r>
      <w:r>
        <w:t xml:space="preserve">- Na totale thyroïdectomie: levothyroxine substitutie; suppressietherapie bij differentieeld schildkliercarcinoom</w:t>
      </w:r>
    </w:p>
    <w:p>
      <w:pPr>
        <w:pStyle w:val="BodyText"/>
      </w:pPr>
      <w:r>
        <w:rPr>
          <w:bCs/>
          <w:b/>
        </w:rPr>
        <w:t xml:space="preserve">Voeding:</w:t>
      </w:r>
      <w:r>
        <w:t xml:space="preserve"> </w:t>
      </w:r>
      <w:r>
        <w:t xml:space="preserve">- Diëtist: betrokken tijdens en na behandeling</w:t>
      </w:r>
      <w:r>
        <w:t xml:space="preserve"> </w:t>
      </w:r>
      <w:r>
        <w:t xml:space="preserve">- Gewichtsverlies bij hoofd-halspatiënten: significante negatieve prognostische factor</w:t>
      </w:r>
      <w:r>
        <w:t xml:space="preserve"> </w:t>
      </w:r>
      <w:r>
        <w:t xml:space="preserve">- Voedingsondersteuning voor/tijdens RT (preventie tube-afhankelijkheid)</w:t>
      </w:r>
    </w:p>
    <w:p>
      <w:pPr>
        <w:pStyle w:val="BodyText"/>
      </w:pPr>
      <w:r>
        <w:rPr>
          <w:bCs/>
          <w:b/>
        </w:rPr>
        <w:t xml:space="preserve">Psychosociaal:</w:t>
      </w:r>
      <w:r>
        <w:t xml:space="preserve"> </w:t>
      </w:r>
      <w:r>
        <w:t xml:space="preserve">- Angst, depressie, lichaamsbeeldproblematiek</w:t>
      </w:r>
      <w:r>
        <w:t xml:space="preserve"> </w:t>
      </w:r>
      <w:r>
        <w:t xml:space="preserve">- Multidisciplinair: psycholoog, maatschappelijk werk</w:t>
      </w:r>
      <w:r>
        <w:t xml:space="preserve"> </w:t>
      </w:r>
      <w:r>
        <w:t xml:space="preserve">- Lotgenotencontact</w:t>
      </w:r>
    </w:p>
    <w:bookmarkEnd w:id="223"/>
    <w:bookmarkStart w:id="224" w:name="beeldvorming-bij-follow-up"/>
    <w:p>
      <w:pPr>
        <w:pStyle w:val="Heading3"/>
      </w:pPr>
      <w:r>
        <w:t xml:space="preserve">Beeldvorming bij follow-up</w:t>
      </w:r>
    </w:p>
    <w:p>
      <w:pPr>
        <w:numPr>
          <w:ilvl w:val="0"/>
          <w:numId w:val="1126"/>
        </w:numPr>
        <w:pStyle w:val="Compact"/>
      </w:pPr>
      <w:r>
        <w:t xml:space="preserve">PET-CT: bij klinische verdenking recidief of na (chemo)RT voor respons-evaluatie (minimaal 12 weken na einde RT)</w:t>
      </w:r>
    </w:p>
    <w:p>
      <w:pPr>
        <w:numPr>
          <w:ilvl w:val="0"/>
          <w:numId w:val="1126"/>
        </w:numPr>
        <w:pStyle w:val="Compact"/>
      </w:pPr>
      <w:r>
        <w:t xml:space="preserve">MRI: voor lokale anatomische beoordeling</w:t>
      </w:r>
    </w:p>
    <w:p>
      <w:pPr>
        <w:numPr>
          <w:ilvl w:val="0"/>
          <w:numId w:val="1126"/>
        </w:numPr>
        <w:pStyle w:val="Compact"/>
      </w:pPr>
      <w:r>
        <w:t xml:space="preserve">CT thorax: detectie longmetastasen en tweede primaire longtumor (rookhistorie!)</w:t>
      </w:r>
    </w:p>
    <w:p>
      <w:pPr>
        <w:numPr>
          <w:ilvl w:val="0"/>
          <w:numId w:val="1126"/>
        </w:numPr>
        <w:pStyle w:val="Compact"/>
      </w:pPr>
      <w:r>
        <w:t xml:space="preserve">Jaarlijks TSH; jaarlijks audiogram bij cisplatinebehandeling (ototoxiciteit)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End w:id="226"/>
    <w:bookmarkStart w:id="246" w:name="aangezichtschirurgie"/>
    <w:p>
      <w:pPr>
        <w:pStyle w:val="Heading1"/>
      </w:pPr>
      <w:r>
        <w:t xml:space="preserve">AANGEZICHTSCHIRURGIE</w:t>
      </w:r>
    </w:p>
    <w:p>
      <w:r>
        <w:pict>
          <v:rect style="width:0;height:1.5pt" o:hralign="center" o:hrstd="t" o:hr="t"/>
        </w:pict>
      </w:r>
    </w:p>
    <w:bookmarkStart w:id="232" w:name="afstaande-oren"/>
    <w:p>
      <w:pPr>
        <w:pStyle w:val="Heading2"/>
      </w:pPr>
      <w:r>
        <w:t xml:space="preserve">32. Afstaande oren</w:t>
      </w:r>
    </w:p>
    <w:bookmarkStart w:id="227" w:name="definitie-criteria"/>
    <w:p>
      <w:pPr>
        <w:pStyle w:val="Heading3"/>
      </w:pPr>
      <w:r>
        <w:t xml:space="preserve">Definitie &amp; criteria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Cephalo-auriculaire hoek</w:t>
      </w:r>
      <w:r>
        <w:t xml:space="preserve"> </w:t>
      </w:r>
      <w:r>
        <w:t xml:space="preserve">(hoek tussen mastoid en oorschelp): normaal &lt;25–30°; afstaand &gt;40°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Auriculaire projectie</w:t>
      </w:r>
      <w:r>
        <w:t xml:space="preserve">: afstand mastoid–helix; normaal &lt;18–20 mm; afstaand &gt;20–22 mm</w:t>
      </w:r>
    </w:p>
    <w:p>
      <w:pPr>
        <w:numPr>
          <w:ilvl w:val="0"/>
          <w:numId w:val="1127"/>
        </w:numPr>
        <w:pStyle w:val="Compact"/>
      </w:pPr>
      <w:r>
        <w:t xml:space="preserve">Prevalentie: ~5% van bevolking</w:t>
      </w:r>
    </w:p>
    <w:bookmarkEnd w:id="227"/>
    <w:bookmarkStart w:id="228" w:name="Xd18c21141f8a72cb697d581029675ee282bc619"/>
    <w:p>
      <w:pPr>
        <w:pStyle w:val="Heading3"/>
      </w:pPr>
      <w:r>
        <w:t xml:space="preserve">Anatomische oorzaken (klinisch onderscheid)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Anthelix-aplasie of hypoplasie</w:t>
      </w:r>
      <w:r>
        <w:t xml:space="preserve">: meest voorkomend; anthelix niet voldoende gevouwen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Diepe conchaschelp</w:t>
      </w:r>
      <w:r>
        <w:t xml:space="preserve"> </w:t>
      </w:r>
      <w:r>
        <w:t xml:space="preserve">(concha hypertrofie): oor wijkt af door te grote concha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Combinatie</w:t>
      </w:r>
      <w:r>
        <w:t xml:space="preserve"> </w:t>
      </w:r>
      <w:r>
        <w:t xml:space="preserve">van beide</w:t>
      </w:r>
    </w:p>
    <w:bookmarkEnd w:id="228"/>
    <w:bookmarkStart w:id="229" w:name="tijdstip-behandeling"/>
    <w:p>
      <w:pPr>
        <w:pStyle w:val="Heading3"/>
      </w:pPr>
      <w:r>
        <w:t xml:space="preserve">Tijdstip behandeling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Conservatief (neonataal)</w:t>
      </w:r>
      <w:r>
        <w:t xml:space="preserve">: oorschaaltjes/oorspalken/tape in eerste 6 weken postnataal (oor is nog plastisch door moederlijk oestrogeen); goede resultaten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Chirurgie</w:t>
      </w:r>
      <w:r>
        <w:t xml:space="preserve">: voorkeur</w:t>
      </w:r>
      <w:r>
        <w:t xml:space="preserve"> </w:t>
      </w:r>
      <w:r>
        <w:rPr>
          <w:bCs/>
          <w:b/>
        </w:rPr>
        <w:t xml:space="preserve">vóór schoolleeftijd</w:t>
      </w:r>
      <w:r>
        <w:t xml:space="preserve"> </w:t>
      </w:r>
      <w:r>
        <w:t xml:space="preserve">(~5–6 jaar; oor heeft dan 85–90% van volwassen grootte bereikt)</w:t>
      </w:r>
    </w:p>
    <w:p>
      <w:pPr>
        <w:numPr>
          <w:ilvl w:val="0"/>
          <w:numId w:val="1129"/>
        </w:numPr>
        <w:pStyle w:val="Compact"/>
      </w:pPr>
      <w:r>
        <w:t xml:space="preserve">Sociaal voordeel: vóór school, minder pesterijen</w:t>
      </w:r>
    </w:p>
    <w:bookmarkEnd w:id="229"/>
    <w:bookmarkStart w:id="230" w:name="chirurgische-technieken-1"/>
    <w:p>
      <w:pPr>
        <w:pStyle w:val="Heading3"/>
      </w:pPr>
      <w:r>
        <w:t xml:space="preserve">Chirurgische 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2457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Mustardé-hechtingen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gehechte (niet-resorbeerbaar) plicatiehechtingen om anthelix te vormen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Anthelix-aplasie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Furnas-hechtingen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Concha-mastoïd-hechtingen om concha terug te plaatsen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Diepe conchaschelp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Combinatie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technieken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Gecombineerde afwijking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Oorbeen scoring/rasping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Zwakkeren kraakbeen vóór 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 bij stijf kraakbeen</w:t>
            </w:r>
          </w:p>
        </w:tc>
      </w:tr>
    </w:tbl>
    <w:bookmarkEnd w:id="230"/>
    <w:bookmarkStart w:id="231" w:name="complicaties-1"/>
    <w:p>
      <w:pPr>
        <w:pStyle w:val="Heading3"/>
      </w:pPr>
      <w:r>
        <w:t xml:space="preserve">Complicaties</w:t>
      </w:r>
    </w:p>
    <w:p>
      <w:pPr>
        <w:numPr>
          <w:ilvl w:val="0"/>
          <w:numId w:val="1130"/>
        </w:numPr>
        <w:pStyle w:val="Compact"/>
      </w:pPr>
      <w:r>
        <w:t xml:space="preserve">Hematoom (meest ernstig; infectie, kraakbeennecrose)</w:t>
      </w:r>
    </w:p>
    <w:p>
      <w:pPr>
        <w:numPr>
          <w:ilvl w:val="0"/>
          <w:numId w:val="1130"/>
        </w:numPr>
        <w:pStyle w:val="Compact"/>
      </w:pPr>
      <w:r>
        <w:t xml:space="preserve">Infectie</w:t>
      </w:r>
    </w:p>
    <w:p>
      <w:pPr>
        <w:numPr>
          <w:ilvl w:val="0"/>
          <w:numId w:val="1130"/>
        </w:numPr>
        <w:pStyle w:val="Compact"/>
      </w:pPr>
      <w:r>
        <w:t xml:space="preserve">Hypertrofisch litteken, keloid</w:t>
      </w:r>
    </w:p>
    <w:p>
      <w:pPr>
        <w:numPr>
          <w:ilvl w:val="0"/>
          <w:numId w:val="1130"/>
        </w:numPr>
        <w:pStyle w:val="Compact"/>
      </w:pPr>
      <w:r>
        <w:t xml:space="preserve">Overcorrectie (</w:t>
      </w:r>
      <w:r>
        <w:t xml:space="preserve">“</w:t>
      </w:r>
      <w:r>
        <w:t xml:space="preserve">telephone ear</w:t>
      </w:r>
      <w:r>
        <w:t xml:space="preserve">”</w:t>
      </w:r>
      <w:r>
        <w:t xml:space="preserve"> </w:t>
      </w:r>
      <w:r>
        <w:t xml:space="preserve">deformity)</w:t>
      </w:r>
    </w:p>
    <w:p>
      <w:pPr>
        <w:numPr>
          <w:ilvl w:val="0"/>
          <w:numId w:val="1130"/>
        </w:numPr>
        <w:pStyle w:val="Compact"/>
      </w:pPr>
      <w:r>
        <w:t xml:space="preserve">Zichtbare of pijnlijke hechtingen</w:t>
      </w:r>
    </w:p>
    <w:p>
      <w:pPr>
        <w:numPr>
          <w:ilvl w:val="0"/>
          <w:numId w:val="1130"/>
        </w:numPr>
        <w:pStyle w:val="Compact"/>
      </w:pPr>
      <w:r>
        <w:t xml:space="preserve">Recidief (hechtingen losgaan)</w:t>
      </w:r>
    </w:p>
    <w:p>
      <w:pPr>
        <w:numPr>
          <w:ilvl w:val="0"/>
          <w:numId w:val="1130"/>
        </w:numPr>
        <w:pStyle w:val="Compact"/>
      </w:pPr>
      <w:r>
        <w:t xml:space="preserve">Asymmetrie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9" w:name="plaveiselcelcarcinoom-pcc-van-de-huid"/>
    <w:p>
      <w:pPr>
        <w:pStyle w:val="Heading2"/>
      </w:pPr>
      <w:r>
        <w:t xml:space="preserve">33. Plaveiselcelcarcinoom (PCC) van de huid</w:t>
      </w:r>
    </w:p>
    <w:bookmarkStart w:id="233" w:name="epidemiologie-risicofactoren-1"/>
    <w:p>
      <w:pPr>
        <w:pStyle w:val="Heading3"/>
      </w:pPr>
      <w:r>
        <w:t xml:space="preserve">Epidemiologie &amp; risicofactoren</w:t>
      </w:r>
    </w:p>
    <w:p>
      <w:pPr>
        <w:numPr>
          <w:ilvl w:val="0"/>
          <w:numId w:val="1131"/>
        </w:numPr>
        <w:pStyle w:val="Compact"/>
      </w:pPr>
      <w:r>
        <w:t xml:space="preserve">Tweede meest voorkomende huidmaligniteit na BCC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Risicofactoren</w:t>
      </w:r>
      <w:r>
        <w:t xml:space="preserve">:</w:t>
      </w:r>
    </w:p>
    <w:p>
      <w:pPr>
        <w:numPr>
          <w:ilvl w:val="1"/>
          <w:numId w:val="1132"/>
        </w:numPr>
        <w:pStyle w:val="Compact"/>
      </w:pPr>
      <w:r>
        <w:t xml:space="preserve">UV-straling (cumulatief; buiten werken)</w:t>
      </w:r>
    </w:p>
    <w:p>
      <w:pPr>
        <w:numPr>
          <w:ilvl w:val="1"/>
          <w:numId w:val="1132"/>
        </w:numPr>
        <w:pStyle w:val="Compact"/>
      </w:pPr>
      <w:r>
        <w:t xml:space="preserve">Immunosuppressie (orgaantransplantatie-patiënten: 65–250× verhoogd risico!)</w:t>
      </w:r>
    </w:p>
    <w:p>
      <w:pPr>
        <w:numPr>
          <w:ilvl w:val="1"/>
          <w:numId w:val="1132"/>
        </w:numPr>
        <w:pStyle w:val="Compact"/>
      </w:pPr>
      <w:r>
        <w:t xml:space="preserve">HPV (bepaalde typen)</w:t>
      </w:r>
    </w:p>
    <w:p>
      <w:pPr>
        <w:numPr>
          <w:ilvl w:val="1"/>
          <w:numId w:val="1132"/>
        </w:numPr>
        <w:pStyle w:val="Compact"/>
      </w:pPr>
      <w:r>
        <w:t xml:space="preserve">Chronische huidlaesies: brandwondlitteken, chronische ulcera, lichen sclerosus</w:t>
      </w:r>
    </w:p>
    <w:p>
      <w:pPr>
        <w:numPr>
          <w:ilvl w:val="1"/>
          <w:numId w:val="1132"/>
        </w:numPr>
        <w:pStyle w:val="Compact"/>
      </w:pPr>
      <w:r>
        <w:t xml:space="preserve">Arsenicum, ioniserende straling</w:t>
      </w:r>
    </w:p>
    <w:p>
      <w:pPr>
        <w:numPr>
          <w:ilvl w:val="1"/>
          <w:numId w:val="1132"/>
        </w:numPr>
        <w:pStyle w:val="Compact"/>
      </w:pPr>
      <w:r>
        <w:t xml:space="preserve">Voorlopers: actinische keratose, Bowen’s ziekte (PCC in situ), Queyrat’s erythroplasie</w:t>
      </w:r>
    </w:p>
    <w:bookmarkEnd w:id="233"/>
    <w:bookmarkStart w:id="234" w:name="hoog-risico-kenmerken-recidiefmetastase"/>
    <w:p>
      <w:pPr>
        <w:pStyle w:val="Heading3"/>
      </w:pPr>
      <w:r>
        <w:t xml:space="preserve">Hoog-risico kenmerken (recidief/metastase)</w:t>
      </w:r>
    </w:p>
    <w:p>
      <w:pPr>
        <w:numPr>
          <w:ilvl w:val="0"/>
          <w:numId w:val="1133"/>
        </w:numPr>
        <w:pStyle w:val="Compact"/>
      </w:pPr>
      <w:r>
        <w:t xml:space="preserve">Diameter</w:t>
      </w:r>
      <w:r>
        <w:t xml:space="preserve"> </w:t>
      </w:r>
      <w:r>
        <w:rPr>
          <w:bCs/>
          <w:b/>
        </w:rPr>
        <w:t xml:space="preserve">&gt;2 cm</w:t>
      </w:r>
    </w:p>
    <w:p>
      <w:pPr>
        <w:numPr>
          <w:ilvl w:val="0"/>
          <w:numId w:val="1133"/>
        </w:numPr>
        <w:pStyle w:val="Compact"/>
      </w:pPr>
      <w:r>
        <w:t xml:space="preserve">Diepte</w:t>
      </w:r>
      <w:r>
        <w:t xml:space="preserve"> </w:t>
      </w:r>
      <w:r>
        <w:rPr>
          <w:bCs/>
          <w:b/>
        </w:rPr>
        <w:t xml:space="preserve">&gt;6 mm</w:t>
      </w:r>
      <w:r>
        <w:t xml:space="preserve"> </w:t>
      </w:r>
      <w:r>
        <w:t xml:space="preserve">of invasion in subcutis</w:t>
      </w:r>
    </w:p>
    <w:p>
      <w:pPr>
        <w:numPr>
          <w:ilvl w:val="0"/>
          <w:numId w:val="1133"/>
        </w:numPr>
        <w:pStyle w:val="Compact"/>
      </w:pPr>
      <w:r>
        <w:t xml:space="preserve">Slechte differentiatie (G3–4)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Perineurale invasie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Locatie</w:t>
      </w:r>
      <w:r>
        <w:t xml:space="preserve">: lip, oor, neus, niet-sun-exposed area (genitalieën, perianaal)</w:t>
      </w:r>
    </w:p>
    <w:p>
      <w:pPr>
        <w:numPr>
          <w:ilvl w:val="0"/>
          <w:numId w:val="1133"/>
        </w:numPr>
        <w:pStyle w:val="Compact"/>
      </w:pPr>
      <w:r>
        <w:t xml:space="preserve">Recidief-PCC</w:t>
      </w:r>
    </w:p>
    <w:p>
      <w:pPr>
        <w:numPr>
          <w:ilvl w:val="0"/>
          <w:numId w:val="1133"/>
        </w:numPr>
        <w:pStyle w:val="Compact"/>
      </w:pPr>
      <w:r>
        <w:t xml:space="preserve">Immuunsuppressie</w:t>
      </w:r>
    </w:p>
    <w:p>
      <w:pPr>
        <w:numPr>
          <w:ilvl w:val="0"/>
          <w:numId w:val="1133"/>
        </w:numPr>
        <w:pStyle w:val="Compact"/>
      </w:pPr>
      <w:r>
        <w:t xml:space="preserve">Desmoplastisch type</w:t>
      </w:r>
    </w:p>
    <w:bookmarkEnd w:id="234"/>
    <w:bookmarkStart w:id="235" w:name="diagnostiek-16"/>
    <w:p>
      <w:pPr>
        <w:pStyle w:val="Heading3"/>
      </w:pPr>
      <w:r>
        <w:t xml:space="preserve">Diagnostiek</w:t>
      </w:r>
    </w:p>
    <w:p>
      <w:pPr>
        <w:numPr>
          <w:ilvl w:val="0"/>
          <w:numId w:val="1134"/>
        </w:numPr>
        <w:pStyle w:val="Compact"/>
      </w:pPr>
      <w:r>
        <w:t xml:space="preserve">Klinisch + histologisch bewijs (biopsie/excisie)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CT/MRI</w:t>
      </w:r>
      <w:r>
        <w:t xml:space="preserve"> </w:t>
      </w:r>
      <w:r>
        <w:t xml:space="preserve">bij hoog-risico: perinerale invasie, invasie dieper structuren, regionale klieren</w:t>
      </w:r>
    </w:p>
    <w:p>
      <w:pPr>
        <w:numPr>
          <w:ilvl w:val="0"/>
          <w:numId w:val="1134"/>
        </w:numPr>
        <w:pStyle w:val="Compact"/>
      </w:pPr>
      <w:r>
        <w:t xml:space="preserve">FDG-PET bij N+ of M-verdenking</w:t>
      </w:r>
    </w:p>
    <w:bookmarkEnd w:id="235"/>
    <w:bookmarkStart w:id="236" w:name="staging-ajcc-8e-editie"/>
    <w:p>
      <w:pPr>
        <w:pStyle w:val="Heading3"/>
      </w:pPr>
      <w:r>
        <w:t xml:space="preserve">Staging (AJCC 8e editie)</w:t>
      </w:r>
    </w:p>
    <w:p>
      <w:pPr>
        <w:numPr>
          <w:ilvl w:val="0"/>
          <w:numId w:val="1135"/>
        </w:numPr>
        <w:pStyle w:val="Compact"/>
      </w:pPr>
      <w:r>
        <w:t xml:space="preserve">T1: &lt;2 cm, &lt;2 hoog-risicofactoren</w:t>
      </w:r>
    </w:p>
    <w:p>
      <w:pPr>
        <w:numPr>
          <w:ilvl w:val="0"/>
          <w:numId w:val="1135"/>
        </w:numPr>
        <w:pStyle w:val="Compact"/>
      </w:pPr>
      <w:r>
        <w:t xml:space="preserve">T2: ≥2 cm OF ≥2 hoog-risicofactoren</w:t>
      </w:r>
    </w:p>
    <w:p>
      <w:pPr>
        <w:numPr>
          <w:ilvl w:val="0"/>
          <w:numId w:val="1135"/>
        </w:numPr>
        <w:pStyle w:val="Compact"/>
      </w:pPr>
      <w:r>
        <w:t xml:space="preserve">T3: botinvasie maxilla/mandibula/orbit/schedelbasis</w:t>
      </w:r>
    </w:p>
    <w:p>
      <w:pPr>
        <w:numPr>
          <w:ilvl w:val="0"/>
          <w:numId w:val="1135"/>
        </w:numPr>
        <w:pStyle w:val="Compact"/>
      </w:pPr>
      <w:r>
        <w:t xml:space="preserve">T4: intracranieel, ernstige botinvasie</w:t>
      </w:r>
    </w:p>
    <w:bookmarkEnd w:id="236"/>
    <w:bookmarkStart w:id="237" w:name="behandeling-11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49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Modaliteit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 / Marge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Chirurgische 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Standaard; marge 4–6 mm laag-risico, &gt;10 mm hoog-risico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Mohs micrografische chirurgie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Hoog-risico locaties (neus, oor, lip, periorbitaal), recidief, grote tumoren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Radiotherapie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Niet-resectabel, palliatief, adjuvant (perineurale invasie, N+)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hoog-risico cN0 (overweeg); bewijs groeiend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Cemiplimab</w:t>
            </w:r>
            <w:r>
              <w:t xml:space="preserve"> </w:t>
            </w:r>
            <w:r>
              <w:t xml:space="preserve">(PD-1 remmer)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Gemetastaseerd of lokaal gevorderd niet-resectabel PCC; geregistreerd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Pembrolizumab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Alternatief PD-1 remmer</w:t>
            </w:r>
          </w:p>
        </w:tc>
      </w:tr>
    </w:tbl>
    <w:bookmarkEnd w:id="237"/>
    <w:bookmarkStart w:id="238" w:name="follow-up"/>
    <w:p>
      <w:pPr>
        <w:pStyle w:val="Heading3"/>
      </w:pPr>
      <w:r>
        <w:t xml:space="preserve">Follow-up</w:t>
      </w:r>
    </w:p>
    <w:p>
      <w:pPr>
        <w:numPr>
          <w:ilvl w:val="0"/>
          <w:numId w:val="1136"/>
        </w:numPr>
        <w:pStyle w:val="Compact"/>
      </w:pPr>
      <w:r>
        <w:t xml:space="preserve">5 jaar; intensiever bij hoog-risico</w:t>
      </w:r>
    </w:p>
    <w:p>
      <w:pPr>
        <w:numPr>
          <w:ilvl w:val="0"/>
          <w:numId w:val="1136"/>
        </w:numPr>
        <w:pStyle w:val="Compact"/>
      </w:pPr>
      <w:r>
        <w:t xml:space="preserve">Zelfonderzoek huid instrueren</w:t>
      </w:r>
    </w:p>
    <w:p>
      <w:pPr>
        <w:numPr>
          <w:ilvl w:val="0"/>
          <w:numId w:val="1136"/>
        </w:numPr>
        <w:pStyle w:val="Compact"/>
      </w:pPr>
      <w:r>
        <w:t xml:space="preserve">Totale huid-inspectie bij controlebezoeken</w:t>
      </w:r>
    </w:p>
    <w:p>
      <w:pPr>
        <w:numPr>
          <w:ilvl w:val="0"/>
          <w:numId w:val="1136"/>
        </w:numPr>
        <w:pStyle w:val="Compact"/>
      </w:pPr>
      <w:r>
        <w:t xml:space="preserve">Screening op regionale lymfeklieren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5" w:name="basaalcelcarcinoom-bcc"/>
    <w:p>
      <w:pPr>
        <w:pStyle w:val="Heading2"/>
      </w:pPr>
      <w:r>
        <w:t xml:space="preserve">34. Basaalcelcarcinoom (BCC)</w:t>
      </w:r>
    </w:p>
    <w:bookmarkStart w:id="240" w:name="epidemiologie-2"/>
    <w:p>
      <w:pPr>
        <w:pStyle w:val="Heading3"/>
      </w:pPr>
      <w:r>
        <w:t xml:space="preserve">Epidemiologie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Meest voorkomende maligniteit bij mensen</w:t>
      </w:r>
      <w:r>
        <w:t xml:space="preserve"> </w:t>
      </w:r>
      <w:r>
        <w:t xml:space="preserve">(~80% van alle huidkanker)</w:t>
      </w:r>
    </w:p>
    <w:p>
      <w:pPr>
        <w:numPr>
          <w:ilvl w:val="0"/>
          <w:numId w:val="1137"/>
        </w:numPr>
        <w:pStyle w:val="Compact"/>
      </w:pPr>
      <w:r>
        <w:t xml:space="preserve">Zelden metastaseert (&lt;0.05%)</w:t>
      </w:r>
    </w:p>
    <w:p>
      <w:pPr>
        <w:numPr>
          <w:ilvl w:val="0"/>
          <w:numId w:val="1137"/>
        </w:numPr>
        <w:pStyle w:val="Compact"/>
      </w:pPr>
      <w:r>
        <w:t xml:space="preserve">UV-straling voornaamste risicofactor; ook ioniserende straling, arseen, immunosuppressie</w:t>
      </w:r>
    </w:p>
    <w:p>
      <w:pPr>
        <w:numPr>
          <w:ilvl w:val="0"/>
          <w:numId w:val="1137"/>
        </w:numPr>
        <w:pStyle w:val="Compact"/>
      </w:pPr>
      <w:r>
        <w:t xml:space="preserve">Genetisch:</w:t>
      </w:r>
      <w:r>
        <w:t xml:space="preserve"> </w:t>
      </w:r>
      <w:r>
        <w:rPr>
          <w:bCs/>
          <w:b/>
        </w:rPr>
        <w:t xml:space="preserve">basaalcelnaevussyndroom (Gorlin-syndroom)</w:t>
      </w:r>
      <w:r>
        <w:t xml:space="preserve">: PTCH1-mutatie; multipele BCC’s op jonge leeftijd, odontogene keratocysten, bifrontale bossing, lamellair calcificatie falx</w:t>
      </w:r>
    </w:p>
    <w:bookmarkEnd w:id="240"/>
    <w:bookmarkStart w:id="241" w:name="subtypen-en-prognose"/>
    <w:p>
      <w:pPr>
        <w:pStyle w:val="Heading3"/>
      </w:pPr>
      <w:r>
        <w:t xml:space="preserve">Subtypen en prognose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6"/>
        <w:gridCol w:w="2354"/>
        <w:gridCol w:w="36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Hoog/laag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voorkomend; parelmoerglans, telangiëctasieën; duidelijke begrenzing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Superficieel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Vlak, rode plaque; veelal romp; onduidelijke 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Laag-matig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Morpheaform/sclerodermiform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Littekenachtig, witte plaque; slecht begrensd; infiltratief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Infiltratief/micronodullair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duidelijke massa; histologisch aggressief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Basosquameus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BCC + PCC-kenmerken; metastaserisico hoger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</w:t>
            </w:r>
          </w:p>
        </w:tc>
      </w:tr>
    </w:tbl>
    <w:bookmarkEnd w:id="241"/>
    <w:bookmarkStart w:id="242" w:name="X9b6b4717df5ea55e85ec426af0861865f14bb5b"/>
    <w:p>
      <w:pPr>
        <w:pStyle w:val="Heading3"/>
      </w:pPr>
      <w:r>
        <w:t xml:space="preserve">Hoog-risico factoren (recidief/onvoldoende excisie)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H-zone</w:t>
      </w:r>
      <w:r>
        <w:t xml:space="preserve"> </w:t>
      </w:r>
      <w:r>
        <w:t xml:space="preserve">(maskerzone): periorbitaal, neus, nasolabiale plooi, oor, preauriculair, lip, kin</w:t>
      </w:r>
    </w:p>
    <w:p>
      <w:pPr>
        <w:numPr>
          <w:ilvl w:val="0"/>
          <w:numId w:val="1138"/>
        </w:numPr>
        <w:pStyle w:val="Compact"/>
      </w:pPr>
      <w:r>
        <w:t xml:space="preserve">Grootte: &gt;2 cm (laag-risico locatie) of &gt;1 cm (hoog-risico locatie / H-zone)</w:t>
      </w:r>
    </w:p>
    <w:p>
      <w:pPr>
        <w:numPr>
          <w:ilvl w:val="0"/>
          <w:numId w:val="1138"/>
        </w:numPr>
        <w:pStyle w:val="Compact"/>
      </w:pPr>
      <w:r>
        <w:t xml:space="preserve">Histologisch agressief subtype (morpheaform, infiltratief, micronodullair)</w:t>
      </w:r>
    </w:p>
    <w:p>
      <w:pPr>
        <w:numPr>
          <w:ilvl w:val="0"/>
          <w:numId w:val="1138"/>
        </w:numPr>
        <w:pStyle w:val="Compact"/>
      </w:pPr>
      <w:r>
        <w:t xml:space="preserve">Perineurale invasie</w:t>
      </w:r>
    </w:p>
    <w:p>
      <w:pPr>
        <w:numPr>
          <w:ilvl w:val="0"/>
          <w:numId w:val="1138"/>
        </w:numPr>
        <w:pStyle w:val="Compact"/>
      </w:pPr>
      <w:r>
        <w:t xml:space="preserve">Recidief-BCC</w:t>
      </w:r>
    </w:p>
    <w:p>
      <w:pPr>
        <w:numPr>
          <w:ilvl w:val="0"/>
          <w:numId w:val="1138"/>
        </w:numPr>
        <w:pStyle w:val="Compact"/>
      </w:pPr>
      <w:r>
        <w:t xml:space="preserve">Immunosuppressie</w:t>
      </w:r>
    </w:p>
    <w:bookmarkEnd w:id="242"/>
    <w:bookmarkStart w:id="243" w:name="behandeling-12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3004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Standaard; marge 3–4 mm laag-risico; 5–10 mm hoog-risico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Mohs micrografische chirurgie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H-zone, hoog-risico, recidief, morfieform; 100% margincontrole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Radiotherapie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Niet-resectabel, oudere patiënten, cosmetisch gevoelige locatie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Curettage + elektrocoagulatie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Laag-risico, superficieel, niet op H-zone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Imiquimod 5%</w:t>
            </w:r>
            <w:r>
              <w:t xml:space="preserve"> </w:t>
            </w:r>
            <w:r>
              <w:t xml:space="preserve">crème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Superficieel BCC, kleine laesies, niet op H-zone; 6 weken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PDT</w:t>
            </w:r>
            <w:r>
              <w:t xml:space="preserve"> </w:t>
            </w:r>
            <w:r>
              <w:t xml:space="preserve">(fotodynamische therapie)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Superficieel BCC; meerdere laesies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Vismodegib</w:t>
            </w:r>
            <w:r>
              <w:t xml:space="preserve"> </w:t>
            </w:r>
            <w:r>
              <w:t xml:space="preserve">(hedgehog-remmer; Erivedge®)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Lokaal gevorderd of gemetastaseerd BCC; oraal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PR/CR ~50%; bijwerkingen (spierkramp, alopecieen, dysgeusie)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Sonidegib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Idem, alternatief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3"/>
    <w:bookmarkStart w:id="244" w:name="h-zone-maskerzone-centraal-gelaat"/>
    <w:p>
      <w:pPr>
        <w:pStyle w:val="Heading3"/>
      </w:pPr>
      <w:r>
        <w:t xml:space="preserve">H-zone (maskerzone centraal gelaat)</w:t>
      </w:r>
    </w:p>
    <w:p>
      <w:pPr>
        <w:pStyle w:val="FirstParagraph"/>
      </w:pPr>
      <w:r>
        <w:t xml:space="preserve">Definitie: neus, periorbitair, perioraal, oor, preauriculair, kin → hogere recidiefkans → Mohs of ruimere excisie.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End w:id="246"/>
    <w:bookmarkStart w:id="247" w:name="snel-naslagwerk-kerngetallen"/>
    <w:p>
      <w:pPr>
        <w:pStyle w:val="Heading1"/>
      </w:pPr>
      <w:r>
        <w:t xml:space="preserve">SNEL-NASLAGWERK: KERNGETALLEN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40"/>
        <w:gridCol w:w="3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Onderwerp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PTA4 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≤25 dB 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Hoortoestel 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≥35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CI-indicatie volwassene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&gt;70 dB + MS &lt;50%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CI-indicatie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&gt;80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BCD BC-grens standaard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≤45 dB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 SNHL definitie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≥30 dB in ≥3 freq binnen 72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Prednison dosis Bell/PPGV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mg/kg/dag max 60 mg, 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 definitie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symptomen + objectief bewijs &gt;12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kinderen abnormaal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AHI &gt;1/uur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Menière aanval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 – 12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BPPD posterior nystagmus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Upbeat rotatoir, &lt;60 sec, latentie 2–5 sec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Paradise criteria (1 jaar)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≥7 episoden tonsillitis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Tonsillectomie nabloeding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 5–10; 0.5–5%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ENOG drempel decompressie n. VII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 degeneratie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BCC marges laag-risico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PCC marges hoog-risico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Cephalo-auriculaire hoek afstaand 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&gt;40°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SDHB maligniteitsrisico paraganglioom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Laatste update: mei 2026. Raadpleeg kno.nl voor de meest actuele versie van elke richtlijn.</w:t>
      </w:r>
    </w:p>
    <w:bookmarkEnd w:id="247"/>
    <w:sect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40" w:before="0" w:line="260" w:lineRule="exact"/>
      <w:ind w:left="850"/>
    </w:pPr>
    <w:rPr>
      <w:rFonts w:ascii="Calibri" w:hAnsi="Calibri"/>
      <w:b w:val="0"/>
      <w:i w:val="0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Calibri" w:hAnsi="Calibri"/>
      <w:b w:val="0"/>
      <w:i w:val="0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hAnsi="Calibri"/>
      <w:b w:val="0"/>
      <w:i w:val="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400"/>
      <w:outlineLvl w:val="0"/>
    </w:pPr>
    <w:rPr>
      <w:rFonts w:ascii="Calibri" w:asciiTheme="majorHAnsi" w:cstheme="majorBidi" w:eastAsiaTheme="majorEastAsia" w:hAnsi="Calibri" w:hAnsiTheme="majorHAnsi"/>
      <w:b/>
      <w:bCs/>
      <w:i w:val="0"/>
      <w:caps/>
      <w:color w:val="1F497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outlineLvl w:val="1"/>
    </w:pPr>
    <w:rPr>
      <w:rFonts w:ascii="Calibri" w:asciiTheme="majorHAnsi" w:cstheme="majorBidi" w:eastAsiaTheme="majorEastAsia" w:hAnsi="Calibri" w:hAnsiTheme="majorHAnsi"/>
      <w:b/>
      <w:bCs/>
      <w:i w:val="0"/>
      <w:color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00"/>
      <w:outlineLvl w:val="2"/>
    </w:pPr>
    <w:rPr>
      <w:rFonts w:ascii="Calibri" w:asciiTheme="majorHAnsi" w:cstheme="majorBidi" w:eastAsiaTheme="majorEastAsia" w:hAnsi="Calibri" w:hAnsiTheme="majorHAnsi"/>
      <w:b/>
      <w:bCs/>
      <w:i w:val="0"/>
      <w:color w:val="4472C4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404040"/>
      <w:sz w:val="20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2026-05-12T07:14:50Z</dcterms:created>
  <dcterms:modified xsi:type="dcterms:W3CDTF">2026-05-12T07:14:50Z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