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ee90d48790d8a97940f208faf8f6b0fbc8cc93"/>
    <w:p>
      <w:pPr>
        <w:pStyle w:val="Heading1"/>
      </w:pPr>
      <w:r>
        <w:t xml:space="preserve">Samenvatting KNO-Richtlijnen — Uitgebreide versie</w:t>
      </w:r>
    </w:p>
    <w:p>
      <w:pPr>
        <w:pStyle w:val="FirstParagraph"/>
      </w:pPr>
      <w:r>
        <w:rPr>
          <w:bCs/>
          <w:b/>
        </w:rPr>
        <w:t xml:space="preserve">Studiemateriaal AIOS KNO — breed examenvoorbereiding</w:t>
      </w:r>
    </w:p>
    <w:p>
      <w:pPr>
        <w:pStyle w:val="BlockText"/>
      </w:pPr>
      <w:r>
        <w:rPr>
          <w:bCs/>
          <w:b/>
        </w:rPr>
        <w:t xml:space="preserve">Disclaimer:</w:t>
      </w:r>
      <w:r>
        <w:t xml:space="preserve"> </w:t>
      </w:r>
      <w:r>
        <w:t xml:space="preserve">Gebaseerd op NVKNO-richtlijnen (kno.nl). Raadpleeg altijd de actuele brontekst voor definitieve aanbevelingen.</w:t>
      </w:r>
    </w:p>
    <w:p>
      <w:r>
        <w:pict>
          <v:rect style="width:0;height:1.5pt" o:hralign="center" o:hrstd="t" o:hr="t"/>
        </w:pict>
      </w:r>
    </w:p>
    <w:bookmarkEnd w:id="20"/>
    <w:bookmarkStart w:id="93" w:name="otologie"/>
    <w:p>
      <w:pPr>
        <w:pStyle w:val="Heading1"/>
      </w:pPr>
      <w:r>
        <w:t xml:space="preserve">OTOLOGIE</w:t>
      </w:r>
    </w:p>
    <w:p>
      <w:r>
        <w:pict>
          <v:rect style="width:0;height:1.5pt" o:hralign="center" o:hrstd="t" o:hr="t"/>
        </w:pict>
      </w:r>
    </w:p>
    <w:bookmarkStart w:id="27" w:name="Xf9e88fabe880fa6c2cf11561756efbb0ef47c31"/>
    <w:p>
      <w:pPr>
        <w:pStyle w:val="Heading2"/>
      </w:pPr>
      <w:r>
        <w:t xml:space="preserve">1. Audiologische zorg voor slechthorende volwassenen</w:t>
      </w:r>
    </w:p>
    <w:bookmarkStart w:id="21" w:name="module-1-definitie-epidemiologie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01"/>
        </w:numPr>
        <w:pStyle w:val="Compact"/>
      </w:pPr>
      <w:r>
        <w:t xml:space="preserve">Slechthorendheid bij volwassenen (≥18 jaar): PTA4 (gemiddelde luchtgeleiding 500, 1000, 2000, 4000 Hz) &gt; 25 dB HL</w:t>
      </w:r>
    </w:p>
    <w:p>
      <w:pPr>
        <w:numPr>
          <w:ilvl w:val="0"/>
          <w:numId w:val="1001"/>
        </w:numPr>
        <w:pStyle w:val="Compact"/>
      </w:pPr>
      <w:r>
        <w:t xml:space="preserve">Prevalentie: ~16% van de Nederlandse bevolking heeft enige mate van gehoorverlies; neemt toe met leeftijd</w:t>
      </w:r>
    </w:p>
    <w:p>
      <w:pPr>
        <w:numPr>
          <w:ilvl w:val="0"/>
          <w:numId w:val="1001"/>
        </w:numPr>
        <w:pStyle w:val="Compact"/>
      </w:pPr>
      <w:r>
        <w:t xml:space="preserve">Sociaal-maatschappelijke impact: communicatieproblemen, sociale isolatie, cognitieve achteruitgang (verband met dementie)</w:t>
      </w:r>
    </w:p>
    <w:bookmarkEnd w:id="21"/>
    <w:bookmarkStart w:id="22" w:name="module-2-signalering-screening"/>
    <w:p>
      <w:pPr>
        <w:pStyle w:val="Heading3"/>
      </w:pPr>
      <w:r>
        <w:t xml:space="preserve">Module 2 — Signalering &amp; screening</w:t>
      </w:r>
    </w:p>
    <w:p>
      <w:pPr>
        <w:numPr>
          <w:ilvl w:val="0"/>
          <w:numId w:val="1002"/>
        </w:numPr>
        <w:pStyle w:val="Compact"/>
      </w:pPr>
      <w:r>
        <w:t xml:space="preserve">Signalering in de eerste lijn: huisarts, bedrijfsarts, ouderenadviseur</w:t>
      </w:r>
    </w:p>
    <w:p>
      <w:pPr>
        <w:numPr>
          <w:ilvl w:val="0"/>
          <w:numId w:val="1002"/>
        </w:numPr>
        <w:pStyle w:val="Compact"/>
      </w:pPr>
      <w:r>
        <w:t xml:space="preserve">Screeningsinstrumenten: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HHIE-S</w:t>
      </w:r>
      <w:r>
        <w:t xml:space="preserve"> </w:t>
      </w:r>
      <w:r>
        <w:t xml:space="preserve">(Hearing Handicap Inventory for the Elderly — Screening): 10 vragen; score ≥10 = verwijzing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Fluistertest</w:t>
      </w:r>
      <w:r>
        <w:t xml:space="preserve">: sensitief, eenvoudig, maar weinig gestandaardiseerd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Digitale gehoortest</w:t>
      </w:r>
      <w:r>
        <w:t xml:space="preserve"> </w:t>
      </w:r>
      <w:r>
        <w:t xml:space="preserve">(bijv. nationale gehoortest): online screening</w:t>
      </w:r>
    </w:p>
    <w:p>
      <w:pPr>
        <w:numPr>
          <w:ilvl w:val="0"/>
          <w:numId w:val="1002"/>
        </w:numPr>
        <w:pStyle w:val="Compact"/>
      </w:pPr>
      <w:r>
        <w:t xml:space="preserve">Aandachtspunten bij signalering: hogere drempel bij ouderen, mannen, lager opleidingsniveau</w:t>
      </w:r>
    </w:p>
    <w:bookmarkEnd w:id="22"/>
    <w:bookmarkStart w:id="23" w:name="module-3-diagnostiek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Basisdiagnostiek: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Toonaudiogram (PTA)</w:t>
      </w:r>
      <w:r>
        <w:t xml:space="preserve">: luchtgeleiding (AC) én beengeleiding (BC); beide oren; frequenties 250–8000 Hz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PTA4</w:t>
      </w:r>
      <w:r>
        <w:t xml:space="preserve">: gemiddelde van 500, 1000, 2000, 4000 Hz — standaard ernstmaat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Spraakaudiogram</w:t>
      </w:r>
      <w:r>
        <w:t xml:space="preserve">: spraakverstaansdrempel (SRT) en maximaal spraakverstaan (MS% bij 65–80 dB SPL)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Tympanometrie</w:t>
      </w:r>
      <w:r>
        <w:t xml:space="preserve">: type A (normaal), B (effusie/perforatie), C (negatieve druk/tubaklachten)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Stapediusreflexen</w:t>
      </w:r>
      <w:r>
        <w:t xml:space="preserve">: aanwezig/afwezig; ipsi- en contralateraal</w:t>
      </w:r>
    </w:p>
    <w:p>
      <w:pPr>
        <w:pStyle w:val="BodyText"/>
      </w:pPr>
      <w:r>
        <w:rPr>
          <w:bCs/>
          <w:b/>
        </w:rPr>
        <w:t xml:space="preserve">Aanvullende diagnostiek (op indicatie):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(VSP-protocol, 1.5 of 3T): bij asymmetrisch verlies (&gt;15 dB verschil in ≥2 freq), unilaterale tinnitus, retrocochleaire verdenking (vestibularis schwannoom/akoestisch neurinoom)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Otoakoestische emissies (OAE/DPOAE)</w:t>
      </w:r>
      <w:r>
        <w:t xml:space="preserve">: objectieve cochleafunctie; afwezig bij &gt;40 dB cochleair verlies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ABR (auditory brainstem response)</w:t>
      </w:r>
      <w:r>
        <w:t xml:space="preserve">: retrocochleaire diagnostiek; latentie-verschil golven I–V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bij vroeg-onset SNHL, familiaire belasting, syndromale kenmerken</w:t>
      </w:r>
    </w:p>
    <w:p>
      <w:pPr>
        <w:pStyle w:val="BodyText"/>
      </w:pPr>
      <w:r>
        <w:rPr>
          <w:bCs/>
          <w:b/>
        </w:rPr>
        <w:t xml:space="preserve">Classificatie ernst gehoorverlies (WHO):</w:t>
      </w:r>
      <w:r>
        <w:t xml:space="preserve"> </w:t>
      </w:r>
      <w:r>
        <w:t xml:space="preserve">| Ernst | PTA4 |</w:t>
      </w:r>
      <w:r>
        <w:t xml:space="preserve"> </w:t>
      </w:r>
      <w:r>
        <w:t xml:space="preserve">|——-|——|</w:t>
      </w:r>
      <w:r>
        <w:t xml:space="preserve"> </w:t>
      </w:r>
      <w:r>
        <w:t xml:space="preserve">| Geen | ≤25 dB |</w:t>
      </w:r>
      <w:r>
        <w:t xml:space="preserve"> </w:t>
      </w:r>
      <w:r>
        <w:t xml:space="preserve">| Licht | 26–40 dB |</w:t>
      </w:r>
      <w:r>
        <w:t xml:space="preserve"> </w:t>
      </w:r>
      <w:r>
        <w:t xml:space="preserve">| Matig | 41–60 dB |</w:t>
      </w:r>
      <w:r>
        <w:t xml:space="preserve"> </w:t>
      </w:r>
      <w:r>
        <w:t xml:space="preserve">| Ernstig | 61–80 dB |</w:t>
      </w:r>
      <w:r>
        <w:t xml:space="preserve"> </w:t>
      </w:r>
      <w:r>
        <w:t xml:space="preserve">| Zeer ernstig | 81–100 dB |</w:t>
      </w:r>
      <w:r>
        <w:t xml:space="preserve"> </w:t>
      </w:r>
      <w:r>
        <w:t xml:space="preserve">| Doof | &gt;100 dB |</w:t>
      </w:r>
    </w:p>
    <w:bookmarkEnd w:id="23"/>
    <w:bookmarkStart w:id="24" w:name="module-4-verwijscriteria"/>
    <w:p>
      <w:pPr>
        <w:pStyle w:val="Heading3"/>
      </w:pPr>
      <w:r>
        <w:t xml:space="preserve">Module 4 — Verwijscriteria</w:t>
      </w:r>
    </w:p>
    <w:p>
      <w:pPr>
        <w:pStyle w:val="FirstParagraph"/>
      </w:pPr>
      <w:r>
        <w:rPr>
          <w:bCs/>
          <w:b/>
        </w:rPr>
        <w:t xml:space="preserve">Verwijzing naar KNO-arts (rode vlaggen / alarmsymptomen):</w:t>
      </w:r>
      <w:r>
        <w:t xml:space="preserve"> </w:t>
      </w:r>
      <w:r>
        <w:t xml:space="preserve">&gt; 🔴</w:t>
      </w:r>
      <w:r>
        <w:t xml:space="preserve"> </w:t>
      </w:r>
      <w:r>
        <w:rPr>
          <w:bCs/>
          <w:b/>
        </w:rPr>
        <w:t xml:space="preserve">ALARMSYMPTOMEN — altijd verwijzen:</w:t>
      </w:r>
      <w:r>
        <w:t xml:space="preserve"> </w:t>
      </w:r>
      <w:r>
        <w:t xml:space="preserve">&gt; - Asymmetrisch gehoorverlies: &gt;15 dB verschil bij ≥2 frequenties</w:t>
      </w:r>
      <w:r>
        <w:t xml:space="preserve"> </w:t>
      </w:r>
      <w:r>
        <w:t xml:space="preserve">&gt; - Plotseling of snel progressief gehoorverlies (binnen dagen–weken)</w:t>
      </w:r>
      <w:r>
        <w:t xml:space="preserve"> </w:t>
      </w:r>
      <w:r>
        <w:t xml:space="preserve">&gt; - Unilaterale of pulsatiele tinnitus</w:t>
      </w:r>
      <w:r>
        <w:t xml:space="preserve"> </w:t>
      </w:r>
      <w:r>
        <w:t xml:space="preserve">&gt; - Gehoorverlies met duizeligheid of evenwichtsstoornissen</w:t>
      </w:r>
      <w:r>
        <w:t xml:space="preserve"> </w:t>
      </w:r>
      <w:r>
        <w:t xml:space="preserve">&gt; - Otorroe of oorpijn</w:t>
      </w:r>
      <w:r>
        <w:t xml:space="preserve"> </w:t>
      </w:r>
      <w:r>
        <w:t xml:space="preserve">&gt; - Craniaal zenuwuitval gecombineerd met gehoorverlies</w:t>
      </w:r>
    </w:p>
    <w:p>
      <w:pPr>
        <w:pStyle w:val="BodyText"/>
      </w:pPr>
      <w:r>
        <w:rPr>
          <w:bCs/>
          <w:b/>
        </w:rPr>
        <w:t xml:space="preserve">Verwijzing naar audiologisch centrum (AC):</w:t>
      </w:r>
      <w:r>
        <w:t xml:space="preserve"> </w:t>
      </w:r>
      <w:r>
        <w:t xml:space="preserve">- PTA4 ≥35 dB en kandidaat voor hoortoestel</w:t>
      </w:r>
      <w:r>
        <w:t xml:space="preserve"> </w:t>
      </w:r>
      <w:r>
        <w:t xml:space="preserve">- Complexe aanpassing: cognitieve beperking, kinderen, meervoudige handicap</w:t>
      </w:r>
      <w:r>
        <w:t xml:space="preserve"> </w:t>
      </w:r>
      <w:r>
        <w:t xml:space="preserve">- Beoordeling voor CI, BCD of andere implanteerbare hooroplossing</w:t>
      </w:r>
      <w:r>
        <w:t xml:space="preserve"> </w:t>
      </w:r>
      <w:r>
        <w:t xml:space="preserve">- Bij onvoldoende baat hoortoestel</w:t>
      </w:r>
    </w:p>
    <w:bookmarkEnd w:id="24"/>
    <w:bookmarkStart w:id="25" w:name="X36dbd4c36cf2ed680ed1c5bae45c1db0954b606"/>
    <w:p>
      <w:pPr>
        <w:pStyle w:val="Heading3"/>
      </w:pPr>
      <w:r>
        <w:t xml:space="preserve">Module 5 — Behandeling &amp; hoortoestelverstrekking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Indicatie hoortoestel</w:t>
      </w:r>
      <w:r>
        <w:t xml:space="preserve">: PTA4 ≥35 dB op beste oor, of functionele communicatieve beperkingen bij lager verlies (goed gedocumenteerd)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Proefperiode</w:t>
      </w:r>
      <w:r>
        <w:t xml:space="preserve">: minimaal 6 weken vóór definitieve aanschaf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Real-ear measurement (REM)</w:t>
      </w:r>
      <w:r>
        <w:t xml:space="preserve">: objectieve verificatie versterking — verplicht onderdeel kwaliteitsnorm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Follow-up na aanpassing</w:t>
      </w:r>
      <w:r>
        <w:t xml:space="preserve">: controle op 6 weken, 6 maanden, vervolgens jaarlijks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Audiologische revalidatie</w:t>
      </w:r>
      <w:r>
        <w:t xml:space="preserve">: groepsrevalidatie (bijv. slechthorenden-cursus), communicatietraining, partners betrekken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Hulpmiddelen</w:t>
      </w:r>
      <w:r>
        <w:t xml:space="preserve">: alarminstallaties, ringleidingen (EM-veld voor hoortoestel/CI), ondertiteling, schrijftolk</w:t>
      </w:r>
    </w:p>
    <w:bookmarkEnd w:id="25"/>
    <w:bookmarkStart w:id="26" w:name="module-6-kwaliteitsindicatoren"/>
    <w:p>
      <w:pPr>
        <w:pStyle w:val="Heading3"/>
      </w:pPr>
      <w:r>
        <w:t xml:space="preserve">Module 6 — Kwaliteitsindicatoren</w:t>
      </w:r>
    </w:p>
    <w:p>
      <w:pPr>
        <w:numPr>
          <w:ilvl w:val="0"/>
          <w:numId w:val="1005"/>
        </w:numPr>
        <w:pStyle w:val="Compact"/>
      </w:pPr>
      <w:r>
        <w:t xml:space="preserve">Tijd van signalering tot hoortoestel: streefnorm &lt;3 maanden</w:t>
      </w:r>
    </w:p>
    <w:p>
      <w:pPr>
        <w:numPr>
          <w:ilvl w:val="0"/>
          <w:numId w:val="1005"/>
        </w:numPr>
        <w:pStyle w:val="Compact"/>
      </w:pPr>
      <w:r>
        <w:t xml:space="preserve">Patiënttevredenheid via gevalideerde vragenlijst (bijv. GLAS — Glasgow Hearing Aid Benefit Profile)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bone-conduction-devices-bcd"/>
    <w:p>
      <w:pPr>
        <w:pStyle w:val="Heading2"/>
      </w:pPr>
      <w:r>
        <w:t xml:space="preserve">2. Bone Conduction Devices (BCD)</w:t>
      </w:r>
    </w:p>
    <w:bookmarkStart w:id="28" w:name="module-1-definitie-indicatiegebieden"/>
    <w:p>
      <w:pPr>
        <w:pStyle w:val="Heading3"/>
      </w:pPr>
      <w:r>
        <w:t xml:space="preserve">Module 1 — Definitie &amp; indicatiegebieden</w:t>
      </w:r>
    </w:p>
    <w:p>
      <w:pPr>
        <w:pStyle w:val="FirstParagraph"/>
      </w:pPr>
      <w:r>
        <w:t xml:space="preserve">BCD versterkt geluid via beengeleiding, waarbij de cochlea direct wordt gestimuleerd via het schedelbeen, zodat het middenoor wordt omzeild.</w:t>
      </w:r>
    </w:p>
    <w:p>
      <w:pPr>
        <w:pStyle w:val="BodyText"/>
      </w:pPr>
      <w:r>
        <w:rPr>
          <w:bCs/>
          <w:b/>
        </w:rPr>
        <w:t xml:space="preserve">Drie indicatiegebieden: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Conductief/gemengd gehoorverlies</w:t>
      </w:r>
      <w:r>
        <w:t xml:space="preserve"> </w:t>
      </w:r>
      <w:r>
        <w:t xml:space="preserve">waarbij conventioneel hoortoestel niet mogelijk of niet effectief 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Eenzijdige doofheid (SSD)</w:t>
      </w:r>
      <w:r>
        <w:t xml:space="preserve"> </w:t>
      </w:r>
      <w:r>
        <w:t xml:space="preserve">— signaal van doofzijde naar functionerende cochlea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Gemengd verlies</w:t>
      </w:r>
      <w:r>
        <w:t xml:space="preserve">: AC-verlies met voldoende BC-reserve</w:t>
      </w:r>
    </w:p>
    <w:bookmarkEnd w:id="28"/>
    <w:bookmarkStart w:id="29" w:name="module-2-diagnostische-criteria-selectie"/>
    <w:p>
      <w:pPr>
        <w:pStyle w:val="Heading3"/>
      </w:pPr>
      <w:r>
        <w:t xml:space="preserve">Module 2 — Diagnostische criteria &amp; selectie</w:t>
      </w:r>
    </w:p>
    <w:p>
      <w:pPr>
        <w:pStyle w:val="FirstParagraph"/>
      </w:pPr>
      <w:r>
        <w:rPr>
          <w:bCs/>
          <w:b/>
        </w:rPr>
        <w:t xml:space="preserve">Audiologische criteria:</w:t>
      </w:r>
      <w:r>
        <w:t xml:space="preserve"> </w:t>
      </w:r>
      <w:r>
        <w:t xml:space="preserve">| Apparaat | BC-PTA grens | AC-BC gap vereist |</w:t>
      </w:r>
      <w:r>
        <w:t xml:space="preserve"> </w:t>
      </w:r>
      <w:r>
        <w:t xml:space="preserve">|———|————-|——————|</w:t>
      </w:r>
      <w:r>
        <w:t xml:space="preserve"> </w:t>
      </w:r>
      <w:r>
        <w:t xml:space="preserve">| Conventionele BAHA (percutaan) | BC PTA ≤45 dB | ≥30 dB gap (conductief) |</w:t>
      </w:r>
      <w:r>
        <w:t xml:space="preserve"> </w:t>
      </w:r>
      <w:r>
        <w:t xml:space="preserve">| Bonebridge (transcutaan actief) | BC PTA ≤45 dB | ≥30 dB gap |</w:t>
      </w:r>
      <w:r>
        <w:t xml:space="preserve"> </w:t>
      </w:r>
      <w:r>
        <w:t xml:space="preserve">| Osia 2 (actief transcutaan) | BC PTA ≤55 dB | bij gemengd verlies |</w:t>
      </w:r>
      <w:r>
        <w:t xml:space="preserve"> </w:t>
      </w:r>
      <w:r>
        <w:t xml:space="preserve">| SSD indicatie | BC normaal doofzijde | Totale doofheid aangedane oor |</w:t>
      </w:r>
    </w:p>
    <w:p>
      <w:pPr>
        <w:pStyle w:val="BodyText"/>
      </w:pPr>
      <w:r>
        <w:rPr>
          <w:bCs/>
          <w:b/>
        </w:rPr>
        <w:t xml:space="preserve">Aanvullende diagnostiek (pre-operatief):</w:t>
      </w:r>
      <w:r>
        <w:t xml:space="preserve"> </w:t>
      </w:r>
      <w:r>
        <w:t xml:space="preserve">- Volledig audiogram (AC + BC beide oren)</w:t>
      </w:r>
      <w:r>
        <w:t xml:space="preserve"> </w:t>
      </w:r>
      <w:r>
        <w:t xml:space="preserve">- Spraakverstaan in stilte en in ruis (DIN-test)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: botdikte, anatomie schedelbasis, ruimte voor implantaat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Proefperiode met soft band of demo-apparaat</w:t>
      </w:r>
      <w:r>
        <w:t xml:space="preserve"> </w:t>
      </w:r>
      <w:r>
        <w:t xml:space="preserve">(minimaal 4–6 weken): bewijs van functioneel voordeel</w:t>
      </w:r>
      <w:r>
        <w:t xml:space="preserve"> </w:t>
      </w:r>
      <w:r>
        <w:t xml:space="preserve">- Bij SSD: verstaantest in ruis met CROS-configuratie</w:t>
      </w:r>
    </w:p>
    <w:p>
      <w:pPr>
        <w:pStyle w:val="BodyText"/>
      </w:pPr>
      <w:r>
        <w:rPr>
          <w:bCs/>
          <w:b/>
        </w:rPr>
        <w:t xml:space="preserve">Contra-indicaties:</w:t>
      </w:r>
      <w:r>
        <w:t xml:space="preserve"> </w:t>
      </w:r>
      <w:r>
        <w:t xml:space="preserve">- BC-verlies groter dan apparaat-grenzen</w:t>
      </w:r>
      <w:r>
        <w:t xml:space="preserve"> </w:t>
      </w:r>
      <w:r>
        <w:t xml:space="preserve">- Actieve huidinfectie op implantaatplaats</w:t>
      </w:r>
      <w:r>
        <w:t xml:space="preserve"> </w:t>
      </w:r>
      <w:r>
        <w:t xml:space="preserve">- Botpathologie die osseo-integratie verhindert</w:t>
      </w:r>
    </w:p>
    <w:bookmarkEnd w:id="29"/>
    <w:bookmarkStart w:id="30" w:name="module-3-typen-apparaten-techniek"/>
    <w:p>
      <w:pPr>
        <w:pStyle w:val="Heading3"/>
      </w:pPr>
      <w:r>
        <w:t xml:space="preserve">Module 3 — Typen apparaten &amp; techniek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640"/>
        <w:gridCol w:w="2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Voordeel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Percutaan (huidpenetrerend)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Cochlear Baha Connect, Oticon 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Beste krachtsoverdracht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Huidreacties, litteken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Passief transcutaan (magnetisch)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Baha Attract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open huid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 krachtverlies door huid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Actief transcutaan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Bonebridge (MED-EL), Osia 2 (Cochlear)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huidverlies, beste transcutane kracht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Groter implantaat, kosten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Niet-implanteerbaar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band, beengeleidingsbril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Niet-invasief, kinderen &lt;5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Minder kracht, comfort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Minimale leeftijd percutaan implantaat</w:t>
      </w:r>
      <w:r>
        <w:t xml:space="preserve">: 5 jaar (schedeldikte ≥3–4 mm vereist voor osseo-integratie).</w:t>
      </w:r>
    </w:p>
    <w:bookmarkEnd w:id="30"/>
    <w:bookmarkStart w:id="31" w:name="module-4-operatie-nazorg"/>
    <w:p>
      <w:pPr>
        <w:pStyle w:val="Heading3"/>
      </w:pPr>
      <w:r>
        <w:t xml:space="preserve">Module 4 — Operatie &amp; nazorg</w:t>
      </w:r>
    </w:p>
    <w:p>
      <w:pPr>
        <w:numPr>
          <w:ilvl w:val="0"/>
          <w:numId w:val="1006"/>
        </w:numPr>
        <w:pStyle w:val="Compact"/>
      </w:pPr>
      <w:r>
        <w:t xml:space="preserve">Percutaan: lokale anesthesie of sedatie; schedelbot aanboringen; titanium fixture (BAHA) of magneet (Attract/Bonebridge)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Osseo-integratiefase</w:t>
      </w:r>
      <w:r>
        <w:t xml:space="preserve">: 6–12 weken; geen belasting implantaat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Eerste activatie</w:t>
      </w:r>
      <w:r>
        <w:t xml:space="preserve">: na osseo-integratie; audiologische instelling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Follow-up</w:t>
      </w:r>
      <w:r>
        <w:t xml:space="preserve">: 6 weken, 3 maanden, vervolgens jaarlijks; evaluatie krachtsoverdracht, huidreacties</w:t>
      </w:r>
    </w:p>
    <w:p>
      <w:pPr>
        <w:pStyle w:val="FirstParagraph"/>
      </w:pPr>
      <w:r>
        <w:rPr>
          <w:bCs/>
          <w:b/>
        </w:rPr>
        <w:t xml:space="preserve">Huidreacties percutaan (Holgers-classificatie):</w:t>
      </w:r>
      <w:r>
        <w:t xml:space="preserve"> </w:t>
      </w:r>
      <w:r>
        <w:t xml:space="preserve">| Graad | Beschrijving | Behandeling |</w:t>
      </w:r>
      <w:r>
        <w:t xml:space="preserve"> </w:t>
      </w:r>
      <w:r>
        <w:t xml:space="preserve">|——-|————-|————-|</w:t>
      </w:r>
      <w:r>
        <w:t xml:space="preserve"> </w:t>
      </w:r>
      <w:r>
        <w:t xml:space="preserve">| 0 | Geen reactie | — |</w:t>
      </w:r>
      <w:r>
        <w:t xml:space="preserve"> </w:t>
      </w:r>
      <w:r>
        <w:t xml:space="preserve">| 1 | Lichte roodheid | Reinigen, lokaal antibioticum |</w:t>
      </w:r>
      <w:r>
        <w:t xml:space="preserve"> </w:t>
      </w:r>
      <w:r>
        <w:t xml:space="preserve">| 2 | Rode, vochtige huid | Lokale behandeling, evt. orale antibiotica |</w:t>
      </w:r>
      <w:r>
        <w:t xml:space="preserve"> </w:t>
      </w:r>
      <w:r>
        <w:t xml:space="preserve">| 3 | Granulaties, infectie | Antibiotica, soms chirurgische revisie |</w:t>
      </w:r>
      <w:r>
        <w:t xml:space="preserve"> </w:t>
      </w:r>
      <w:r>
        <w:t xml:space="preserve">| 4 | Huid-reactie leidt tot verwijdering implantaat | Verwijdering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BCD:</w:t>
      </w:r>
      <w:r>
        <w:t xml:space="preserve"> </w:t>
      </w:r>
      <w:r>
        <w:t xml:space="preserve">- Plotselinge pijn op implantaatplaats</w:t>
      </w:r>
      <w:r>
        <w:t xml:space="preserve"> </w:t>
      </w:r>
      <w:r>
        <w:t xml:space="preserve">- Ontsteking/zwelling rondom abutment</w:t>
      </w:r>
      <w:r>
        <w:t xml:space="preserve"> </w:t>
      </w:r>
      <w:r>
        <w:t xml:space="preserve">- Loslating van implantaat</w:t>
      </w:r>
      <w:r>
        <w:t xml:space="preserve"> </w:t>
      </w:r>
      <w:r>
        <w:t xml:space="preserve">- Plotselinge afname geluidsversterking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follow-up-na-cholesteatoomchirurgie"/>
    <w:p>
      <w:pPr>
        <w:pStyle w:val="Heading2"/>
      </w:pPr>
      <w:r>
        <w:t xml:space="preserve">3. Follow-up na cholesteatoomchirurgie</w:t>
      </w:r>
    </w:p>
    <w:bookmarkStart w:id="33" w:name="module-1-achtergrond-risicos"/>
    <w:p>
      <w:pPr>
        <w:pStyle w:val="Heading3"/>
      </w:pPr>
      <w:r>
        <w:t xml:space="preserve">Module 1 — Achtergrond &amp; risico’s</w:t>
      </w:r>
    </w:p>
    <w:p>
      <w:pPr>
        <w:numPr>
          <w:ilvl w:val="0"/>
          <w:numId w:val="1007"/>
        </w:numPr>
        <w:pStyle w:val="Compact"/>
      </w:pPr>
      <w:r>
        <w:t xml:space="preserve">Cholesteatoom = keratineus epitheel op abnormale locatie in middenoor/mastoïd; erosief, progressief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Recidieftypen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Residueel</w:t>
      </w:r>
      <w:r>
        <w:t xml:space="preserve">: achtergebleven ziekte (niet volledig verwijderd)</w:t>
      </w:r>
    </w:p>
    <w:p>
      <w:pPr>
        <w:numPr>
          <w:ilvl w:val="1"/>
          <w:numId w:val="1008"/>
        </w:numPr>
        <w:pStyle w:val="Compact"/>
      </w:pPr>
      <w:r>
        <w:rPr>
          <w:iCs/>
          <w:i/>
        </w:rPr>
        <w:t xml:space="preserve">Recidiverend</w:t>
      </w:r>
      <w:r>
        <w:t xml:space="preserve">: nieuw cholesteatoom vanuit retractiezak</w:t>
      </w:r>
    </w:p>
    <w:p>
      <w:pPr>
        <w:numPr>
          <w:ilvl w:val="0"/>
          <w:numId w:val="1007"/>
        </w:numPr>
        <w:pStyle w:val="Compact"/>
      </w:pPr>
      <w:r>
        <w:t xml:space="preserve">Recidiefkans afhankelijk van techniek: CWU (gesloten) ~20–40%; CWD (open) ~5–10%</w:t>
      </w:r>
    </w:p>
    <w:bookmarkEnd w:id="33"/>
    <w:bookmarkStart w:id="34" w:name="X0e414b6d2b87ee110c4f60258499dd04fbaf6c9"/>
    <w:p>
      <w:pPr>
        <w:pStyle w:val="Heading3"/>
      </w:pPr>
      <w:r>
        <w:t xml:space="preserve">Module 2 — Chirurgische technieken &amp; consequenties voor follow-up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8"/>
        <w:gridCol w:w="2124"/>
        <w:gridCol w:w="4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implicatie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CWU (Canal Wall 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Achterste gehoorgang intact; betere functie; hogere recidief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Second-look operatie na 9–12 mnd; DW-MRI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CWD (Canal Wall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mastoïdholte; meatoplastiek; lager recidief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Levenslange poliklinische reiniging (3–12 maandelijks)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TORP/PORP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Ossiculoplastiek bij gelegenheid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Audiologische evaluatie</w:t>
            </w:r>
          </w:p>
        </w:tc>
      </w:tr>
    </w:tbl>
    <w:bookmarkEnd w:id="34"/>
    <w:bookmarkStart w:id="35" w:name="module-3-non-epi-dw-mri-protocol"/>
    <w:p>
      <w:pPr>
        <w:pStyle w:val="Heading3"/>
      </w:pPr>
      <w:r>
        <w:t xml:space="preserve">Module 3 — Non-EPI DW-MRI protocol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Methode</w:t>
      </w:r>
      <w:r>
        <w:t xml:space="preserve">: non-EPI DW-MRI (ook wel HASTE-DWI of propeller-DWI); minder susceptibiliteitsartefacten dan EPI-DWI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Timing</w:t>
      </w:r>
      <w:r>
        <w:t xml:space="preserve">: minimaal 9–12 maanden postoperatief (wondgenezing volledig)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Detectiedrempel</w:t>
      </w:r>
      <w:r>
        <w:t xml:space="preserve">: laesies ≥3 mm; kleinere laesies mogelijk gemist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Sensitiviteit/specificiteit</w:t>
      </w:r>
      <w:r>
        <w:t xml:space="preserve">: &gt;90% voor laesies ≥3 mm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Protocol na CWU</w:t>
      </w:r>
      <w:r>
        <w:t xml:space="preserve">: MRI na 12 mnd → bij negatief: MRI na 3–5 jaar; bij positief: second-look operatie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Protocol na CWD</w:t>
      </w:r>
      <w:r>
        <w:t xml:space="preserve">: MRI minder strikt aangewezen; klinische follow-up volstaat bij goede holteverzorging</w:t>
      </w:r>
    </w:p>
    <w:bookmarkEnd w:id="35"/>
    <w:bookmarkStart w:id="36" w:name="module-4-second-look-operatie"/>
    <w:p>
      <w:pPr>
        <w:pStyle w:val="Heading3"/>
      </w:pPr>
      <w:r>
        <w:t xml:space="preserve">Module 4 — Second-look operatie</w:t>
      </w:r>
    </w:p>
    <w:p>
      <w:pPr>
        <w:pStyle w:val="FirstParagraph"/>
      </w:pPr>
      <w:r>
        <w:rPr>
          <w:bCs/>
          <w:b/>
        </w:rPr>
        <w:t xml:space="preserve">Indicaties:</w:t>
      </w:r>
      <w:r>
        <w:t xml:space="preserve"> </w:t>
      </w:r>
      <w:r>
        <w:t xml:space="preserve">- CWU-techniek + verdenking residueel cholesteatoom op DW-MRI</w:t>
      </w:r>
      <w:r>
        <w:t xml:space="preserve"> </w:t>
      </w:r>
      <w:r>
        <w:t xml:space="preserve">- CWU-techniek als routine (sommige centra) na 9–12 maanden</w:t>
      </w:r>
      <w:r>
        <w:t xml:space="preserve"> </w:t>
      </w:r>
      <w:r>
        <w:t xml:space="preserve">- Revisie ossiculoplastiek bij gelegenheid</w:t>
      </w:r>
    </w:p>
    <w:p>
      <w:pPr>
        <w:pStyle w:val="BodyText"/>
      </w:pPr>
      <w:r>
        <w:rPr>
          <w:bCs/>
          <w:b/>
        </w:rPr>
        <w:t xml:space="preserve">Timing</w:t>
      </w:r>
      <w:r>
        <w:t xml:space="preserve">: 9–18 maanden na primaire operatie</w:t>
      </w:r>
    </w:p>
    <w:bookmarkEnd w:id="36"/>
    <w:bookmarkStart w:id="37" w:name="module-5-audiologische-follow-up"/>
    <w:p>
      <w:pPr>
        <w:pStyle w:val="Heading3"/>
      </w:pPr>
      <w:r>
        <w:t xml:space="preserve">Module 5 — Audiologische follow-up</w:t>
      </w:r>
    </w:p>
    <w:p>
      <w:pPr>
        <w:numPr>
          <w:ilvl w:val="0"/>
          <w:numId w:val="1010"/>
        </w:numPr>
        <w:pStyle w:val="Compact"/>
      </w:pPr>
      <w:r>
        <w:t xml:space="preserve">Toonaudiogram preoperatief + 3–6 maanden postoperatief</w:t>
      </w:r>
    </w:p>
    <w:p>
      <w:pPr>
        <w:numPr>
          <w:ilvl w:val="0"/>
          <w:numId w:val="1010"/>
        </w:numPr>
        <w:pStyle w:val="Compact"/>
      </w:pPr>
      <w:r>
        <w:t xml:space="preserve">Evaluatie lucht-beengeleidingskloof (AC-BC gap) als maat voor ossiculaire reconstructie</w:t>
      </w:r>
    </w:p>
    <w:p>
      <w:pPr>
        <w:numPr>
          <w:ilvl w:val="0"/>
          <w:numId w:val="1010"/>
        </w:numPr>
        <w:pStyle w:val="Compact"/>
      </w:pPr>
      <w:r>
        <w:t xml:space="preserve">Bij persisterende geleiding &gt;30 dB: revisie ossiculoplastiek overwegen</w:t>
      </w:r>
    </w:p>
    <w:bookmarkEnd w:id="37"/>
    <w:bookmarkStart w:id="38" w:name="module-6-poliklinische-follow-up-cwd"/>
    <w:p>
      <w:pPr>
        <w:pStyle w:val="Heading3"/>
      </w:pPr>
      <w:r>
        <w:t xml:space="preserve">Module 6 — Poliklinische follow-up CWD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Frequentie reiniging</w:t>
      </w:r>
      <w:r>
        <w:t xml:space="preserve">: initieel 3-maandelijks; stabiel: 6–12 maandelijks; levenslang</w:t>
      </w:r>
    </w:p>
    <w:p>
      <w:pPr>
        <w:numPr>
          <w:ilvl w:val="0"/>
          <w:numId w:val="1011"/>
        </w:numPr>
        <w:pStyle w:val="Compact"/>
      </w:pPr>
      <w:r>
        <w:t xml:space="preserve">Preventie: oorprop bij zwemmen/douchen; geen water in holte</w:t>
      </w:r>
    </w:p>
    <w:p>
      <w:pPr>
        <w:numPr>
          <w:ilvl w:val="0"/>
          <w:numId w:val="1011"/>
        </w:numPr>
        <w:pStyle w:val="Compact"/>
      </w:pPr>
      <w:r>
        <w:t xml:space="preserve">Aandacht voor: granulaties (behandelen), cerumen, cholesteatoomrecidief, infectie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post-cholesteatoom:</w:t>
      </w:r>
      <w:r>
        <w:t xml:space="preserve"> </w:t>
      </w:r>
      <w:r>
        <w:t xml:space="preserve">- Otorroe met koorts → mastoïditis-recidief</w:t>
      </w:r>
      <w:r>
        <w:t xml:space="preserve"> </w:t>
      </w:r>
      <w:r>
        <w:t xml:space="preserve">- Plotselinge facialis-parese → compressie n. VII</w:t>
      </w:r>
      <w:r>
        <w:t xml:space="preserve"> </w:t>
      </w:r>
      <w:r>
        <w:t xml:space="preserve">- Duizeligheid → labyrintfistel of labyrinthitis</w:t>
      </w:r>
      <w:r>
        <w:t xml:space="preserve"> </w:t>
      </w:r>
      <w:r>
        <w:t xml:space="preserve">- Gehoorverlies plotseling progressief</w:t>
      </w:r>
      <w:r>
        <w:t xml:space="preserve"> </w:t>
      </w:r>
      <w:r>
        <w:t xml:space="preserve">- Pulsatiele tinnitus → vasculaire complicatie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ead62d9948fdabaf5cd73c2f96afcbc6eaf35f4"/>
    <w:p>
      <w:pPr>
        <w:pStyle w:val="Heading2"/>
      </w:pPr>
      <w:r>
        <w:t xml:space="preserve">4. Hoorzorg voor slechthorende kinderen van 4 tot 18 jaar</w:t>
      </w:r>
    </w:p>
    <w:bookmarkStart w:id="40" w:name="module-1-signalering-verwijzing"/>
    <w:p>
      <w:pPr>
        <w:pStyle w:val="Heading3"/>
      </w:pPr>
      <w:r>
        <w:t xml:space="preserve">Module 1 — Signalering &amp; verwijzing</w:t>
      </w:r>
    </w:p>
    <w:p>
      <w:pPr>
        <w:pStyle w:val="FirstParagraph"/>
      </w:pPr>
      <w:r>
        <w:rPr>
          <w:bCs/>
          <w:b/>
        </w:rPr>
        <w:t xml:space="preserve">Signalering in de schoolleeftijdsfase:</w:t>
      </w:r>
      <w:r>
        <w:t xml:space="preserve"> </w:t>
      </w:r>
      <w:r>
        <w:t xml:space="preserve">- School-audiometrie door jeugdgezondheidszorg (JGZ): OAE-screening groep 2 basisschool (ca. 4–5 jaar)</w:t>
      </w:r>
      <w:r>
        <w:t xml:space="preserve"> </w:t>
      </w:r>
      <w:r>
        <w:t xml:space="preserve">- Signalering door leerkrachten, ouders, huisarts: taalachterstand, slechte schoolprestaties, aandachtsproblemen</w:t>
      </w:r>
      <w:r>
        <w:t xml:space="preserve"> </w:t>
      </w:r>
      <w:r>
        <w:t xml:space="preserve">- Risicopopulaties: kinderen met recidiverende OME, prematuren, syndromale kinderen</w:t>
      </w:r>
    </w:p>
    <w:p>
      <w:pPr>
        <w:pStyle w:val="BodyText"/>
      </w:pPr>
      <w:r>
        <w:rPr>
          <w:bCs/>
          <w:b/>
        </w:rPr>
        <w:t xml:space="preserve">Verwijscriteria naar KNO/AC:</w:t>
      </w:r>
      <w:r>
        <w:t xml:space="preserve"> </w:t>
      </w:r>
      <w:r>
        <w:t xml:space="preserve">- Tweemaal aantoonbaar gehoorverlies bij school-audiometrie</w:t>
      </w:r>
      <w:r>
        <w:t xml:space="preserve"> </w:t>
      </w:r>
      <w:r>
        <w:t xml:space="preserve">- Spraak-taalontwikkelingsachterstand met gehoorverlies</w:t>
      </w:r>
      <w:r>
        <w:t xml:space="preserve"> </w:t>
      </w:r>
      <w:r>
        <w:t xml:space="preserve">- Vermoeden SNHL op enig leeftijdsmoment</w:t>
      </w:r>
    </w:p>
    <w:bookmarkEnd w:id="40"/>
    <w:bookmarkStart w:id="41" w:name="module-2-diagnostiek"/>
    <w:p>
      <w:pPr>
        <w:pStyle w:val="Heading3"/>
      </w:pPr>
      <w:r>
        <w:t xml:space="preserve">Module 2 — Diagnostiek</w:t>
      </w:r>
    </w:p>
    <w:p>
      <w:pPr>
        <w:pStyle w:val="FirstParagraph"/>
      </w:pPr>
      <w:r>
        <w:rPr>
          <w:bCs/>
          <w:b/>
        </w:rPr>
        <w:t xml:space="preserve">Leeftijdsspecifieke audiometrie:</w:t>
      </w:r>
      <w:r>
        <w:t xml:space="preserve"> </w:t>
      </w:r>
      <w:r>
        <w:t xml:space="preserve">| Leeftijd | Test |</w:t>
      </w:r>
      <w:r>
        <w:t xml:space="preserve"> </w:t>
      </w:r>
      <w:r>
        <w:t xml:space="preserve">|———-|——|</w:t>
      </w:r>
      <w:r>
        <w:t xml:space="preserve"> </w:t>
      </w:r>
      <w:r>
        <w:t xml:space="preserve">| 4–5 jaar | Spelaudiometrie (CPA), VRA |</w:t>
      </w:r>
      <w:r>
        <w:t xml:space="preserve"> </w:t>
      </w:r>
      <w:r>
        <w:t xml:space="preserve">| ≥5 jaar | Conventionele PTA |</w:t>
      </w:r>
      <w:r>
        <w:t xml:space="preserve"> </w:t>
      </w:r>
      <w:r>
        <w:t xml:space="preserve">| Alle leeftijden | OAE, tympanometrie, eventueel ABR |</w:t>
      </w:r>
    </w:p>
    <w:p>
      <w:pPr>
        <w:pStyle w:val="BodyText"/>
      </w:pPr>
      <w:r>
        <w:rPr>
          <w:bCs/>
          <w:b/>
        </w:rPr>
        <w:t xml:space="preserve">Aanvullend onderzoek bij SNHL:</w:t>
      </w:r>
      <w:r>
        <w:t xml:space="preserve"> </w:t>
      </w:r>
      <w:r>
        <w:t xml:space="preserve">- Genetische diagnostiek (GJB2/connexine 26, panel)</w:t>
      </w:r>
      <w:r>
        <w:t xml:space="preserve"> </w:t>
      </w:r>
      <w:r>
        <w:t xml:space="preserve">- CMV retrospectief (gedroogde bloedvlek Guthrie-kaart)</w:t>
      </w:r>
      <w:r>
        <w:t xml:space="preserve"> </w:t>
      </w:r>
      <w:r>
        <w:t xml:space="preserve">- CT/MRI temporaalbeen</w:t>
      </w:r>
      <w:r>
        <w:t xml:space="preserve"> </w:t>
      </w:r>
      <w:r>
        <w:t xml:space="preserve">- Oogonderzoek (Usher-syndroom)</w:t>
      </w:r>
      <w:r>
        <w:t xml:space="preserve"> </w:t>
      </w:r>
      <w:r>
        <w:t xml:space="preserve">- Cardiologisch (Jervell-Lange-Nielsen: verlengd QT-interval!)</w:t>
      </w:r>
    </w:p>
    <w:p>
      <w:pPr>
        <w:pStyle w:val="BodyText"/>
      </w:pPr>
      <w:r>
        <w:rPr>
          <w:bCs/>
          <w:b/>
        </w:rPr>
        <w:t xml:space="preserve">Spraakverstaan in ruis: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DIN-test</w:t>
      </w:r>
      <w:r>
        <w:t xml:space="preserve"> </w:t>
      </w:r>
      <w:r>
        <w:t xml:space="preserve">(digits in noise): gestandaardiseerd, ook voor kinderen ≥6 jaar</w:t>
      </w:r>
      <w:r>
        <w:t xml:space="preserve"> </w:t>
      </w:r>
      <w:r>
        <w:t xml:space="preserve">- Evalueert functionele hoorprestatie in alledaagse situaties</w:t>
      </w:r>
    </w:p>
    <w:bookmarkEnd w:id="41"/>
    <w:bookmarkStart w:id="42" w:name="module-3-behandeling"/>
    <w:p>
      <w:pPr>
        <w:pStyle w:val="Heading3"/>
      </w:pPr>
      <w:r>
        <w:t xml:space="preserve">Module 3 — Behandeling</w:t>
      </w:r>
    </w:p>
    <w:p>
      <w:pPr>
        <w:pStyle w:val="FirstParagraph"/>
      </w:pPr>
      <w:r>
        <w:rPr>
          <w:bCs/>
          <w:b/>
        </w:rPr>
        <w:t xml:space="preserve">Hoortoestellen:</w:t>
      </w:r>
      <w:r>
        <w:t xml:space="preserve"> </w:t>
      </w:r>
      <w:r>
        <w:t xml:space="preserve">- Volledig vergoed vanuit basisverzekering voor kinderen &lt;18 jaar</w:t>
      </w:r>
      <w:r>
        <w:t xml:space="preserve"> </w:t>
      </w:r>
      <w:r>
        <w:t xml:space="preserve">- Aanpassing via geaccrediteerd audiologisch centrum</w:t>
      </w:r>
      <w:r>
        <w:t xml:space="preserve"> </w:t>
      </w:r>
      <w:r>
        <w:t xml:space="preserve">- Real-ear measurement (REM) verplicht</w:t>
      </w:r>
      <w:r>
        <w:t xml:space="preserve"> </w:t>
      </w:r>
      <w:r>
        <w:t xml:space="preserve">- Evaluatie: na 3 maanden, daarna jaarlijks</w:t>
      </w:r>
    </w:p>
    <w:p>
      <w:pPr>
        <w:pStyle w:val="BodyText"/>
      </w:pPr>
      <w:r>
        <w:rPr>
          <w:bCs/>
          <w:b/>
        </w:rPr>
        <w:t xml:space="preserve">Schoolbegeleiding: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FM-systeem</w:t>
      </w:r>
      <w:r>
        <w:t xml:space="preserve">: draadloze microfoon bij leerkracht; signaal direct naar hoortoestel/CI; sterk aanbevolen bij slechthorende leerlingen</w:t>
      </w:r>
      <w:r>
        <w:t xml:space="preserve"> </w:t>
      </w:r>
      <w:r>
        <w:t xml:space="preserve">- Aanvraag ambulant begeleider (AB) via school</w:t>
      </w:r>
      <w:r>
        <w:t xml:space="preserve"> </w:t>
      </w:r>
      <w:r>
        <w:t xml:space="preserve">- Plaatsing in speciale onderwijssetting (VSO/SH) indien nodig</w:t>
      </w:r>
      <w:r>
        <w:t xml:space="preserve"> </w:t>
      </w:r>
      <w:r>
        <w:t xml:space="preserve">- Akoestische omgeving klaslokaal: nagalmtijd &lt;0.6 seconden aanbevolen</w:t>
      </w:r>
    </w:p>
    <w:p>
      <w:pPr>
        <w:pStyle w:val="BodyText"/>
      </w:pPr>
      <w:r>
        <w:rPr>
          <w:bCs/>
          <w:b/>
        </w:rPr>
        <w:t xml:space="preserve">Logopedie:</w:t>
      </w:r>
      <w:r>
        <w:t xml:space="preserve"> </w:t>
      </w:r>
      <w:r>
        <w:t xml:space="preserve">- Indicatie bij spraak-taalontwikkelingsachterstand</w:t>
      </w:r>
      <w:r>
        <w:t xml:space="preserve"> </w:t>
      </w:r>
      <w:r>
        <w:t xml:space="preserve">- Intensiteit afhankelijk van ernst verlies en communicatiemodus</w:t>
      </w:r>
    </w:p>
    <w:bookmarkEnd w:id="42"/>
    <w:bookmarkStart w:id="43" w:name="module-4-bijzondere-situaties"/>
    <w:p>
      <w:pPr>
        <w:pStyle w:val="Heading3"/>
      </w:pPr>
      <w:r>
        <w:t xml:space="preserve">Module 4 — Bijzondere situaties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Eenzijdige doofheid (SSD)</w:t>
      </w:r>
      <w:r>
        <w:t xml:space="preserve"> </w:t>
      </w:r>
      <w:r>
        <w:t xml:space="preserve">bij kinderen: CROS-toestel of BCD (soft band); effect op spraaktaalontwikkeling en schoolprestaties bewaken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Auditieve verwerkingsproblemen (AVP)</w:t>
      </w:r>
      <w:r>
        <w:t xml:space="preserve">: normaal perifeer gehoor maar moeilijkheden in lawaai; aparte diagnostiek en begeleiding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Ototoxiciteit</w:t>
      </w:r>
      <w:r>
        <w:t xml:space="preserve">: kinderen met oncologische behandeling (aminoglycosiden, cisplatine) → audiogram voor, tijdens en na behandeling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X9dd75cb26e1c944d40891dc0c190eedc81ddcc8"/>
    <w:p>
      <w:pPr>
        <w:pStyle w:val="Heading2"/>
      </w:pPr>
      <w:r>
        <w:t xml:space="preserve">5. Necrotiserende otitis externa (NOE) / Osteomyelitis schedelbasis</w:t>
      </w:r>
    </w:p>
    <w:bookmarkStart w:id="45" w:name="module-1-definitie-epidemiologie-1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13"/>
        </w:numPr>
        <w:pStyle w:val="Compact"/>
      </w:pPr>
      <w:r>
        <w:t xml:space="preserve">Invasieve infectie van de gehoorgang met uitbreiding naar schedelbasis, slaapbeen, middenoorbotten en omliggende weke delen</w:t>
      </w:r>
    </w:p>
    <w:p>
      <w:pPr>
        <w:numPr>
          <w:ilvl w:val="0"/>
          <w:numId w:val="1013"/>
        </w:numPr>
        <w:pStyle w:val="Compact"/>
      </w:pPr>
      <w:r>
        <w:t xml:space="preserve">Synoniemen: maligne otitis externa, skull base osteomyelitis</w:t>
      </w:r>
    </w:p>
    <w:p>
      <w:pPr>
        <w:numPr>
          <w:ilvl w:val="0"/>
          <w:numId w:val="1013"/>
        </w:numPr>
        <w:pStyle w:val="Compact"/>
      </w:pPr>
      <w:r>
        <w:t xml:space="preserve">Mortaliteit: 10–20% (hoger bij craniale zenuwuitval en intracraniële uitbreiding)</w:t>
      </w:r>
    </w:p>
    <w:bookmarkEnd w:id="45"/>
    <w:bookmarkStart w:id="46" w:name="module-2-risicofactoren-verwekkers"/>
    <w:p>
      <w:pPr>
        <w:pStyle w:val="Heading3"/>
      </w:pPr>
      <w:r>
        <w:t xml:space="preserve">Module 2 — Risicofactoren &amp; verwekkers</w:t>
      </w:r>
    </w:p>
    <w:p>
      <w:pPr>
        <w:pStyle w:val="FirstParagraph"/>
      </w:pPr>
      <w:r>
        <w:rPr>
          <w:bCs/>
          <w:b/>
        </w:rPr>
        <w:t xml:space="preserve">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Diabetes mellitus</w:t>
      </w:r>
      <w:r>
        <w:t xml:space="preserve"> </w:t>
      </w:r>
      <w:r>
        <w:t xml:space="preserve">(type 1 en 2; micro-angiopathie + immuunsuppressie): aanwezig bij &gt;90% van patiënten</w:t>
      </w:r>
      <w:r>
        <w:t xml:space="preserve"> </w:t>
      </w:r>
      <w:r>
        <w:t xml:space="preserve">- HIV/AIDS (CD4 &lt;200)</w:t>
      </w:r>
      <w:r>
        <w:t xml:space="preserve"> </w:t>
      </w:r>
      <w:r>
        <w:t xml:space="preserve">- Hematologische maligniteiten, chemotherapie</w:t>
      </w:r>
      <w:r>
        <w:t xml:space="preserve"> </w:t>
      </w:r>
      <w:r>
        <w:t xml:space="preserve">- Langdurig gebruik corticosteroïden</w:t>
      </w:r>
      <w:r>
        <w:t xml:space="preserve"> </w:t>
      </w:r>
      <w:r>
        <w:t xml:space="preserve">- Ouderdom</w:t>
      </w:r>
    </w:p>
    <w:p>
      <w:pPr>
        <w:pStyle w:val="BodyText"/>
      </w:pPr>
      <w:r>
        <w:rPr>
          <w:bCs/>
          <w:b/>
        </w:rPr>
        <w:t xml:space="preserve">Verwekkers: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Pseudomonas aeruginosa</w:t>
      </w:r>
      <w:r>
        <w:t xml:space="preserve">: &gt;90% van gevallen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Aspergillus</w:t>
      </w:r>
      <w:r>
        <w:t xml:space="preserve">-species: bij ernstig immuungecompromitteerden (HIV, neutropenie); slechtere prognose</w:t>
      </w:r>
      <w:r>
        <w:t xml:space="preserve"> </w:t>
      </w:r>
      <w:r>
        <w:t xml:space="preserve">- MRSA (zeldzaam)</w:t>
      </w:r>
      <w:r>
        <w:t xml:space="preserve"> </w:t>
      </w:r>
      <w:r>
        <w:t xml:space="preserve">- Candida, andere schimmels (zeldzaam)</w:t>
      </w:r>
    </w:p>
    <w:bookmarkEnd w:id="46"/>
    <w:bookmarkStart w:id="47" w:name="module-3-klinische-presentatie"/>
    <w:p>
      <w:pPr>
        <w:pStyle w:val="Heading3"/>
      </w:pPr>
      <w:r>
        <w:t xml:space="preserve">Module 3 — Klinische presentatie</w:t>
      </w:r>
    </w:p>
    <w:p>
      <w:pPr>
        <w:pStyle w:val="FirstParagraph"/>
      </w:pPr>
      <w:r>
        <w:rPr>
          <w:bCs/>
          <w:b/>
        </w:rPr>
        <w:t xml:space="preserve">Klassieke triade:</w:t>
      </w:r>
      <w:r>
        <w:t xml:space="preserve"> </w:t>
      </w:r>
      <w:r>
        <w:t xml:space="preserve">1. Ernstige, persisterende diepoorpijn (niet evenredig aan otoscopische bevindingen)</w:t>
      </w:r>
      <w:r>
        <w:t xml:space="preserve"> </w:t>
      </w:r>
      <w:r>
        <w:t xml:space="preserve">2. Otorroe (purulent)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Granulaties op de vloer van de gehoorgang</w:t>
      </w:r>
      <w:r>
        <w:t xml:space="preserve"> </w:t>
      </w:r>
      <w:r>
        <w:t xml:space="preserve">(ter hoogte van bony-cartilaginous junction = bodem-oorspleet) — pathognomonisch</w:t>
      </w:r>
    </w:p>
    <w:p>
      <w:pPr>
        <w:pStyle w:val="BodyText"/>
      </w:pPr>
      <w:r>
        <w:rPr>
          <w:bCs/>
          <w:b/>
        </w:rPr>
        <w:t xml:space="preserve">Craniale zenuwuitval (bij uitbreiding):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N. VII (facialis)</w:t>
      </w:r>
      <w:r>
        <w:t xml:space="preserve">: meest frequent; indicates meeste ernst</w:t>
      </w:r>
      <w:r>
        <w:t xml:space="preserve"> </w:t>
      </w:r>
      <w:r>
        <w:t xml:space="preserve">- N. IX, X, XI →</w:t>
      </w:r>
      <w:r>
        <w:t xml:space="preserve"> </w:t>
      </w:r>
      <w:r>
        <w:rPr>
          <w:bCs/>
          <w:b/>
        </w:rPr>
        <w:t xml:space="preserve">jugulare foramen syndroom</w:t>
      </w:r>
      <w:r>
        <w:t xml:space="preserve">: dysfagie, heesheid, schouderparese</w:t>
      </w:r>
      <w:r>
        <w:t xml:space="preserve"> </w:t>
      </w:r>
      <w:r>
        <w:t xml:space="preserve">- N. XII (hypoglossus): tongueparese</w:t>
      </w:r>
      <w:r>
        <w:t xml:space="preserve"> </w:t>
      </w:r>
      <w:r>
        <w:t xml:space="preserve">- N. VI (abducens): bij caverneuze sinus betrokkenheid</w:t>
      </w:r>
    </w:p>
    <w:bookmarkEnd w:id="47"/>
    <w:bookmarkStart w:id="48" w:name="module-4-diagnostiek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Laboratorium:</w:t>
      </w:r>
      <w:r>
        <w:t xml:space="preserve"> </w:t>
      </w:r>
      <w:r>
        <w:t xml:space="preserve">- CRP, BSE (inflammatiemarkers; voor diagnose én follow-up behandelrespons)</w:t>
      </w:r>
      <w:r>
        <w:t xml:space="preserve"> </w:t>
      </w:r>
      <w:r>
        <w:t xml:space="preserve">- Bloedglucose, HbA1c (diabetesregulatie)</w:t>
      </w:r>
      <w:r>
        <w:t xml:space="preserve"> </w:t>
      </w:r>
      <w:r>
        <w:t xml:space="preserve">- Volledig bloedbeeld, nierfunctie</w:t>
      </w:r>
      <w:r>
        <w:t xml:space="preserve"> </w:t>
      </w:r>
      <w:r>
        <w:t xml:space="preserve">- Kweek otorroe (Pseudomonas-sensitiviteitspatroon)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| Modaliteit | Rol | Informatie |</w:t>
      </w:r>
      <w:r>
        <w:t xml:space="preserve"> </w:t>
      </w:r>
      <w:r>
        <w:t xml:space="preserve">|———–|—–|———–|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 schedelbasis</w:t>
      </w:r>
      <w:r>
        <w:t xml:space="preserve"> </w:t>
      </w:r>
      <w:r>
        <w:t xml:space="preserve">| Diagnose, uitbreiding | Botdestructie, soft-tissue uitbreiding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MRI schedelbasis</w:t>
      </w:r>
      <w:r>
        <w:t xml:space="preserve"> </w:t>
      </w:r>
      <w:r>
        <w:t xml:space="preserve">| Diagnose, uitbreiding weke delen | Intracraniële betrokkenheid, meningitis, abces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⁹⁹mTc-MDP botscan</w:t>
      </w:r>
      <w:r>
        <w:t xml:space="preserve"> </w:t>
      </w:r>
      <w:r>
        <w:t xml:space="preserve">| Diagnose (sensitief) | Osteoblastische activiteit; niet specifiek; lange tijd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⁶⁷Ga-citraat scan</w:t>
      </w:r>
      <w:r>
        <w:t xml:space="preserve"> </w:t>
      </w:r>
      <w:r>
        <w:t xml:space="preserve">| Behandelrespons monitoring | Normaliseert bij genezing; voorkeur boven botscan voor follow-up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¹⁸F-FDG PET-CT</w:t>
      </w:r>
      <w:r>
        <w:t xml:space="preserve"> </w:t>
      </w:r>
      <w:r>
        <w:t xml:space="preserve">| Diagnose + follow-up | Meest sensitief en specifiek; ideaal voor response-evaluatie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Aanvullend onderzoek verplicht bij verdenking NOE:</w:t>
      </w:r>
      <w:r>
        <w:t xml:space="preserve"> </w:t>
      </w:r>
      <w:r>
        <w:t xml:space="preserve">- CT schedelbasis (altijd)</w:t>
      </w:r>
      <w:r>
        <w:t xml:space="preserve"> </w:t>
      </w:r>
      <w:r>
        <w:t xml:space="preserve">- MRI bij craniale zenuwuitval of intracraniële verdenking</w:t>
      </w:r>
      <w:r>
        <w:t xml:space="preserve"> </w:t>
      </w:r>
      <w:r>
        <w:t xml:space="preserve">- Kweek + histologie (biopt granulaties) → cave: plaveiselcelcarcinoom in DD!</w:t>
      </w:r>
      <w:r>
        <w:t xml:space="preserve"> </w:t>
      </w:r>
      <w:r>
        <w:t xml:space="preserve">- ⁶⁷Ga of FDG-PET voor baseline en behandelmonitoring</w:t>
      </w:r>
    </w:p>
    <w:bookmarkEnd w:id="48"/>
    <w:bookmarkStart w:id="49" w:name="module-5-behandeling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Antibiotische therapie:</w:t>
      </w:r>
      <w:r>
        <w:t xml:space="preserve"> </w:t>
      </w:r>
      <w:r>
        <w:t xml:space="preserve">| Situatie | Middel | Route | Duur |</w:t>
      </w:r>
      <w:r>
        <w:t xml:space="preserve"> </w:t>
      </w:r>
      <w:r>
        <w:t xml:space="preserve">|———|——–|——-|——|</w:t>
      </w:r>
      <w:r>
        <w:t xml:space="preserve"> </w:t>
      </w:r>
      <w:r>
        <w:t xml:space="preserve">| Pseudomonas, niet-ernstig |</w:t>
      </w:r>
      <w:r>
        <w:t xml:space="preserve"> </w:t>
      </w:r>
      <w:r>
        <w:rPr>
          <w:bCs/>
          <w:b/>
        </w:rPr>
        <w:t xml:space="preserve">Ciprofloxacine</w:t>
      </w:r>
      <w:r>
        <w:t xml:space="preserve"> </w:t>
      </w:r>
      <w:r>
        <w:t xml:space="preserve">750 mg 2dd | Oraal | 6–8 weken minimum |</w:t>
      </w:r>
      <w:r>
        <w:t xml:space="preserve"> </w:t>
      </w:r>
      <w:r>
        <w:t xml:space="preserve">| Pseudomonas, ernstig / IV-start | Ceftazidime, piperacilline-tazobactam | IV → switch naar oraal bij respons | 6–12 weken totaal |</w:t>
      </w:r>
      <w:r>
        <w:t xml:space="preserve"> </w:t>
      </w:r>
      <w:r>
        <w:t xml:space="preserve">| Aspergillus |</w:t>
      </w:r>
      <w:r>
        <w:t xml:space="preserve"> </w:t>
      </w:r>
      <w:r>
        <w:rPr>
          <w:bCs/>
          <w:b/>
        </w:rPr>
        <w:t xml:space="preserve">Voriconazol</w:t>
      </w:r>
      <w:r>
        <w:t xml:space="preserve"> </w:t>
      </w:r>
      <w:r>
        <w:t xml:space="preserve">(eerste keus) of amfotericine B | Oraal/IV | ≥3–6 maanden |</w:t>
      </w:r>
      <w:r>
        <w:t xml:space="preserve"> </w:t>
      </w:r>
      <w:r>
        <w:t xml:space="preserve">| MRSA | Vancomycine of linezolid | IV | Individueel |</w:t>
      </w:r>
    </w:p>
    <w:p>
      <w:pPr>
        <w:pStyle w:val="BodyText"/>
      </w:pPr>
      <w:r>
        <w:rPr>
          <w:bCs/>
          <w:b/>
        </w:rPr>
        <w:t xml:space="preserve">Behandelduur</w:t>
      </w:r>
      <w:r>
        <w:t xml:space="preserve">: minimaal 6–8 weken; doorgaan tot:</w:t>
      </w:r>
      <w:r>
        <w:t xml:space="preserve"> </w:t>
      </w:r>
      <w:r>
        <w:t xml:space="preserve">- Normalisatie CRP/BSE</w:t>
      </w:r>
      <w:r>
        <w:t xml:space="preserve"> </w:t>
      </w:r>
      <w:r>
        <w:t xml:space="preserve">- Negatieve ⁶⁷Ga-scan of FDG-PET</w:t>
      </w:r>
      <w:r>
        <w:t xml:space="preserve"> </w:t>
      </w:r>
      <w:r>
        <w:t xml:space="preserve">- Klinische genezing (geen pijn, geen otorroe)</w:t>
      </w:r>
    </w:p>
    <w:p>
      <w:pPr>
        <w:pStyle w:val="BodyText"/>
      </w:pPr>
      <w:r>
        <w:rPr>
          <w:bCs/>
          <w:b/>
        </w:rPr>
        <w:t xml:space="preserve">Aanvullende maatregelen: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Diabetesregulatie</w:t>
      </w:r>
      <w:r>
        <w:t xml:space="preserve">: strakke glucosecontrole, insulinetherapie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Lokaal debridement</w:t>
      </w:r>
      <w:r>
        <w:t xml:space="preserve">: verwijdering granulaties en necrotisch weefsel (beperkt chirurgisch)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Hyperbare zuurstof (HBO)</w:t>
      </w:r>
      <w:r>
        <w:t xml:space="preserve">: overwegen als adjuvante therapie bij onvoldoende respons; verbetert weefselperfusie</w:t>
      </w:r>
      <w:r>
        <w:t xml:space="preserve"> </w:t>
      </w:r>
      <w:r>
        <w:t xml:space="preserve">- Uitgebreide chirurgie zelden geïndiceerd; alleen bij abcedering of gefaald conservatief beleid</w:t>
      </w:r>
    </w:p>
    <w:bookmarkEnd w:id="49"/>
    <w:bookmarkStart w:id="50" w:name="module-6-follow-up-prognose"/>
    <w:p>
      <w:pPr>
        <w:pStyle w:val="Heading3"/>
      </w:pPr>
      <w:r>
        <w:t xml:space="preserve">Module 6 — Follow-up &amp; prognose</w:t>
      </w:r>
    </w:p>
    <w:p>
      <w:pPr>
        <w:numPr>
          <w:ilvl w:val="0"/>
          <w:numId w:val="1014"/>
        </w:numPr>
        <w:pStyle w:val="Compact"/>
      </w:pPr>
      <w:r>
        <w:t xml:space="preserve">Frequente poliklinische controle: wekelijks in actieve fase</w:t>
      </w:r>
    </w:p>
    <w:p>
      <w:pPr>
        <w:numPr>
          <w:ilvl w:val="0"/>
          <w:numId w:val="1014"/>
        </w:numPr>
        <w:pStyle w:val="Compact"/>
      </w:pPr>
      <w:r>
        <w:t xml:space="preserve">Labcontrole (CRP, nierfunctie bij nefrotoxische antibiotica): 2-wekelijks</w:t>
      </w:r>
    </w:p>
    <w:p>
      <w:pPr>
        <w:numPr>
          <w:ilvl w:val="0"/>
          <w:numId w:val="1014"/>
        </w:numPr>
        <w:pStyle w:val="Compact"/>
      </w:pPr>
      <w:r>
        <w:t xml:space="preserve">Beeldvorming: herhaal CT/MRI bij klinische achteruitgang; ⁶⁷Ga/FDG-PET voor geneesverklaring</w:t>
      </w:r>
    </w:p>
    <w:p>
      <w:pPr>
        <w:numPr>
          <w:ilvl w:val="0"/>
          <w:numId w:val="1014"/>
        </w:numPr>
        <w:pStyle w:val="Compact"/>
      </w:pPr>
      <w:r>
        <w:t xml:space="preserve">Recidief: mogelijk; risicofactor is onvoldoende behandelduur of ongecontroleerde DM</w:t>
      </w:r>
    </w:p>
    <w:p>
      <w:pPr>
        <w:numPr>
          <w:ilvl w:val="0"/>
          <w:numId w:val="1014"/>
        </w:numPr>
        <w:pStyle w:val="Compact"/>
      </w:pPr>
      <w:r>
        <w:t xml:space="preserve">Mortaliteit bij N. VII-parese: ~15–20%; bij meerdere craniale zenuwen: hoger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otitis-externa-oe"/>
    <w:p>
      <w:pPr>
        <w:pStyle w:val="Heading2"/>
      </w:pPr>
      <w:r>
        <w:t xml:space="preserve">6. Otitis Externa (OE)</w:t>
      </w:r>
    </w:p>
    <w:bookmarkStart w:id="52" w:name="module-1-definitie-indeling"/>
    <w:p>
      <w:pPr>
        <w:pStyle w:val="Heading3"/>
      </w:pPr>
      <w:r>
        <w:t xml:space="preserve">Module 1 — Definitie &amp; indeling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Acute diffuse OE</w:t>
      </w:r>
      <w:r>
        <w:t xml:space="preserve">: duur &lt;6 weken; meest voorkomend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Chronische OE</w:t>
      </w:r>
      <w:r>
        <w:t xml:space="preserve">: duur &gt;3 maanden; vaak allergisch, dermatologisch of fungaal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Otomycose</w:t>
      </w:r>
      <w:r>
        <w:t xml:space="preserve">: schimmelinfectie gehoorgang; vaak na antibioticakuur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Contactdermatitis</w:t>
      </w:r>
      <w:r>
        <w:t xml:space="preserve">: allergisch (nikkel, cosmetica, druppels) of irritatief</w:t>
      </w:r>
    </w:p>
    <w:bookmarkEnd w:id="52"/>
    <w:bookmarkStart w:id="53" w:name="module-2-pathofysiologie-verwekkers"/>
    <w:p>
      <w:pPr>
        <w:pStyle w:val="Heading3"/>
      </w:pPr>
      <w:r>
        <w:t xml:space="preserve">Module 2 — Pathofysiologie &amp; verwekkers</w:t>
      </w:r>
    </w:p>
    <w:p>
      <w:pPr>
        <w:numPr>
          <w:ilvl w:val="0"/>
          <w:numId w:val="1016"/>
        </w:numPr>
        <w:pStyle w:val="Compact"/>
      </w:pPr>
      <w:r>
        <w:t xml:space="preserve">Verstoring normale zure pH gehoorgang (normaal pH 4–5) → bacteriële overgroei</w:t>
      </w:r>
    </w:p>
    <w:p>
      <w:pPr>
        <w:numPr>
          <w:ilvl w:val="0"/>
          <w:numId w:val="1016"/>
        </w:numPr>
        <w:pStyle w:val="Compact"/>
      </w:pPr>
      <w:r>
        <w:t xml:space="preserve">Predisponerende factoren: zwemmen (maceratie, verwijdering cerumen), trauma, hoge luchtvochtigheid, gehoorapparaat, huid-aandoeningen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Verwekkers</w:t>
      </w:r>
      <w:r>
        <w:t xml:space="preserve">: Pseudomonas aeruginosa (38%), Staphylococcus aureus (23%), mengflora; Candida/Aspergillus bij otomycose</w:t>
      </w:r>
    </w:p>
    <w:bookmarkEnd w:id="53"/>
    <w:bookmarkStart w:id="54" w:name="module-3-diagnostiek-1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Klinische beoordeling:</w:t>
      </w:r>
      <w:r>
        <w:t xml:space="preserve"> </w:t>
      </w:r>
      <w:r>
        <w:t xml:space="preserve">- Otoscopie: zwelling, roodheid, otorroe, beoordeling trommelvlies</w:t>
      </w:r>
      <w:r>
        <w:t xml:space="preserve"> </w:t>
      </w:r>
      <w:r>
        <w:t xml:space="preserve">- Drukpijn tragus/auriculaire tractie: positief bij OE (onderscheid van otitis media)</w:t>
      </w:r>
      <w:r>
        <w:t xml:space="preserve"> </w:t>
      </w:r>
      <w:r>
        <w:t xml:space="preserve">- Beoordeling ernst (zie tabel)</w:t>
      </w:r>
      <w:r>
        <w:t xml:space="preserve"> </w:t>
      </w:r>
      <w:r>
        <w:t xml:space="preserve">- Kweek: bij ernstige OE, therapiefalen, immuunsuppressie, verdenking MRSA</w:t>
      </w:r>
    </w:p>
    <w:p>
      <w:pPr>
        <w:pStyle w:val="BodyText"/>
      </w:pPr>
      <w:r>
        <w:rPr>
          <w:bCs/>
          <w:b/>
        </w:rPr>
        <w:t xml:space="preserve">Classificatie ernst:</w:t>
      </w:r>
      <w:r>
        <w:t xml:space="preserve"> </w:t>
      </w:r>
      <w:r>
        <w:t xml:space="preserve">| Ernst | Gehoorgang | Symptomen | Behandeling |</w:t>
      </w:r>
      <w:r>
        <w:t xml:space="preserve"> </w:t>
      </w:r>
      <w:r>
        <w:t xml:space="preserve">|——-|———–|———–|————|</w:t>
      </w:r>
      <w:r>
        <w:t xml:space="preserve"> </w:t>
      </w:r>
      <w:r>
        <w:t xml:space="preserve">| Mild | Open (&gt;50%) | Pruritus, lichte pijn, geringe otorroe | Lokale druppels |</w:t>
      </w:r>
      <w:r>
        <w:t xml:space="preserve"> </w:t>
      </w:r>
      <w:r>
        <w:t xml:space="preserve">| Matig | Bijna gesloten (&lt;50%) | Matige pijn, gehoorverlies, meer otorroe | Lokale druppels + ear wick |</w:t>
      </w:r>
      <w:r>
        <w:t xml:space="preserve"> </w:t>
      </w:r>
      <w:r>
        <w:t xml:space="preserve">| Ernstig | Volledig gesloten / extensie buiten gehoorgang | Hevige pijn, koorts, lymfadenopathie, periorbitaal oedeem | Systemische antibiotica + lokaal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OE → direct handelen:</w:t>
      </w:r>
      <w:r>
        <w:t xml:space="preserve"> </w:t>
      </w:r>
      <w:r>
        <w:t xml:space="preserve">- Koorts + ernstige pijn bij diabeet/immuunsuppressie → uitsluiten NOE</w:t>
      </w:r>
      <w:r>
        <w:t xml:space="preserve"> </w:t>
      </w:r>
      <w:r>
        <w:t xml:space="preserve">- Periorbitaal oedeem → orbitale complicatie</w:t>
      </w:r>
      <w:r>
        <w:t xml:space="preserve"> </w:t>
      </w:r>
      <w:r>
        <w:t xml:space="preserve">- Facialis-uitval → NOE of andere ernstige infectie</w:t>
      </w:r>
      <w:r>
        <w:t xml:space="preserve"> </w:t>
      </w:r>
      <w:r>
        <w:t xml:space="preserve">- Granulaties op bodem gehoorgang → NOE (biopt verplicht)</w:t>
      </w:r>
    </w:p>
    <w:bookmarkEnd w:id="54"/>
    <w:bookmarkStart w:id="55" w:name="module-4-behandeling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Stap 1 — Reinigen (essentieel):</w:t>
      </w:r>
      <w:r>
        <w:t xml:space="preserve"> </w:t>
      </w:r>
      <w:r>
        <w:t xml:space="preserve">- Suigend uitvegen (preferred) of spoelen (alleen bij intact TM)</w:t>
      </w:r>
      <w:r>
        <w:t xml:space="preserve"> </w:t>
      </w:r>
      <w:r>
        <w:t xml:space="preserve">- Verwijdering debris, cerumen, pus: verplicht voor effectiviteit druppels</w:t>
      </w:r>
      <w:r>
        <w:t xml:space="preserve"> </w:t>
      </w:r>
      <w:r>
        <w:t xml:space="preserve">- Verbetert contact druppels met aangedane huid</w:t>
      </w:r>
    </w:p>
    <w:p>
      <w:pPr>
        <w:pStyle w:val="BodyText"/>
      </w:pPr>
      <w:r>
        <w:rPr>
          <w:bCs/>
          <w:b/>
        </w:rPr>
        <w:t xml:space="preserve">Stap 2 — Lokale therapie (voorkeur):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Antibioticum + corticosteroïd combinatiedruppels</w:t>
      </w:r>
      <w:r>
        <w:t xml:space="preserve">: meest effectief; bijv. ciprofloxacine/dexamethason, ofloxacine, framycetine/gramicidine/dexamethason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Toedieningsduur</w:t>
      </w:r>
      <w:r>
        <w:t xml:space="preserve">: 7–10 dagen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Ear wick (gaasstrook/otowick)</w:t>
      </w:r>
      <w:r>
        <w:t xml:space="preserve">: bij ernstig oedeem van de gehoorgang; geleider voor druppels; verwijderen na 2–3 dagen of zodra gehoorgang open genoeg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Aanzuren</w:t>
      </w:r>
      <w:r>
        <w:t xml:space="preserve">: 2% azijnzuurdruppels (preventief, ook therapeutisch bij mild OE)</w:t>
      </w:r>
    </w:p>
    <w:p>
      <w:pPr>
        <w:pStyle w:val="BodyText"/>
      </w:pPr>
      <w:r>
        <w:rPr>
          <w:bCs/>
          <w:b/>
        </w:rPr>
        <w:t xml:space="preserve">Stap 3 — Systemische antibiotica (alleen bij):</w:t>
      </w:r>
      <w:r>
        <w:t xml:space="preserve"> </w:t>
      </w:r>
      <w:r>
        <w:t xml:space="preserve">- Ernstige OE met koorts, cellulitis, lymfadenopathie</w:t>
      </w:r>
      <w:r>
        <w:t xml:space="preserve"> </w:t>
      </w:r>
      <w:r>
        <w:t xml:space="preserve">- Immuunsuppressie of diabetes</w:t>
      </w:r>
      <w:r>
        <w:t xml:space="preserve"> </w:t>
      </w:r>
      <w:r>
        <w:t xml:space="preserve">- Uitbreiding buiten gehoorgang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Keuze</w:t>
      </w:r>
      <w:r>
        <w:t xml:space="preserve">: amoxicilline-clavulanaat OF fluorochinoloon; duur 7–10 dagen</w:t>
      </w:r>
    </w:p>
    <w:p>
      <w:pPr>
        <w:pStyle w:val="BodyText"/>
      </w:pPr>
      <w:r>
        <w:rPr>
          <w:bCs/>
          <w:b/>
        </w:rPr>
        <w:t xml:space="preserve">Otomycose:</w:t>
      </w:r>
      <w:r>
        <w:t xml:space="preserve"> </w:t>
      </w:r>
      <w:r>
        <w:t xml:space="preserve">- Grondig reinigen (kritisch!)</w:t>
      </w:r>
      <w:r>
        <w:t xml:space="preserve"> </w:t>
      </w:r>
      <w:r>
        <w:t xml:space="preserve">- Lokale antimycotica: clotrimazol 1% druppels of poeder, econazolcrème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2–3 weken; cave recidief</w:t>
      </w:r>
      <w:r>
        <w:t xml:space="preserve"> </w:t>
      </w:r>
      <w:r>
        <w:t xml:space="preserve">- Stoppen antibiotische gehoorgangdruppels</w:t>
      </w:r>
    </w:p>
    <w:bookmarkEnd w:id="55"/>
    <w:bookmarkStart w:id="56" w:name="module-5-chronische-oe"/>
    <w:p>
      <w:pPr>
        <w:pStyle w:val="Heading3"/>
      </w:pPr>
      <w:r>
        <w:t xml:space="preserve">Module 5 — Chronische OE</w:t>
      </w:r>
    </w:p>
    <w:p>
      <w:pPr>
        <w:numPr>
          <w:ilvl w:val="0"/>
          <w:numId w:val="1017"/>
        </w:numPr>
        <w:pStyle w:val="Compact"/>
      </w:pPr>
      <w:r>
        <w:t xml:space="preserve">Allergie-evaluatie (patch-test): bij recidiverende OE</w:t>
      </w:r>
    </w:p>
    <w:p>
      <w:pPr>
        <w:numPr>
          <w:ilvl w:val="0"/>
          <w:numId w:val="1017"/>
        </w:numPr>
        <w:pStyle w:val="Compact"/>
      </w:pPr>
      <w:r>
        <w:t xml:space="preserve">Dermatologisch consult bij psoriasis, seborrhoïsch eczeem</w:t>
      </w:r>
    </w:p>
    <w:p>
      <w:pPr>
        <w:numPr>
          <w:ilvl w:val="0"/>
          <w:numId w:val="1017"/>
        </w:numPr>
        <w:pStyle w:val="Compact"/>
      </w:pPr>
      <w:r>
        <w:t xml:space="preserve">Behandeling onderliggende dermatose</w:t>
      </w:r>
    </w:p>
    <w:p>
      <w:pPr>
        <w:numPr>
          <w:ilvl w:val="0"/>
          <w:numId w:val="1017"/>
        </w:numPr>
        <w:pStyle w:val="Compact"/>
      </w:pPr>
      <w:r>
        <w:t xml:space="preserve">Langtermijn preventie: aanzuren na zwemmen, geen wattenstaafjes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97158f7e7aa7dc2ea08584d1ba1b7b2c8299c9a"/>
    <w:p>
      <w:pPr>
        <w:pStyle w:val="Heading2"/>
      </w:pPr>
      <w:r>
        <w:t xml:space="preserve">7. Perceptieve slechthorendheid bij volwassenen</w:t>
      </w:r>
    </w:p>
    <w:bookmarkStart w:id="58" w:name="module-1-definitie-etiologie"/>
    <w:p>
      <w:pPr>
        <w:pStyle w:val="Heading3"/>
      </w:pPr>
      <w:r>
        <w:t xml:space="preserve">Module 1 — Definitie &amp; etiologie</w:t>
      </w:r>
    </w:p>
    <w:p>
      <w:pPr>
        <w:pStyle w:val="FirstParagraph"/>
      </w:pPr>
      <w:r>
        <w:t xml:space="preserve">Perceptief (sensorineuraal) gehoorverlies (SNHL): schade aan cochlea (haarcellen) of n. cochlearis/centraal.</w:t>
      </w:r>
    </w:p>
    <w:p>
      <w:pPr>
        <w:pStyle w:val="BodyText"/>
      </w:pPr>
      <w:r>
        <w:rPr>
          <w:bCs/>
          <w:b/>
        </w:rPr>
        <w:t xml:space="preserve">Oorzaken:</w:t>
      </w:r>
      <w:r>
        <w:t xml:space="preserve"> </w:t>
      </w:r>
      <w:r>
        <w:t xml:space="preserve">| Oorzaak | Kenmerken |</w:t>
      </w:r>
      <w:r>
        <w:t xml:space="preserve"> </w:t>
      </w:r>
      <w:r>
        <w:t xml:space="preserve">|———|———–|</w:t>
      </w:r>
      <w:r>
        <w:t xml:space="preserve"> </w:t>
      </w:r>
      <w:r>
        <w:t xml:space="preserve">| Presbyacusis | Bilateraal, symmetrisch, hoogfrequent, progressief |</w:t>
      </w:r>
      <w:r>
        <w:t xml:space="preserve"> </w:t>
      </w:r>
      <w:r>
        <w:t xml:space="preserve">| Lawaaitrauma | Hoogfrequent (4 kHz-dip), chronisch of acuut |</w:t>
      </w:r>
      <w:r>
        <w:t xml:space="preserve"> </w:t>
      </w:r>
      <w:r>
        <w:t xml:space="preserve">| Plotseling SNHL (PSNHL) | Eenzijdig, acuut (&lt;72 uur) |</w:t>
      </w:r>
      <w:r>
        <w:t xml:space="preserve"> </w:t>
      </w:r>
      <w:r>
        <w:t xml:space="preserve">| Ototoxiciteit | Bilateraal, hoogfrequent; aminoglycosiden, cisplatine, loop-diuretica |</w:t>
      </w:r>
      <w:r>
        <w:t xml:space="preserve"> </w:t>
      </w:r>
      <w:r>
        <w:t xml:space="preserve">| Auto-immuun SNHL | Snel progressief bilateraal; reageert op corticosteroïden |</w:t>
      </w:r>
      <w:r>
        <w:t xml:space="preserve"> </w:t>
      </w:r>
      <w:r>
        <w:t xml:space="preserve">| Vestibularis schwannoom | Unilateraal, langzaam progressief; tinnitus |</w:t>
      </w:r>
      <w:r>
        <w:t xml:space="preserve"> </w:t>
      </w:r>
      <w:r>
        <w:t xml:space="preserve">| Menière | Fluctuerend laagfrequent; aanvallen duizeligheid |</w:t>
      </w:r>
      <w:r>
        <w:t xml:space="preserve"> </w:t>
      </w:r>
      <w:r>
        <w:t xml:space="preserve">| Hereditair | Diverse patronen; vroege onset |</w:t>
      </w:r>
    </w:p>
    <w:bookmarkEnd w:id="58"/>
    <w:bookmarkStart w:id="59" w:name="X435af8d69c9e286a9d4611bbabffd1acce31be6"/>
    <w:p>
      <w:pPr>
        <w:pStyle w:val="Heading3"/>
      </w:pPr>
      <w:r>
        <w:t xml:space="preserve">Module 2 — Plotseling perceptief gehoorverlies (PSNHL)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≥30 dB verlies in ≥3 aaneengesloten audiometrische frequenties, ontstaan binnen</w:t>
      </w:r>
      <w:r>
        <w:t xml:space="preserve"> </w:t>
      </w:r>
      <w:r>
        <w:rPr>
          <w:bCs/>
          <w:b/>
        </w:rPr>
        <w:t xml:space="preserve">72 uur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incidentie ~5–27/100.000/jaar; piek 40–55 jaar; idiopathisch in ~85–90%.</w:t>
      </w:r>
    </w:p>
    <w:p>
      <w:pPr>
        <w:pStyle w:val="BodyText"/>
      </w:pPr>
      <w:r>
        <w:rPr>
          <w:bCs/>
          <w:b/>
        </w:rPr>
        <w:t xml:space="preserve">Aanvullende diagnostiek: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(VSP-protocol): uitsluiten vestibularis schwannoom; bij voorkeur vóór behandeling of na 4–6 weken bij geen herstel</w:t>
      </w:r>
      <w:r>
        <w:t xml:space="preserve"> </w:t>
      </w:r>
      <w:r>
        <w:t xml:space="preserve">- Bloedonderzoek: volledig bloedbeeld, BSE, glucose, lipidenprofiel, schildklierfunctie, Borrelia-serologie (bij endemisch gebied)</w:t>
      </w:r>
      <w:r>
        <w:t xml:space="preserve"> </w:t>
      </w:r>
      <w:r>
        <w:t xml:space="preserve">- Tympanometrie (uitsluiten conductief component)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PSNHL:</w:t>
      </w:r>
      <w:r>
        <w:t xml:space="preserve"> </w:t>
      </w:r>
      <w:r>
        <w:t xml:space="preserve">- Bilateraal plotseling verlies → hoge prioriteit; neurologische oorzaak uitsluiten (CVA, MS)</w:t>
      </w:r>
      <w:r>
        <w:t xml:space="preserve"> </w:t>
      </w:r>
      <w:r>
        <w:t xml:space="preserve">- Gecombineerd met neurologische uitval → spoedreferral neurologie</w:t>
      </w:r>
      <w:r>
        <w:t xml:space="preserve"> </w:t>
      </w:r>
      <w:r>
        <w:t xml:space="preserve">- Progressie ondanks behandeling → herevaluatie diagnose</w:t>
      </w:r>
    </w:p>
    <w:p>
      <w:pPr>
        <w:pStyle w:val="FirstParagraph"/>
      </w:pPr>
      <w:r>
        <w:rPr>
          <w:bCs/>
          <w:b/>
        </w:rPr>
        <w:t xml:space="preserve">Behandeling PSNHL:</w:t>
      </w:r>
      <w:r>
        <w:t xml:space="preserve"> </w:t>
      </w:r>
      <w:r>
        <w:t xml:space="preserve">| Stap | Behandeling | Dosis | Duur |</w:t>
      </w:r>
      <w:r>
        <w:t xml:space="preserve"> </w:t>
      </w:r>
      <w:r>
        <w:t xml:space="preserve">|——|————|——-|——|</w:t>
      </w:r>
      <w:r>
        <w:t xml:space="preserve"> </w:t>
      </w:r>
      <w:r>
        <w:t xml:space="preserve">| Eerste keus |</w:t>
      </w:r>
      <w:r>
        <w:t xml:space="preserve"> </w:t>
      </w:r>
      <w:r>
        <w:rPr>
          <w:bCs/>
          <w:b/>
        </w:rPr>
        <w:t xml:space="preserve">Orale corticosteroïden</w:t>
      </w:r>
      <w:r>
        <w:t xml:space="preserve"> </w:t>
      </w:r>
      <w:r>
        <w:t xml:space="preserve">| Prednison 1 mg/kg/dag (max 60 mg) | 10 dagen, dan aftapering 5–10 dagen |</w:t>
      </w:r>
      <w:r>
        <w:t xml:space="preserve"> </w:t>
      </w:r>
      <w:r>
        <w:t xml:space="preserve">| Alternatief/aanvullend |</w:t>
      </w:r>
      <w:r>
        <w:t xml:space="preserve"> </w:t>
      </w:r>
      <w:r>
        <w:rPr>
          <w:bCs/>
          <w:b/>
        </w:rPr>
        <w:t xml:space="preserve">Intratympanale corticosteroïden (ITC)</w:t>
      </w:r>
      <w:r>
        <w:t xml:space="preserve"> </w:t>
      </w:r>
      <w:r>
        <w:t xml:space="preserve">| Methylprednisolon 40 mg/ml of dexamethason 4–24 mg/ml | 3–4 injecties over 2 weken |</w:t>
      </w:r>
      <w:r>
        <w:t xml:space="preserve"> </w:t>
      </w:r>
      <w:r>
        <w:t xml:space="preserve">| Salvage (onvoldoende respons) | ITC als rescue | Binnen 4–6 weken na onset | 3–4 injecties |</w:t>
      </w:r>
    </w:p>
    <w:p>
      <w:pPr>
        <w:numPr>
          <w:ilvl w:val="0"/>
          <w:numId w:val="1018"/>
        </w:numPr>
        <w:pStyle w:val="Compact"/>
      </w:pPr>
      <w:r>
        <w:t xml:space="preserve">ITC gelijkwaardig aan orale steroïden bij milde/matige PSNHL; voorkeur bij: DM, hypertensie, maagulcus, psychiatrische voorgeschiedenis</w:t>
      </w:r>
    </w:p>
    <w:p>
      <w:pPr>
        <w:numPr>
          <w:ilvl w:val="0"/>
          <w:numId w:val="1018"/>
        </w:numPr>
        <w:pStyle w:val="Compact"/>
      </w:pPr>
      <w:r>
        <w:t xml:space="preserve">Combinatietherapie (oraal + IT): overweeg bij ernstig verlies (&gt;60 dB)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Start behandeling zo snel mogelijk</w:t>
      </w:r>
      <w:r>
        <w:t xml:space="preserve">: effect aftakelt na &gt;2–4 weken van begin verlies</w:t>
      </w:r>
    </w:p>
    <w:p>
      <w:pPr>
        <w:numPr>
          <w:ilvl w:val="0"/>
          <w:numId w:val="1018"/>
        </w:numPr>
        <w:pStyle w:val="Compact"/>
      </w:pPr>
      <w:r>
        <w:t xml:space="preserve">Antivirale middelen (aciclovir, valaciclovir): geen aangetoonde meerwaarde als routine; overweeg bij verdenking herpes</w:t>
      </w:r>
    </w:p>
    <w:p>
      <w:pPr>
        <w:pStyle w:val="FirstParagraph"/>
      </w:pPr>
      <w:r>
        <w:rPr>
          <w:bCs/>
          <w:b/>
        </w:rPr>
        <w:t xml:space="preserve">Prognose PSNHL:</w:t>
      </w:r>
      <w:r>
        <w:t xml:space="preserve"> </w:t>
      </w:r>
      <w:r>
        <w:t xml:space="preserve">- Volledig herstel: ~30–65% (variabel per definitie)</w:t>
      </w:r>
      <w:r>
        <w:t xml:space="preserve"> </w:t>
      </w:r>
      <w:r>
        <w:t xml:space="preserve">- Betere prognose: mild verlies, opwaartse hellende curve (laagfrequente verliezen herstellen beter), jong, vroege behandeling</w:t>
      </w:r>
      <w:r>
        <w:t xml:space="preserve"> </w:t>
      </w:r>
      <w:r>
        <w:t xml:space="preserve">- Slechte prognose: ernstig/totaal verlies, dalende curve (hoogfrequent erger), ouderdom, duizeligheid</w:t>
      </w:r>
      <w:r>
        <w:t xml:space="preserve"> </w:t>
      </w:r>
      <w:r>
        <w:t xml:space="preserve">- Controle na 1 maand: audiogram</w:t>
      </w:r>
    </w:p>
    <w:bookmarkEnd w:id="59"/>
    <w:bookmarkStart w:id="60" w:name="module-3-auto-immuun-snhl"/>
    <w:p>
      <w:pPr>
        <w:pStyle w:val="Heading3"/>
      </w:pPr>
      <w:r>
        <w:t xml:space="preserve">Module 3 — Auto-immuun SNHL</w:t>
      </w:r>
    </w:p>
    <w:p>
      <w:pPr>
        <w:numPr>
          <w:ilvl w:val="0"/>
          <w:numId w:val="1019"/>
        </w:numPr>
        <w:pStyle w:val="Compact"/>
      </w:pPr>
      <w:r>
        <w:t xml:space="preserve">Snel progressief bilateraal SNHL (weken–maanden)</w:t>
      </w:r>
    </w:p>
    <w:p>
      <w:pPr>
        <w:numPr>
          <w:ilvl w:val="0"/>
          <w:numId w:val="1019"/>
        </w:numPr>
        <w:pStyle w:val="Compact"/>
      </w:pPr>
      <w:r>
        <w:t xml:space="preserve">Vrouwen vaker</w:t>
      </w:r>
    </w:p>
    <w:p>
      <w:pPr>
        <w:numPr>
          <w:ilvl w:val="0"/>
          <w:numId w:val="1019"/>
        </w:numPr>
        <w:pStyle w:val="Compact"/>
      </w:pPr>
      <w:r>
        <w:t xml:space="preserve">Geassocieerde auto-immuunziekten (SLE, RA, Cogan’s syndroom)</w:t>
      </w:r>
    </w:p>
    <w:p>
      <w:pPr>
        <w:numPr>
          <w:ilvl w:val="0"/>
          <w:numId w:val="1019"/>
        </w:numPr>
        <w:pStyle w:val="Compact"/>
      </w:pPr>
      <w:r>
        <w:t xml:space="preserve">Diagnostiek: anti-cochleaire antistoffen (beperkte specificiteit), ANA, ANCA, anti-dsDNA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Behandeling</w:t>
      </w:r>
      <w:r>
        <w:t xml:space="preserve">: prednison 1 mg/kg/dag → respons is diagnostisch</w:t>
      </w:r>
    </w:p>
    <w:p>
      <w:pPr>
        <w:numPr>
          <w:ilvl w:val="0"/>
          <w:numId w:val="1019"/>
        </w:numPr>
        <w:pStyle w:val="Compact"/>
      </w:pPr>
      <w:r>
        <w:t xml:space="preserve">Onderhoud: lage dosis prednison, methotrexaat of ciclosporine bij steroïdafhankelijkheid</w:t>
      </w:r>
    </w:p>
    <w:p>
      <w:pPr>
        <w:numPr>
          <w:ilvl w:val="0"/>
          <w:numId w:val="1019"/>
        </w:numPr>
        <w:pStyle w:val="Compact"/>
      </w:pPr>
      <w:r>
        <w:t xml:space="preserve">Duur behandeling: individueel; minimaal 6 maanden</w:t>
      </w:r>
    </w:p>
    <w:bookmarkEnd w:id="60"/>
    <w:bookmarkStart w:id="61" w:name="module-4-ototoxiciteit"/>
    <w:p>
      <w:pPr>
        <w:pStyle w:val="Heading3"/>
      </w:pPr>
      <w:r>
        <w:t xml:space="preserve">Module 4 — Ototoxiciteit</w:t>
      </w:r>
    </w:p>
    <w:p>
      <w:pPr>
        <w:pStyle w:val="FirstParagraph"/>
      </w:pPr>
      <w:r>
        <w:rPr>
          <w:bCs/>
          <w:b/>
        </w:rPr>
        <w:t xml:space="preserve">Ototoxische middelen:</w:t>
      </w:r>
      <w:r>
        <w:t xml:space="preserve"> </w:t>
      </w:r>
      <w:r>
        <w:t xml:space="preserve">- Aminoglycosiden (gentamicine, tobramycine, amikacine): cochleotoxisch + vestibulotoxisch</w:t>
      </w:r>
      <w:r>
        <w:t xml:space="preserve"> </w:t>
      </w:r>
      <w:r>
        <w:t xml:space="preserve">- Cisplatine: cochleotoxisch (hoogfrequent); cumulatief dosisafhankelijk</w:t>
      </w:r>
      <w:r>
        <w:t xml:space="preserve"> </w:t>
      </w:r>
      <w:r>
        <w:t xml:space="preserve">- Loop-diuretica (furosemide hoge dosis): reversibel</w:t>
      </w:r>
      <w:r>
        <w:t xml:space="preserve"> </w:t>
      </w:r>
      <w:r>
        <w:t xml:space="preserve">- Salicylaten (hoge dosis): reversibel tinnitus + gehoorverlies</w:t>
      </w:r>
    </w:p>
    <w:p>
      <w:pPr>
        <w:pStyle w:val="BodyText"/>
      </w:pPr>
      <w:r>
        <w:rPr>
          <w:bCs/>
          <w:b/>
        </w:rPr>
        <w:t xml:space="preserve">Monitoring</w:t>
      </w:r>
      <w:r>
        <w:t xml:space="preserve">: audiogram vóór, tijdens en na behandeling; bij cisplatine: ook DPOAE</w:t>
      </w:r>
      <w:r>
        <w:t xml:space="preserve"> </w:t>
      </w:r>
      <w:r>
        <w:rPr>
          <w:bCs/>
          <w:b/>
        </w:rPr>
        <w:t xml:space="preserve">Preventie cisplatine-ototoxiciteit</w:t>
      </w:r>
      <w:r>
        <w:t xml:space="preserve">: overweeg amifostine of N-acetylcysteïne (beperkt bewijs)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perifere-aangezichtsverlamming"/>
    <w:p>
      <w:pPr>
        <w:pStyle w:val="Heading2"/>
      </w:pPr>
      <w:r>
        <w:t xml:space="preserve">8. Perifere aangezichtsverlamming</w:t>
      </w:r>
    </w:p>
    <w:bookmarkStart w:id="63" w:name="module-1-definitie-epidemiologie-2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20"/>
        </w:numPr>
        <w:pStyle w:val="Compact"/>
      </w:pPr>
      <w:r>
        <w:t xml:space="preserve">Perifere (LMN) n. VII-parese: alle gelaatstakken aangedaan (inclusief voorhoofd)</w:t>
      </w:r>
    </w:p>
    <w:p>
      <w:pPr>
        <w:numPr>
          <w:ilvl w:val="0"/>
          <w:numId w:val="1020"/>
        </w:numPr>
        <w:pStyle w:val="Compact"/>
      </w:pPr>
      <w:r>
        <w:t xml:space="preserve">Onderscheid met centrale (UMN) parese: bij centrale parese is voorhoofd gespaard (bilaterale corticale innervatie)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Bell’s palsy</w:t>
      </w:r>
      <w:r>
        <w:t xml:space="preserve">: idiopathische perifere facialis-parese; incidentie ~20–30/100.000/jaar; piek 15–45 jaar</w:t>
      </w:r>
    </w:p>
    <w:bookmarkEnd w:id="63"/>
    <w:bookmarkStart w:id="64" w:name="module-2-etiologie"/>
    <w:p>
      <w:pPr>
        <w:pStyle w:val="Heading3"/>
      </w:pPr>
      <w:r>
        <w:t xml:space="preserve">Module 2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2810"/>
        <w:gridCol w:w="2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Bell’s palsy</w:t>
            </w:r>
            <w:r>
              <w:t xml:space="preserve"> </w:t>
            </w:r>
            <w:r>
              <w:t xml:space="preserve">(idiopathisch/HSV-1)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per exclusionem; acuut begin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Herpes zoster oticus (Ramsay Hunt)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Blaasjes op concha, EAC, palatum; + otalgie; soms SNHL + duizeligheid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Otitis media acuta / chronisch (cholesteatoom)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Druk/invasie n. VII in facialiskanaal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Parotistumor (maligne)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Langzame progressie, massa palpabel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Lyme-borreliose (Borrelia burgdorferi)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 (regionaal)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 mogelijk; serologische diagnostiek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Trauma (schedelbasisbreuk, iatrogeen)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 anamnsee; CT schedelbasis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Tumor n. VII (schwannoom, hemangioom)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Langzaam progressief; atypisch beloop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Sarcoidose (Heerfordt)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Bilateraal; parotiszwelling; uveïtis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Guillain-Barré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Zeldzaam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Bilateraal; areflexie; ascending</w:t>
            </w:r>
          </w:p>
        </w:tc>
      </w:tr>
    </w:tbl>
    <w:bookmarkEnd w:id="64"/>
    <w:bookmarkStart w:id="65" w:name="X888173a705d484541ad720badb0d4b9337a123c"/>
    <w:p>
      <w:pPr>
        <w:pStyle w:val="Heading3"/>
      </w:pPr>
      <w:r>
        <w:t xml:space="preserve">Module 3 — Classificatie: House-Brackmann schaal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6"/>
        <w:gridCol w:w="3226"/>
        <w:gridCol w:w="161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Klinische beschrijving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Oogluiting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disfunctie; nauwkeurig waarnemen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(eventueel met inspanning)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Lichte asymmetrie; goed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disfunctie; zichtbaar maar niet misvormd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 met krachtige inspanning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Matig-ernstig; duidelijk zwakte + misvorming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Onvolledig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Asymmetrisch, beperkt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Ernstig; nauwelijks beweging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Onvolledig (risico cornea-ulcus!)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Minimale beweging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Totale 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</w:tbl>
    <w:bookmarkEnd w:id="65"/>
    <w:bookmarkStart w:id="66" w:name="module-4-diagnostiek-1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Basis:</w:t>
      </w:r>
      <w:r>
        <w:t xml:space="preserve"> </w:t>
      </w:r>
      <w:r>
        <w:t xml:space="preserve">- Otoscopie (otitis media, cholesteatoom, vesiculae)</w:t>
      </w:r>
      <w:r>
        <w:t xml:space="preserve"> </w:t>
      </w:r>
      <w:r>
        <w:t xml:space="preserve">- Inspectie concha/EAC/palatum/gehoorgangwand op vesiculae (Ramsay Hunt)</w:t>
      </w:r>
      <w:r>
        <w:t xml:space="preserve"> </w:t>
      </w:r>
      <w:r>
        <w:t xml:space="preserve">- Volledig neurologisch onderzoek: uitsluiten centrale oorzaak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Borrelia IgM/IgG serologie</w:t>
      </w:r>
      <w:r>
        <w:t xml:space="preserve">: bij risicogebied of -anamnsee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gehoorgang/parotis</w:t>
      </w:r>
      <w:r>
        <w:t xml:space="preserve">: bij atypisch beloop, langzame progressie, geen herstel na 3–4 maanden, verdenking tumor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schedelbasis</w:t>
      </w:r>
      <w:r>
        <w:t xml:space="preserve">: bij trauma, verdenking cholesteatoom, chronisch otitis media</w:t>
      </w:r>
    </w:p>
    <w:p>
      <w:pPr>
        <w:pStyle w:val="BodyText"/>
      </w:pPr>
      <w:r>
        <w:rPr>
          <w:bCs/>
          <w:b/>
        </w:rPr>
        <w:t xml:space="preserve">Elektrofysiologisch onderzoek (timing!):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ENOG (electroneuronografie)</w:t>
      </w:r>
      <w:r>
        <w:t xml:space="preserve">: meting degeneratie motorische vezels; nuttig dag 3–14 na begin totale parese</w:t>
      </w:r>
      <w:r>
        <w:t xml:space="preserve"> </w:t>
      </w:r>
      <w:r>
        <w:t xml:space="preserve">- &gt;90% degeneratie binnen 14 dagen → slechte prognose → overweeg decompressie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EMG (electromyografie)</w:t>
      </w:r>
      <w:r>
        <w:t xml:space="preserve">: aanvulling op ENOG; fibrillatiepotentialen = walleriaanse degeneratie; willekeurige MU-potentialen = herstelkans</w:t>
      </w:r>
    </w:p>
    <w:p>
      <w:pPr>
        <w:pStyle w:val="BodyText"/>
      </w:pPr>
      <w:r>
        <w:rPr>
          <w:bCs/>
          <w:b/>
        </w:rPr>
        <w:t xml:space="preserve">Smaaktest (chorda tympani):</w:t>
      </w:r>
      <w:r>
        <w:t xml:space="preserve"> </w:t>
      </w:r>
      <w:r>
        <w:t xml:space="preserve">- Verlies smaak voorste 2/3 tong ipsilateraal → schade proximaal van chorda-aftakking (in facialiskanaal)</w:t>
      </w:r>
    </w:p>
    <w:bookmarkEnd w:id="66"/>
    <w:bookmarkStart w:id="67" w:name="module-5-behandeling-bells-palsy"/>
    <w:p>
      <w:pPr>
        <w:pStyle w:val="Heading3"/>
      </w:pPr>
      <w:r>
        <w:t xml:space="preserve">Module 5 — Behandeling Bell’s palsy</w:t>
      </w:r>
    </w:p>
    <w:p>
      <w:pPr>
        <w:pStyle w:val="FirstParagraph"/>
      </w:pPr>
      <w:r>
        <w:rPr>
          <w:bCs/>
          <w:b/>
        </w:rPr>
        <w:t xml:space="preserve">Corticosteroïden (sterk aanbevolen):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Prednison 1 mg/kg/dag</w:t>
      </w:r>
      <w:r>
        <w:t xml:space="preserve">, maximum 60 mg/dag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10 dagen (of: 5 dagen vol → aftapering 5 dagen)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Start</w:t>
      </w:r>
      <w:r>
        <w:t xml:space="preserve">: zo vroeg mogelijk, bij voorkeur</w:t>
      </w:r>
      <w:r>
        <w:t xml:space="preserve"> </w:t>
      </w:r>
      <w:r>
        <w:rPr>
          <w:bCs/>
          <w:b/>
        </w:rPr>
        <w:t xml:space="preserve">binnen 72 uur</w:t>
      </w:r>
      <w:r>
        <w:t xml:space="preserve"> </w:t>
      </w:r>
      <w:r>
        <w:t xml:space="preserve">na begin parese</w:t>
      </w:r>
      <w:r>
        <w:t xml:space="preserve"> </w:t>
      </w:r>
      <w:r>
        <w:t xml:space="preserve">- Bewijs: significant betere uitkomst (volledig herstel vaker, sneller)</w:t>
      </w:r>
    </w:p>
    <w:p>
      <w:pPr>
        <w:pStyle w:val="BodyText"/>
      </w:pPr>
      <w:r>
        <w:rPr>
          <w:bCs/>
          <w:b/>
        </w:rPr>
        <w:t xml:space="preserve">Antivirale middelen: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Valaciclovir</w:t>
      </w:r>
      <w:r>
        <w:t xml:space="preserve"> </w:t>
      </w:r>
      <w:r>
        <w:t xml:space="preserve">1000 mg 3dd gedurende 7 dagen (of aciclovir 400 mg 5dd)</w:t>
      </w:r>
      <w:r>
        <w:t xml:space="preserve"> </w:t>
      </w:r>
      <w:r>
        <w:t xml:space="preserve">- Aanbevolen bij: HB V–VI of verdenking Ramsay Hunt (zovirax/valaciclovir duidelijk bewezen bij RH)</w:t>
      </w:r>
      <w:r>
        <w:t xml:space="preserve"> </w:t>
      </w:r>
      <w:r>
        <w:t xml:space="preserve">- Twijfelachtige meerwaarde bij milde Bell’s palsy (HB I–IV); overwegen als aanvulling</w:t>
      </w:r>
    </w:p>
    <w:p>
      <w:pPr>
        <w:pStyle w:val="BodyText"/>
      </w:pPr>
      <w:r>
        <w:rPr>
          <w:bCs/>
          <w:b/>
        </w:rPr>
        <w:t xml:space="preserve">Ramsay Hunt specifiek:</w:t>
      </w:r>
      <w:r>
        <w:t xml:space="preserve"> </w:t>
      </w:r>
      <w:r>
        <w:t xml:space="preserve">- Altijd antivirale therapie (valaciclovir 1000 mg 3dd, 7–10 dagen) + corticosteroïden</w:t>
      </w:r>
      <w:r>
        <w:t xml:space="preserve"> </w:t>
      </w:r>
      <w:r>
        <w:t xml:space="preserve">- Prognose slechter dan Bell’s palsy: volledig herstel slechts ~50–70%</w:t>
      </w:r>
      <w:r>
        <w:t xml:space="preserve"> </w:t>
      </w:r>
      <w:r>
        <w:t xml:space="preserve">- Extra aandacht: SNHL, duizeligheid, pijn behandelen</w:t>
      </w:r>
    </w:p>
    <w:p>
      <w:pPr>
        <w:pStyle w:val="BodyText"/>
      </w:pPr>
      <w:r>
        <w:rPr>
          <w:bCs/>
          <w:b/>
        </w:rPr>
        <w:t xml:space="preserve">Oogbescherming (ESSENTIEEL bij HB ≥III):</w:t>
      </w:r>
      <w:r>
        <w:t xml:space="preserve"> </w:t>
      </w:r>
      <w:r>
        <w:t xml:space="preserve">- Kunsttranen: 4–6× per dag</w:t>
      </w:r>
      <w:r>
        <w:t xml:space="preserve"> </w:t>
      </w:r>
      <w:r>
        <w:t xml:space="preserve">- Oogzalf: ’s nachts</w:t>
      </w:r>
      <w:r>
        <w:t xml:space="preserve"> </w:t>
      </w:r>
      <w:r>
        <w:t xml:space="preserve">- Vochtigheidskamer (moisture chamber) of taping bij onvolledige oogluiting</w:t>
      </w:r>
      <w:r>
        <w:t xml:space="preserve"> </w:t>
      </w:r>
      <w:r>
        <w:t xml:space="preserve">- Oogklapje bij ernstige lagophthalmus</w:t>
      </w:r>
      <w:r>
        <w:t xml:space="preserve"> </w:t>
      </w:r>
      <w:r>
        <w:t xml:space="preserve">- Ophthalmoloog-consult bij cornea-dreiging</w:t>
      </w:r>
    </w:p>
    <w:p>
      <w:pPr>
        <w:pStyle w:val="BodyText"/>
      </w:pPr>
      <w:r>
        <w:rPr>
          <w:bCs/>
          <w:b/>
        </w:rPr>
        <w:t xml:space="preserve">Fysiotherapie/mimetherapie:</w:t>
      </w:r>
      <w:r>
        <w:t xml:space="preserve"> </w:t>
      </w:r>
      <w:r>
        <w:t xml:space="preserve">- Bij langdurige uitval (&gt;3 maanden): mimetraining ter preventie synkinesieën</w:t>
      </w:r>
    </w:p>
    <w:bookmarkEnd w:id="67"/>
    <w:bookmarkStart w:id="68" w:name="module-6-chirurgie-decompressie-n.-vii"/>
    <w:p>
      <w:pPr>
        <w:pStyle w:val="Heading3"/>
      </w:pPr>
      <w:r>
        <w:t xml:space="preserve">Module 6 — Chirurgie (decompressie n. VII)</w:t>
      </w:r>
    </w:p>
    <w:p>
      <w:pPr>
        <w:pStyle w:val="FirstParagraph"/>
      </w:pPr>
      <w:r>
        <w:rPr>
          <w:bCs/>
          <w:b/>
        </w:rPr>
        <w:t xml:space="preserve">Indicatie (controversieel, beperkt bewijs):</w:t>
      </w:r>
      <w:r>
        <w:t xml:space="preserve"> </w:t>
      </w:r>
      <w:r>
        <w:t xml:space="preserve">- ENOG-degeneratie &gt;90% én geen willekeurige motorische activiteit op EMG</w:t>
      </w:r>
      <w:r>
        <w:t xml:space="preserve"> </w:t>
      </w:r>
      <w:r>
        <w:t xml:space="preserve">- Binnen 14 dagen na begin totale parese</w:t>
      </w:r>
      <w:r>
        <w:t xml:space="preserve"> </w:t>
      </w:r>
      <w:r>
        <w:t xml:space="preserve">- Bij Bell’s palsy: zelden uitgevoerd</w:t>
      </w:r>
      <w:r>
        <w:t xml:space="preserve"> </w:t>
      </w:r>
      <w:r>
        <w:t xml:space="preserve">- Bij Ramsay Hunt: idem</w:t>
      </w:r>
    </w:p>
    <w:p>
      <w:pPr>
        <w:pStyle w:val="BodyText"/>
      </w:pPr>
      <w:r>
        <w:rPr>
          <w:bCs/>
          <w:b/>
        </w:rPr>
        <w:t xml:space="preserve">Benaderingen:</w:t>
      </w:r>
      <w:r>
        <w:t xml:space="preserve"> </w:t>
      </w:r>
      <w:r>
        <w:t xml:space="preserve">- Transmastoidaal + middle fossa: volledige decompressie ganglion geniculi t/m stylomastoïd foramen</w:t>
      </w:r>
      <w:r>
        <w:t xml:space="preserve"> </w:t>
      </w:r>
      <w:r>
        <w:t xml:space="preserve">- Risico: SNHL door middle fossa benadering</w:t>
      </w:r>
    </w:p>
    <w:bookmarkEnd w:id="68"/>
    <w:bookmarkStart w:id="69" w:name="module-7-sequelae-prognose"/>
    <w:p>
      <w:pPr>
        <w:pStyle w:val="Heading3"/>
      </w:pPr>
      <w:r>
        <w:t xml:space="preserve">Module 7 — Sequelae &amp; prognose</w:t>
      </w:r>
    </w:p>
    <w:p>
      <w:pPr>
        <w:numPr>
          <w:ilvl w:val="0"/>
          <w:numId w:val="1021"/>
        </w:numPr>
        <w:pStyle w:val="Compact"/>
      </w:pPr>
      <w:r>
        <w:t xml:space="preserve">Volledig herstel Bell’s palsy: 70–85%</w:t>
      </w:r>
    </w:p>
    <w:p>
      <w:pPr>
        <w:numPr>
          <w:ilvl w:val="0"/>
          <w:numId w:val="1021"/>
        </w:numPr>
        <w:pStyle w:val="Compact"/>
      </w:pPr>
      <w:r>
        <w:t xml:space="preserve">Sequelae:</w:t>
      </w:r>
      <w:r>
        <w:t xml:space="preserve"> </w:t>
      </w:r>
      <w:r>
        <w:rPr>
          <w:bCs/>
          <w:b/>
        </w:rPr>
        <w:t xml:space="preserve">synkinesieën</w:t>
      </w:r>
      <w:r>
        <w:t xml:space="preserve"> </w:t>
      </w:r>
      <w:r>
        <w:t xml:space="preserve">(onwillekeurige mede-bewegingen, bijv. oog knijpen bij glimlachen), contractuur, crocodile tears (lacrimatie bij eten door aberrante re-innervatie chorda-lacrimalis)</w:t>
      </w:r>
    </w:p>
    <w:p>
      <w:pPr>
        <w:numPr>
          <w:ilvl w:val="0"/>
          <w:numId w:val="1021"/>
        </w:numPr>
        <w:pStyle w:val="Compact"/>
      </w:pPr>
      <w:r>
        <w:t xml:space="preserve">Behandeling synkinesieën:</w:t>
      </w:r>
      <w:r>
        <w:t xml:space="preserve"> </w:t>
      </w:r>
      <w:r>
        <w:rPr>
          <w:bCs/>
          <w:b/>
        </w:rPr>
        <w:t xml:space="preserve">botulinetoxine</w:t>
      </w:r>
      <w:r>
        <w:t xml:space="preserve"> </w:t>
      </w:r>
      <w:r>
        <w:t xml:space="preserve">(effectief), biofeedback</w:t>
      </w:r>
    </w:p>
    <w:p>
      <w:pPr>
        <w:numPr>
          <w:ilvl w:val="0"/>
          <w:numId w:val="1021"/>
        </w:numPr>
        <w:pStyle w:val="Compact"/>
      </w:pPr>
      <w:r>
        <w:t xml:space="preserve">Slechte prognostische factoren: leeftijd &gt;60 jaar, totale parese (HB VI), diabetes, hypertensie, hoge ENOG-degeneratie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perifere facialis-parese:</w:t>
      </w:r>
      <w:r>
        <w:t xml:space="preserve"> </w:t>
      </w:r>
      <w:r>
        <w:t xml:space="preserve">- Bilaterale facialis-parese → altijd aanvullend neurologisch onderzoek (GBS, Lyme, sarcoidose)</w:t>
      </w:r>
      <w:r>
        <w:t xml:space="preserve"> </w:t>
      </w:r>
      <w:r>
        <w:t xml:space="preserve">- Voorhoofdbespaard → centrale parese: CVA, MS, tumor → spoedneuurologie</w:t>
      </w:r>
      <w:r>
        <w:t xml:space="preserve"> </w:t>
      </w:r>
      <w:r>
        <w:t xml:space="preserve">- Langzaam progressief (maanden) → tumor n. VII of parotis → MRI</w:t>
      </w:r>
      <w:r>
        <w:t xml:space="preserve"> </w:t>
      </w:r>
      <w:r>
        <w:t xml:space="preserve">- Geen herstel na 4 maanden → aanvullend MRI</w:t>
      </w:r>
      <w:r>
        <w:t xml:space="preserve"> </w:t>
      </w:r>
      <w:r>
        <w:t xml:space="preserve">- Recidief ipsilaterale parese → tumor overwegen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slechthorendheid-op-de-kinderleeftijd"/>
    <w:p>
      <w:pPr>
        <w:pStyle w:val="Heading2"/>
      </w:pPr>
      <w:r>
        <w:t xml:space="preserve">9. Slechthorendheid op de kinderleeftijd</w:t>
      </w:r>
    </w:p>
    <w:bookmarkStart w:id="71" w:name="module-1-neonatale-gehoorscreening-nhs"/>
    <w:p>
      <w:pPr>
        <w:pStyle w:val="Heading3"/>
      </w:pPr>
      <w:r>
        <w:t xml:space="preserve">Module 1 — Neonatale gehoorscreening (NHS)</w:t>
      </w:r>
    </w:p>
    <w:p>
      <w:pPr>
        <w:pStyle w:val="FirstParagraph"/>
      </w:pPr>
      <w:r>
        <w:rPr>
          <w:bCs/>
          <w:b/>
        </w:rPr>
        <w:t xml:space="preserve">Doelstelling</w:t>
      </w:r>
      <w:r>
        <w:t xml:space="preserve">: vroege opsporing aangeboren slechthorendheid; streven naar</w:t>
      </w:r>
      <w:r>
        <w:t xml:space="preserve"> </w:t>
      </w:r>
      <w:r>
        <w:rPr>
          <w:bCs/>
          <w:b/>
        </w:rPr>
        <w:t xml:space="preserve">1-3-6 regel</w:t>
      </w:r>
      <w:r>
        <w:t xml:space="preserve">:</w:t>
      </w:r>
      <w:r>
        <w:t xml:space="preserve"> </w:t>
      </w:r>
      <w:r>
        <w:t xml:space="preserve">- Diagnose bevestigd vóór</w:t>
      </w:r>
      <w:r>
        <w:t xml:space="preserve"> </w:t>
      </w:r>
      <w:r>
        <w:rPr>
          <w:bCs/>
          <w:b/>
        </w:rPr>
        <w:t xml:space="preserve">1 maand</w:t>
      </w:r>
      <w:r>
        <w:t xml:space="preserve"> </w:t>
      </w:r>
      <w:r>
        <w:t xml:space="preserve">- Hoortoestellen geplaatst vóór</w:t>
      </w:r>
      <w:r>
        <w:t xml:space="preserve"> </w:t>
      </w:r>
      <w:r>
        <w:rPr>
          <w:bCs/>
          <w:b/>
        </w:rPr>
        <w:t xml:space="preserve">3 maanden</w:t>
      </w:r>
      <w:r>
        <w:t xml:space="preserve"> </w:t>
      </w:r>
      <w:r>
        <w:t xml:space="preserve">- Audiologische revalidatie gestart vóór</w:t>
      </w:r>
      <w:r>
        <w:t xml:space="preserve"> </w:t>
      </w:r>
      <w:r>
        <w:rPr>
          <w:bCs/>
          <w:b/>
        </w:rPr>
        <w:t xml:space="preserve">6 maanden</w:t>
      </w:r>
    </w:p>
    <w:p>
      <w:pPr>
        <w:pStyle w:val="BodyText"/>
      </w:pPr>
      <w:r>
        <w:rPr>
          <w:bCs/>
          <w:b/>
        </w:rPr>
        <w:t xml:space="preserve">Screeningsalgoritme: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OAE</w:t>
      </w:r>
      <w:r>
        <w:t xml:space="preserve"> </w:t>
      </w:r>
      <w:r>
        <w:t xml:space="preserve">(otoacoustische emissies): dag 3–5; 2 pogingen bij</w:t>
      </w:r>
      <w:r>
        <w:t xml:space="preserve"> </w:t>
      </w:r>
      <w:r>
        <w:t xml:space="preserve">‘</w:t>
      </w:r>
      <w:r>
        <w:t xml:space="preserve">refer</w:t>
      </w:r>
      <w:r>
        <w:t xml:space="preserve">’</w:t>
      </w:r>
      <w:r>
        <w:t xml:space="preserve"> </w:t>
      </w:r>
      <w:r>
        <w:t xml:space="preserve">2. Bij refer OAE →</w:t>
      </w:r>
      <w:r>
        <w:t xml:space="preserve"> </w:t>
      </w:r>
      <w:r>
        <w:rPr>
          <w:bCs/>
          <w:b/>
        </w:rPr>
        <w:t xml:space="preserve">AABR</w:t>
      </w:r>
      <w:r>
        <w:t xml:space="preserve"> </w:t>
      </w:r>
      <w:r>
        <w:t xml:space="preserve">(automated ABR): dag 10–14</w:t>
      </w:r>
      <w:r>
        <w:t xml:space="preserve"> </w:t>
      </w:r>
      <w:r>
        <w:t xml:space="preserve">3. Bij refer AABR → verwijzing AC voor diagnostische ABR</w:t>
      </w:r>
    </w:p>
    <w:p>
      <w:pPr>
        <w:pStyle w:val="BodyText"/>
      </w:pPr>
      <w:r>
        <w:rPr>
          <w:bCs/>
          <w:b/>
        </w:rPr>
        <w:t xml:space="preserve">Oorzaken vals-positief NHS</w:t>
      </w:r>
      <w:r>
        <w:t xml:space="preserve">: OAE-refer bij OME, vernixprop,</w:t>
      </w:r>
      <w:r>
        <w:t xml:space="preserve"> </w:t>
      </w:r>
      <w:r>
        <w:t xml:space="preserve">‘</w:t>
      </w:r>
      <w:r>
        <w:t xml:space="preserve">noisy</w:t>
      </w:r>
      <w:r>
        <w:t xml:space="preserve">’</w:t>
      </w:r>
      <w:r>
        <w:t xml:space="preserve"> </w:t>
      </w:r>
      <w:r>
        <w:t xml:space="preserve">omgeving; AABR-refer bij retrocochleaire pathologie</w:t>
      </w:r>
    </w:p>
    <w:bookmarkEnd w:id="71"/>
    <w:bookmarkStart w:id="72" w:name="module-2-epidemiologie-etiologie"/>
    <w:p>
      <w:pPr>
        <w:pStyle w:val="Heading3"/>
      </w:pPr>
      <w:r>
        <w:t xml:space="preserve">Module 2 — Epidemiologie &amp; etiologie</w:t>
      </w:r>
    </w:p>
    <w:p>
      <w:pPr>
        <w:pStyle w:val="FirstParagraph"/>
      </w:pPr>
      <w:r>
        <w:rPr>
          <w:bCs/>
          <w:b/>
        </w:rPr>
        <w:t xml:space="preserve">Prevalentie</w:t>
      </w:r>
      <w:r>
        <w:t xml:space="preserve">: ~1–3 per 1000 levendgeborenen met bilateraal gehoorverlies &gt;40 dB HL; ~1–2/1000 eenzijdig.</w:t>
      </w:r>
    </w:p>
    <w:p>
      <w:pPr>
        <w:pStyle w:val="BodyText"/>
      </w:pPr>
      <w:r>
        <w:rPr>
          <w:bCs/>
          <w:b/>
        </w:rPr>
        <w:t xml:space="preserve">Etiologie:</w:t>
      </w:r>
      <w:r>
        <w:t xml:space="preserve"> </w:t>
      </w:r>
      <w:r>
        <w:t xml:space="preserve">| Categorie | Percentage | Voorbeelden |</w:t>
      </w:r>
      <w:r>
        <w:t xml:space="preserve"> </w:t>
      </w:r>
      <w:r>
        <w:t xml:space="preserve">|———–|———–|————-|</w:t>
      </w:r>
      <w:r>
        <w:t xml:space="preserve"> </w:t>
      </w:r>
      <w:r>
        <w:t xml:space="preserve">| Genetisch | 50–60% | GJB2/connexine 26 (DFNB1): meest voorkomend autosomaal recessief SNHL; DFNA/B-loci; syndromaal |</w:t>
      </w:r>
      <w:r>
        <w:t xml:space="preserve"> </w:t>
      </w:r>
      <w:r>
        <w:t xml:space="preserve">| Perinataal/vroeg verworven | 15–25% |</w:t>
      </w:r>
      <w:r>
        <w:t xml:space="preserve"> </w:t>
      </w:r>
      <w:r>
        <w:rPr>
          <w:bCs/>
          <w:b/>
        </w:rPr>
        <w:t xml:space="preserve">CMV</w:t>
      </w:r>
      <w:r>
        <w:t xml:space="preserve"> </w:t>
      </w:r>
      <w:r>
        <w:t xml:space="preserve">(meest frequent verworven); anoxie, hyperbilirubinemie, prematuriteit, aminoglycosiden |</w:t>
      </w:r>
      <w:r>
        <w:t xml:space="preserve"> </w:t>
      </w:r>
      <w:r>
        <w:t xml:space="preserve">| Verworven (later) | 10–15% | Bacteriële meningitis (pneumokok, meningokok), bof, trauma, ototoxiciteit |</w:t>
      </w:r>
      <w:r>
        <w:t xml:space="preserve"> </w:t>
      </w:r>
      <w:r>
        <w:t xml:space="preserve">| Onbekend | 15–25% | |</w:t>
      </w:r>
    </w:p>
    <w:p>
      <w:pPr>
        <w:pStyle w:val="BodyText"/>
      </w:pPr>
      <w:r>
        <w:rPr>
          <w:bCs/>
          <w:b/>
        </w:rPr>
        <w:t xml:space="preserve">Syndromale vormen (kennen!):</w:t>
      </w:r>
      <w:r>
        <w:t xml:space="preserve"> </w:t>
      </w:r>
      <w:r>
        <w:t xml:space="preserve">| Syndroom | Gen | Kenmerken |</w:t>
      </w:r>
      <w:r>
        <w:t xml:space="preserve"> </w:t>
      </w:r>
      <w:r>
        <w:t xml:space="preserve">|———|—–|———–|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Usher</w:t>
      </w:r>
      <w:r>
        <w:t xml:space="preserve"> </w:t>
      </w:r>
      <w:r>
        <w:t xml:space="preserve">| MYO7A, CDH23 e.a. | SNHL + retinitis pigmentosa + evenwichtsproblemen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Pendred</w:t>
      </w:r>
      <w:r>
        <w:t xml:space="preserve"> </w:t>
      </w:r>
      <w:r>
        <w:t xml:space="preserve">| SLC26A4 | SNHL + struma + EVA (enlarged vestibular aqueduct)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Waardenburg</w:t>
      </w:r>
      <w:r>
        <w:t xml:space="preserve"> </w:t>
      </w:r>
      <w:r>
        <w:t xml:space="preserve">| PAX3, MITF | SNHL + pigmentafwijkingen + dystopia canthorum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Jervell-Lange-Nielsen</w:t>
      </w:r>
      <w:r>
        <w:t xml:space="preserve"> </w:t>
      </w:r>
      <w:r>
        <w:t xml:space="preserve">| KCNQ1, KCNE1 | SNHL + verlengd QT-interval → plotse dood!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Treacher Collins</w:t>
      </w:r>
      <w:r>
        <w:t xml:space="preserve"> </w:t>
      </w:r>
      <w:r>
        <w:t xml:space="preserve">| TCOF1 | Geleidingsverlies + mandibulofaciale dysostose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CHARGE</w:t>
      </w:r>
      <w:r>
        <w:t xml:space="preserve"> </w:t>
      </w:r>
      <w:r>
        <w:t xml:space="preserve">| CHD7 | Coloboom, hart, choanale atresie, groeiretardatie, genitaal, oor |</w:t>
      </w:r>
    </w:p>
    <w:bookmarkEnd w:id="72"/>
    <w:bookmarkStart w:id="73" w:name="Xe5d08cfc54589cc30337941eddb71f012331b30"/>
    <w:p>
      <w:pPr>
        <w:pStyle w:val="Heading3"/>
      </w:pPr>
      <w:r>
        <w:t xml:space="preserve">Module 3 — Aanvullende diagnostiek bij bevestigd gehoorverlies</w:t>
      </w:r>
    </w:p>
    <w:p>
      <w:pPr>
        <w:pStyle w:val="FirstParagraph"/>
      </w:pPr>
      <w:r>
        <w:rPr>
          <w:bCs/>
          <w:b/>
        </w:rPr>
        <w:t xml:space="preserve">Altijd:</w:t>
      </w:r>
      <w:r>
        <w:t xml:space="preserve"> </w:t>
      </w:r>
      <w:r>
        <w:t xml:space="preserve">- CT temporaalbeen (beidsijds): cochleamorfologie, EVA, Mondini, ossificatie (post-meningitis)</w:t>
      </w:r>
      <w:r>
        <w:t xml:space="preserve"> </w:t>
      </w:r>
      <w:r>
        <w:t xml:space="preserve">- MRI hersenen/inwendige gehoorgang: cochleaire zenuw, myelinisatiestoornis, CHARGE</w:t>
      </w:r>
    </w:p>
    <w:p>
      <w:pPr>
        <w:pStyle w:val="BodyText"/>
      </w:pPr>
      <w:r>
        <w:rPr>
          <w:bCs/>
          <w:b/>
        </w:rPr>
        <w:t xml:space="preserve">Op indicatie: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GJB2-sequencing (connexine 26) eerst; bij negatief → uitgebreid gen-panel (bijv. 200-gen panel)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CMV</w:t>
      </w:r>
      <w:r>
        <w:t xml:space="preserve">: urine/speekselkweek ≤3 weken postnataal (diagnostisch). &gt;3 weken → retrospectief via gedroogde bloedvlek Guthrie-kaart (PCR)</w:t>
      </w:r>
      <w:r>
        <w:t xml:space="preserve"> </w:t>
      </w:r>
      <w:r>
        <w:t xml:space="preserve">- Bij congenitale CMV: valganciclovir behandeling (6 maanden) → beperkt verdere achteruitgang gehoor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Oogonderzoek</w:t>
      </w:r>
      <w:r>
        <w:t xml:space="preserve">: Usher-syndroom (ERG, fundusfoto)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ECG</w:t>
      </w:r>
      <w:r>
        <w:t xml:space="preserve">: Jervell-Lange-Nielsen (verlengd QT!) — verplicht bij bilateraal ernstig congenitaal SNHL</w:t>
      </w:r>
      <w:r>
        <w:t xml:space="preserve"> </w:t>
      </w:r>
      <w:r>
        <w:t xml:space="preserve">- Schildklierfunctie: Pendred (TSH, echo schildklier)</w:t>
      </w:r>
      <w:r>
        <w:t xml:space="preserve"> </w:t>
      </w:r>
      <w:r>
        <w:t xml:space="preserve">- Urine (Alport-syndroom: hematurie)</w:t>
      </w:r>
    </w:p>
    <w:bookmarkEnd w:id="73"/>
    <w:bookmarkStart w:id="74" w:name="X8ba14b3088595f5ea5706f1d6de102c261fdf4a"/>
    <w:p>
      <w:pPr>
        <w:pStyle w:val="Heading3"/>
      </w:pPr>
      <w:r>
        <w:t xml:space="preserve">Module 4 — Audiologische diagnostiek per leeftijdsfase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900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Diagnostische ABR (klik + toon-pip)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Frequentiespecifiek; sedatie soms nodig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 + drempelbepaling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0–4 mnd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DPOAE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Cochleafunctie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6–24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Conditionering op geluid met visuele beloning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2–4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Spelonderdeel; frequentiespecifiek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≥4–5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Conventionele PTA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Tympanometrie, stapediusreflexen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Start w:id="75" w:name="module-5-behandeling-revalidatie"/>
    <w:p>
      <w:pPr>
        <w:pStyle w:val="Heading3"/>
      </w:pPr>
      <w:r>
        <w:t xml:space="preserve">Module 5 — Behandeling &amp; revalidatie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Hoortoestellen</w:t>
      </w:r>
      <w:r>
        <w:t xml:space="preserve">: start vóór 3 maanden; achter-het-oor; volledig vergoed kinderen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Cochleaire implantatie</w:t>
      </w:r>
      <w:r>
        <w:t xml:space="preserve">: PTA4 &gt;80 dB + onvoldoende baat hoortoestel; voorkeur vóór</w:t>
      </w:r>
      <w:r>
        <w:t xml:space="preserve"> </w:t>
      </w:r>
      <w:r>
        <w:rPr>
          <w:bCs/>
          <w:b/>
        </w:rPr>
        <w:t xml:space="preserve">12 maanden</w:t>
      </w:r>
      <w:r>
        <w:t xml:space="preserve">; bij meningitis-ossificatie: urgentie (weken)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Bilaterale CI</w:t>
      </w:r>
      <w:r>
        <w:t xml:space="preserve">: simultaan of sequentieel; bilateraal betere uitkomst dan unilateraal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Communicatiekeuze</w:t>
      </w:r>
      <w:r>
        <w:t xml:space="preserve">: audiologisch-medisch advies + ouderlijk keuze; gesproken taal, NmG, NGT; vroege taalontwikkeling prioriteit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Logopedische begeleiding</w:t>
      </w:r>
      <w:r>
        <w:t xml:space="preserve">: intensief, jarenlang</w:t>
      </w:r>
    </w:p>
    <w:p>
      <w:pPr>
        <w:numPr>
          <w:ilvl w:val="0"/>
          <w:numId w:val="1022"/>
        </w:numPr>
        <w:pStyle w:val="Compact"/>
      </w:pPr>
      <w:r>
        <w:t xml:space="preserve">Gezinsondersteuning: maatschappelijk werk, dovenouder-ondersteuning (bijv. via AVSG)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tinnitus"/>
    <w:p>
      <w:pPr>
        <w:pStyle w:val="Heading2"/>
      </w:pPr>
      <w:r>
        <w:t xml:space="preserve">10. Tinnitus</w:t>
      </w:r>
    </w:p>
    <w:bookmarkStart w:id="77" w:name="module-1-definitie-classificatie"/>
    <w:p>
      <w:pPr>
        <w:pStyle w:val="Heading3"/>
      </w:pPr>
      <w:r>
        <w:t xml:space="preserve">Module 1 — Definitie &amp; classificatie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Tinnitus</w:t>
      </w:r>
      <w:r>
        <w:t xml:space="preserve">: waarneming van geluid zonder externe akoestische bron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Subjectief</w:t>
      </w:r>
      <w:r>
        <w:t xml:space="preserve"> </w:t>
      </w:r>
      <w:r>
        <w:t xml:space="preserve">(&gt;95%): alleen door patiënt gehoord; sensorineuraal of centraal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Objectief</w:t>
      </w:r>
      <w:r>
        <w:t xml:space="preserve"> </w:t>
      </w:r>
      <w:r>
        <w:t xml:space="preserve">(&lt;5%): ook door onderzoeker hoorbaar; vasculair (bruit, glomus), myoklonisch (palatumtremorr, gehoorbeentje)</w:t>
      </w:r>
    </w:p>
    <w:p>
      <w:pPr>
        <w:pStyle w:val="FirstParagraph"/>
      </w:pPr>
      <w:r>
        <w:rPr>
          <w:bCs/>
          <w:b/>
        </w:rPr>
        <w:t xml:space="preserve">Tijdclassificatie: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Acuut</w:t>
      </w:r>
      <w:r>
        <w:t xml:space="preserve">: &lt;3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Subacuut</w:t>
      </w:r>
      <w:r>
        <w:t xml:space="preserve">: 3–12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Chronisch</w:t>
      </w:r>
      <w:r>
        <w:t xml:space="preserve">: &gt;12 maanden (soms grens bij 3 maanden)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Invaliderend</w:t>
      </w:r>
      <w:r>
        <w:t xml:space="preserve">: significant effect op slaap, concentratie, emoties, werk</w:t>
      </w:r>
    </w:p>
    <w:p>
      <w:pPr>
        <w:pStyle w:val="BodyText"/>
      </w:pPr>
      <w:r>
        <w:rPr>
          <w:bCs/>
          <w:b/>
        </w:rPr>
        <w:t xml:space="preserve">Tinnitusdistress (ernst):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Tinnitus Handicap Inventory (THI)</w:t>
      </w:r>
      <w:r>
        <w:t xml:space="preserve">: 25 vragen; score 0–100; mild (&lt;18), matig (18–36), ernstig (38–56), catastrofaal (&gt;56)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Tinnitus Functional Index (TFI)</w:t>
      </w:r>
      <w:r>
        <w:t xml:space="preserve">: gevoeliger voor verandering</w:t>
      </w:r>
    </w:p>
    <w:bookmarkEnd w:id="77"/>
    <w:bookmarkStart w:id="78" w:name="module-2-etiologie-1"/>
    <w:p>
      <w:pPr>
        <w:pStyle w:val="Heading3"/>
      </w:pPr>
      <w:r>
        <w:t xml:space="preserve">Module 2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Oorzaak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Gehoorverlies (SNHL)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frequente associatie; cochleaire deafferentiatie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Lawaaitrauma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of chronisch; 4-kHz 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Presbyacusis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Ouderen; hoge toon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eenzijdig verlies + tinnitus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Laag, fluctuerend; aanvallen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Vestibularis schwannoom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Unilateraal! → MRI verplicht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Otosclerose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frequent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Salicylaten, aminoglycosiden, cisplatine, loop-diuretica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Pulsatiel: 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AVM, glomustumor, carotisstenose, dehiscente bulbus jugularis, benigne intracraniële hypertensie (BIH)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Pulsatiel: niet-vasculair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Palatumtremor, tensor tympani myoklonie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Idiopathisch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aantoonbare oorzaak</w:t>
            </w:r>
          </w:p>
        </w:tc>
      </w:tr>
    </w:tbl>
    <w:bookmarkEnd w:id="78"/>
    <w:bookmarkStart w:id="79" w:name="module-3-diagnostiek-2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Basis (altijd):</w:t>
      </w:r>
      <w:r>
        <w:t xml:space="preserve"> </w:t>
      </w:r>
      <w:r>
        <w:t xml:space="preserve">- Volledig KNO-onderzoek inclusief otoscopie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Audiogram</w:t>
      </w:r>
      <w:r>
        <w:t xml:space="preserve"> </w:t>
      </w:r>
      <w:r>
        <w:t xml:space="preserve">(PTA + spraakaudiogram): altijd</w:t>
      </w:r>
      <w:r>
        <w:t xml:space="preserve"> </w:t>
      </w:r>
      <w:r>
        <w:t xml:space="preserve">- Tympanometrie + stapediusreflexen</w:t>
      </w:r>
      <w:r>
        <w:t xml:space="preserve"> </w:t>
      </w:r>
      <w:r>
        <w:t xml:space="preserve">- Anamnese: begin, karakter (toon/ruis), localisatie (uni/bi), pulsatiel/continu, modulerend (kaken, nek), verergerende factoren</w:t>
      </w:r>
    </w:p>
    <w:p>
      <w:pPr>
        <w:pStyle w:val="BodyText"/>
      </w:pPr>
      <w:r>
        <w:rPr>
          <w:bCs/>
          <w:b/>
        </w:rPr>
        <w:t xml:space="preserve">Aanvullend (op indicatie):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 </w:t>
      </w:r>
      <w:r>
        <w:t xml:space="preserve">(VSP): bij</w:t>
      </w:r>
      <w:r>
        <w:t xml:space="preserve"> </w:t>
      </w:r>
      <w:r>
        <w:rPr>
          <w:iCs/>
          <w:i/>
        </w:rPr>
        <w:t xml:space="preserve">unilaterale</w:t>
      </w:r>
      <w:r>
        <w:t xml:space="preserve"> </w:t>
      </w:r>
      <w:r>
        <w:t xml:space="preserve">of</w:t>
      </w:r>
      <w:r>
        <w:t xml:space="preserve"> </w:t>
      </w:r>
      <w:r>
        <w:rPr>
          <w:iCs/>
          <w:i/>
        </w:rPr>
        <w:t xml:space="preserve">pulsatiele</w:t>
      </w:r>
      <w:r>
        <w:t xml:space="preserve"> </w:t>
      </w:r>
      <w:r>
        <w:t xml:space="preserve">tinnitus, asymmetrisch gehoorverlies → uitsluiten schwannoom of vasculaire laesie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angiografie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MRA</w:t>
      </w:r>
      <w:r>
        <w:t xml:space="preserve">: bij pulsatiele tinnitus → AVM, dura fistel, glomustumor, carotisstenose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met vetvet-suppressie</w:t>
      </w:r>
      <w:r>
        <w:t xml:space="preserve"> </w:t>
      </w:r>
      <w:r>
        <w:t xml:space="preserve">(of CT): bij verdenking glomustumor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Funduscopie/oogdrukmetng + MRI</w:t>
      </w:r>
      <w:r>
        <w:t xml:space="preserve">: bij BIH (benigne intracraniële hypertensie; vrouwen, obesitas, tinnituspulsatiel)</w:t>
      </w:r>
      <w:r>
        <w:t xml:space="preserve"> </w:t>
      </w:r>
      <w:r>
        <w:t xml:space="preserve">- Tinnitusmatching: toonhoogte (Hz), luidheid (dB SL); minimaal maskeerniveau</w:t>
      </w:r>
      <w:r>
        <w:t xml:space="preserve"> </w:t>
      </w:r>
      <w:r>
        <w:t xml:space="preserve">- Residuele inhibitie: tijdelijk dempen na geluid; positief = gunstig voor geluidsmaskering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tinnitus → aanvullend onderzoek noodzakelijk:</w:t>
      </w:r>
      <w:r>
        <w:t xml:space="preserve"> </w:t>
      </w:r>
      <w:r>
        <w:t xml:space="preserve">- Eenzijdige tinnitus → altijd MRI</w:t>
      </w:r>
      <w:r>
        <w:t xml:space="preserve"> </w:t>
      </w:r>
      <w:r>
        <w:t xml:space="preserve">- Pulsatiele tinnitus → vasculair onderzoek</w:t>
      </w:r>
      <w:r>
        <w:t xml:space="preserve"> </w:t>
      </w:r>
      <w:r>
        <w:t xml:space="preserve">- Tinnitus + unilateraal gehoorverlies + duizeligheid → Menière of schwannoom</w:t>
      </w:r>
      <w:r>
        <w:t xml:space="preserve"> </w:t>
      </w:r>
      <w:r>
        <w:t xml:space="preserve">- Plotseling begin tinnitus + gehoorverlies → PSNHL (behandelbaar!)</w:t>
      </w:r>
      <w:r>
        <w:t xml:space="preserve"> </w:t>
      </w:r>
      <w:r>
        <w:t xml:space="preserve">- Tinnitus + neurologische uitval → intracraniële pathologie</w:t>
      </w:r>
    </w:p>
    <w:bookmarkEnd w:id="79"/>
    <w:bookmarkStart w:id="80" w:name="module-4-behandeling-1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Stap 1 — Counseling &amp; psycho-educatie (altijd eerste stap):</w:t>
      </w:r>
      <w:r>
        <w:t xml:space="preserve"> </w:t>
      </w:r>
      <w:r>
        <w:t xml:space="preserve">- Uitleg over mechanisme (centrale plasticiteit, niet</w:t>
      </w:r>
      <w:r>
        <w:t xml:space="preserve"> </w:t>
      </w:r>
      <w:r>
        <w:t xml:space="preserve">“</w:t>
      </w:r>
      <w:r>
        <w:t xml:space="preserve">iets kapot</w:t>
      </w:r>
      <w:r>
        <w:t xml:space="preserve">”</w:t>
      </w:r>
      <w:r>
        <w:t xml:space="preserve">)</w:t>
      </w:r>
      <w:r>
        <w:t xml:space="preserve"> </w:t>
      </w:r>
      <w:r>
        <w:t xml:space="preserve">- Dehabituation: leren niet op tinnitus te focussen</w:t>
      </w:r>
      <w:r>
        <w:t xml:space="preserve"> </w:t>
      </w:r>
      <w:r>
        <w:t xml:space="preserve">- Vermijden van stille omgevingen (verergert tinnitus-perceptie)</w:t>
      </w:r>
      <w:r>
        <w:t xml:space="preserve"> </w:t>
      </w:r>
      <w:r>
        <w:t xml:space="preserve">- Geruststelling + realistische verwachtingen</w:t>
      </w:r>
    </w:p>
    <w:p>
      <w:pPr>
        <w:pStyle w:val="BodyText"/>
      </w:pPr>
      <w:r>
        <w:rPr>
          <w:bCs/>
          <w:b/>
        </w:rPr>
        <w:t xml:space="preserve">Stap 2 — Geluidsenrichment:</w:t>
      </w:r>
      <w:r>
        <w:t xml:space="preserve"> </w:t>
      </w:r>
      <w:r>
        <w:t xml:space="preserve">- Witte ruis, natuur-geluiden, muziek op achtergrond</w:t>
      </w:r>
      <w:r>
        <w:t xml:space="preserve"> </w:t>
      </w:r>
      <w:r>
        <w:t xml:space="preserve">- Tinnitusmaskers (in-ear generatoren): gedeeltelijke maskering</w:t>
      </w:r>
      <w:r>
        <w:t xml:space="preserve"> </w:t>
      </w:r>
      <w:r>
        <w:t xml:space="preserve">- Hoortoestellen (bij gehoorverlies): verbetering achtergrondgeluid reduceert tinnitus</w:t>
      </w:r>
    </w:p>
    <w:p>
      <w:pPr>
        <w:pStyle w:val="BodyText"/>
      </w:pPr>
      <w:r>
        <w:rPr>
          <w:bCs/>
          <w:b/>
        </w:rPr>
        <w:t xml:space="preserve">Stap 3 — Gespecialiseerde behandeling:</w:t>
      </w:r>
      <w:r>
        <w:t xml:space="preserve"> </w:t>
      </w:r>
      <w:r>
        <w:t xml:space="preserve">| Methode | Evidence | Indicatie |</w:t>
      </w:r>
      <w:r>
        <w:t xml:space="preserve"> </w:t>
      </w:r>
      <w:r>
        <w:t xml:space="preserve">|———|———|———–|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Tinnitus Retraining Therapy (TRT)</w:t>
      </w:r>
      <w:r>
        <w:t xml:space="preserve"> </w:t>
      </w:r>
      <w:r>
        <w:t xml:space="preserve">| Matig | Chronische tinnitus; combinatie directieve counseling + geluidsgenerator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Cognitieve gedragstherapie (CGT)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Sterk bewijs</w:t>
      </w:r>
      <w:r>
        <w:t xml:space="preserve"> </w:t>
      </w:r>
      <w:r>
        <w:t xml:space="preserve">| Invaliderend chronische tinnitus; psychische comorbiditeit; vermindering distress, niet van volume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Mindfulness-based therapie</w:t>
      </w:r>
      <w:r>
        <w:t xml:space="preserve"> </w:t>
      </w:r>
      <w:r>
        <w:t xml:space="preserve">| Toenemend bewijs | Aanvullend bij CGT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Hoorapparaat</w:t>
      </w:r>
      <w:r>
        <w:t xml:space="preserve"> </w:t>
      </w:r>
      <w:r>
        <w:t xml:space="preserve">| Goed bij gehoorverlies | Tinnitus als bijproduct verminderd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Medicamenteus</w:t>
      </w:r>
      <w:r>
        <w:t xml:space="preserve"> </w:t>
      </w:r>
      <w:r>
        <w:t xml:space="preserve">| Beperkt | Betahistine: geen bewijs voor tinnitus (wel Menière); lidocaïne IV: experimenteel |</w:t>
      </w:r>
    </w:p>
    <w:p>
      <w:pPr>
        <w:pStyle w:val="BodyText"/>
      </w:pPr>
      <w:r>
        <w:rPr>
          <w:bCs/>
          <w:b/>
        </w:rPr>
        <w:t xml:space="preserve">Niet aanbevolen (onvoldoende/geen bewijs):</w:t>
      </w:r>
      <w:r>
        <w:t xml:space="preserve"> </w:t>
      </w:r>
      <w:r>
        <w:t xml:space="preserve">- Ginkgo biloba</w:t>
      </w:r>
      <w:r>
        <w:t xml:space="preserve"> </w:t>
      </w:r>
      <w:r>
        <w:t xml:space="preserve">- Benzodiazepines (kortdurend angstreductie mogelijk; cave afhankelijkheid)</w:t>
      </w:r>
      <w:r>
        <w:t xml:space="preserve"> </w:t>
      </w:r>
      <w:r>
        <w:t xml:space="preserve">- Acupunctuur</w:t>
      </w:r>
      <w:r>
        <w:t xml:space="preserve"> </w:t>
      </w:r>
      <w:r>
        <w:t xml:space="preserve">- Hyperbare zuurstof</w:t>
      </w:r>
      <w:r>
        <w:t xml:space="preserve"> </w:t>
      </w:r>
      <w:r>
        <w:t xml:space="preserve">- Carbamazepine (tenzij bewezen vasculaire compressie)</w:t>
      </w:r>
      <w:r>
        <w:t xml:space="preserve"> </w:t>
      </w:r>
      <w:r>
        <w:t xml:space="preserve">- Melatonine (slaap mogelijk enigszins; geen effect tinnitus)</w:t>
      </w:r>
    </w:p>
    <w:p>
      <w:pPr>
        <w:pStyle w:val="BodyText"/>
      </w:pPr>
      <w:r>
        <w:rPr>
          <w:bCs/>
          <w:b/>
        </w:rPr>
        <w:t xml:space="preserve">Behandelduur:</w:t>
      </w:r>
      <w:r>
        <w:t xml:space="preserve"> </w:t>
      </w:r>
      <w:r>
        <w:t xml:space="preserve">- CGT: 8–12 wekelijkse sessies (individueel of groep)</w:t>
      </w:r>
      <w:r>
        <w:t xml:space="preserve"> </w:t>
      </w:r>
      <w:r>
        <w:t xml:space="preserve">- TRT: 18–24 maanden programma</w:t>
      </w:r>
      <w:r>
        <w:t xml:space="preserve"> </w:t>
      </w:r>
      <w:r>
        <w:t xml:space="preserve">- Geluidsenrichment: dagelijks, langdurig (maanden–jaren)</w:t>
      </w:r>
    </w:p>
    <w:bookmarkEnd w:id="80"/>
    <w:bookmarkStart w:id="81" w:name="module-5-bijzondere-vormen"/>
    <w:p>
      <w:pPr>
        <w:pStyle w:val="Heading3"/>
      </w:pPr>
      <w:r>
        <w:t xml:space="preserve">Module 5 — Bijzondere vormen</w:t>
      </w:r>
    </w:p>
    <w:p>
      <w:pPr>
        <w:pStyle w:val="FirstParagraph"/>
      </w:pPr>
      <w:r>
        <w:rPr>
          <w:bCs/>
          <w:b/>
        </w:rPr>
        <w:t xml:space="preserve">Pulsatiele tinnitus:</w:t>
      </w:r>
      <w:r>
        <w:t xml:space="preserve"> </w:t>
      </w:r>
      <w:r>
        <w:t xml:space="preserve">- Altijd aanvullend vasculair onderzoek</w:t>
      </w:r>
      <w:r>
        <w:t xml:space="preserve"> </w:t>
      </w:r>
      <w:r>
        <w:t xml:space="preserve">- Glomus tympanicum: pulsatiel, rood pulserende massa achter TM → geen biopt!</w:t>
      </w:r>
      <w:r>
        <w:t xml:space="preserve"> </w:t>
      </w:r>
      <w:r>
        <w:t xml:space="preserve">- BIH: gewichtsreductie, acetazolamide, LP-therapie</w:t>
      </w:r>
    </w:p>
    <w:p>
      <w:pPr>
        <w:pStyle w:val="BodyText"/>
      </w:pPr>
      <w:r>
        <w:rPr>
          <w:bCs/>
          <w:b/>
        </w:rPr>
        <w:t xml:space="preserve">Somatische tinnitus:</w:t>
      </w:r>
      <w:r>
        <w:t xml:space="preserve"> </w:t>
      </w:r>
      <w:r>
        <w:t xml:space="preserve">- Moduleerbaar door kaakbewegingen, nekbewegingen → cervicogene of somatosensorische component</w:t>
      </w:r>
      <w:r>
        <w:t xml:space="preserve"> </w:t>
      </w:r>
      <w:r>
        <w:t xml:space="preserve">- Fysiotherapie (nek, kaak/TMD) als aanvulling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veldnorm-cochleaire-implantatie-ci"/>
    <w:p>
      <w:pPr>
        <w:pStyle w:val="Heading2"/>
      </w:pPr>
      <w:r>
        <w:t xml:space="preserve">11. Veldnorm Cochleaire Implantatie (CI)</w:t>
      </w:r>
    </w:p>
    <w:bookmarkStart w:id="83" w:name="module-1-indicatiecriteria"/>
    <w:p>
      <w:pPr>
        <w:pStyle w:val="Heading3"/>
      </w:pPr>
      <w:r>
        <w:t xml:space="preserve">Module 1 — Indicatiecriteria</w:t>
      </w:r>
    </w:p>
    <w:p>
      <w:pPr>
        <w:pStyle w:val="FirstParagraph"/>
      </w:pPr>
      <w:r>
        <w:rPr>
          <w:bCs/>
          <w:b/>
        </w:rPr>
        <w:t xml:space="preserve">Volwassenen:</w:t>
      </w:r>
      <w:r>
        <w:t xml:space="preserve"> </w:t>
      </w:r>
      <w:r>
        <w:t xml:space="preserve">- Bilateraal perceptief gehoorverlies PTA4</w:t>
      </w:r>
      <w:r>
        <w:t xml:space="preserve"> </w:t>
      </w:r>
      <w:r>
        <w:rPr>
          <w:bCs/>
          <w:b/>
        </w:rPr>
        <w:t xml:space="preserve">&gt;70 dB HL</w:t>
      </w:r>
      <w:r>
        <w:t xml:space="preserve"> </w:t>
      </w:r>
      <w:r>
        <w:t xml:space="preserve">- Maximaal spraakverstaan in stilte</w:t>
      </w:r>
      <w:r>
        <w:t xml:space="preserve"> </w:t>
      </w:r>
      <w:r>
        <w:rPr>
          <w:bCs/>
          <w:b/>
        </w:rPr>
        <w:t xml:space="preserve">&lt;50%</w:t>
      </w:r>
      <w:r>
        <w:t xml:space="preserve"> </w:t>
      </w:r>
      <w:r>
        <w:t xml:space="preserve">(NVA-zinnen) bij optimale bilaterale hoortoestelversterking</w:t>
      </w:r>
      <w:r>
        <w:t xml:space="preserve"> </w:t>
      </w:r>
      <w:r>
        <w:t xml:space="preserve">- Na adequate proefhoortoestelperiode (minimaal 3 maanden)</w:t>
      </w:r>
      <w:r>
        <w:t xml:space="preserve"> </w:t>
      </w:r>
      <w:r>
        <w:t xml:space="preserve">- Realistische verwachtingen, motivatie, cognitief vermogen</w:t>
      </w:r>
    </w:p>
    <w:p>
      <w:pPr>
        <w:pStyle w:val="BodyText"/>
      </w:pPr>
      <w:r>
        <w:rPr>
          <w:bCs/>
          <w:b/>
        </w:rPr>
        <w:t xml:space="preserve">Kinderen:</w:t>
      </w:r>
      <w:r>
        <w:t xml:space="preserve"> </w:t>
      </w:r>
      <w:r>
        <w:t xml:space="preserve">- PTA4</w:t>
      </w:r>
      <w:r>
        <w:t xml:space="preserve"> </w:t>
      </w:r>
      <w:r>
        <w:rPr>
          <w:bCs/>
          <w:b/>
        </w:rPr>
        <w:t xml:space="preserve">&gt;80 dB HL</w:t>
      </w:r>
      <w:r>
        <w:t xml:space="preserve"> </w:t>
      </w:r>
      <w:r>
        <w:t xml:space="preserve">bilateraal</w:t>
      </w:r>
      <w:r>
        <w:t xml:space="preserve"> </w:t>
      </w:r>
      <w:r>
        <w:t xml:space="preserve">- Onvoldoende spraakontwikkeling/gehoorprestatie ondanks optimale hoortoestellen (3 maanden proef)</w:t>
      </w:r>
      <w:r>
        <w:t xml:space="preserve"> </w:t>
      </w:r>
      <w:r>
        <w:t xml:space="preserve">- Leeftijdscriterium: geen absolute bovengrens; voorkeur zo vroeg mogelijk,</w:t>
      </w:r>
      <w:r>
        <w:t xml:space="preserve"> </w:t>
      </w:r>
      <w:r>
        <w:rPr>
          <w:bCs/>
          <w:b/>
        </w:rPr>
        <w:t xml:space="preserve">ideaal &lt;12 maanden</w:t>
      </w:r>
      <w:r>
        <w:t xml:space="preserve"> </w:t>
      </w:r>
      <w:r>
        <w:t xml:space="preserve">- Bij meningitis-ossificatie: spoedindicatie (weken!)</w:t>
      </w:r>
    </w:p>
    <w:p>
      <w:pPr>
        <w:pStyle w:val="BodyText"/>
      </w:pPr>
      <w:r>
        <w:rPr>
          <w:bCs/>
          <w:b/>
        </w:rPr>
        <w:t xml:space="preserve">Eenzijdige doofheid (SSD):</w:t>
      </w:r>
      <w:r>
        <w:t xml:space="preserve"> </w:t>
      </w:r>
      <w:r>
        <w:t xml:space="preserve">- Toenemende indicatie; gecombineerd met tinnitus op aangedane oor</w:t>
      </w:r>
      <w:r>
        <w:t xml:space="preserve"> </w:t>
      </w:r>
      <w:r>
        <w:t xml:space="preserve">- Na mislukken CROS/BCD-proef</w:t>
      </w:r>
      <w:r>
        <w:t xml:space="preserve"> </w:t>
      </w:r>
      <w:r>
        <w:t xml:space="preserve">- Meerwaarde aangetoond voor spraakverstaan in ruis en tinnitus</w:t>
      </w:r>
    </w:p>
    <w:p>
      <w:pPr>
        <w:pStyle w:val="BodyText"/>
      </w:pPr>
      <w:r>
        <w:rPr>
          <w:bCs/>
          <w:b/>
        </w:rPr>
        <w:t xml:space="preserve">Bijzondere groepen:</w:t>
      </w:r>
      <w:r>
        <w:t xml:space="preserve"> </w:t>
      </w:r>
      <w:r>
        <w:t xml:space="preserve">- Ouderen: geen absolute leeftijdsgrens; goede resultaten; cognitieve status beoordelen</w:t>
      </w:r>
      <w:r>
        <w:t xml:space="preserve"> </w:t>
      </w:r>
      <w:r>
        <w:t xml:space="preserve">- Cochlear nerve deficiency (CND): beperkte aanslagnl n. VIII → gereduceerde CI-uitkomst; contra-indicatie bij afwezige n. cochlearis</w:t>
      </w:r>
      <w:r>
        <w:t xml:space="preserve"> </w:t>
      </w:r>
      <w:r>
        <w:t xml:space="preserve">- Post-lingual vs pre-lingual doofheid: post-lingual (verlies na taalverwerving) → betere CI-uitkomsten</w:t>
      </w:r>
    </w:p>
    <w:bookmarkEnd w:id="83"/>
    <w:bookmarkStart w:id="84" w:name="module-2-pre-operatieve-evaluatie"/>
    <w:p>
      <w:pPr>
        <w:pStyle w:val="Heading3"/>
      </w:pPr>
      <w:r>
        <w:t xml:space="preserve">Module 2 — Pre-operatieve evaluatie</w:t>
      </w:r>
    </w:p>
    <w:p>
      <w:pPr>
        <w:pStyle w:val="FirstParagraph"/>
      </w:pPr>
      <w:r>
        <w:rPr>
          <w:bCs/>
          <w:b/>
        </w:rPr>
        <w:t xml:space="preserve">Audiologisch:</w:t>
      </w:r>
      <w:r>
        <w:t xml:space="preserve"> </w:t>
      </w:r>
      <w:r>
        <w:t xml:space="preserve">- Diagnostisch audiogram (ABR bij kinderen)</w:t>
      </w:r>
      <w:r>
        <w:t xml:space="preserve"> </w:t>
      </w:r>
      <w:r>
        <w:t xml:space="preserve">- Spraakverstaan in stilte en ruis (NVA, Leuven Intelligibility Sentences Test)</w:t>
      </w:r>
      <w:r>
        <w:t xml:space="preserve"> </w:t>
      </w:r>
      <w:r>
        <w:t xml:space="preserve">- Proefhoortoestelperiode: bilateraal, optimaal aangemeten, minimaal 3 maanden (volwassenen) / 3–6 maanden (kinderen)</w:t>
      </w:r>
      <w:r>
        <w:t xml:space="preserve"> </w:t>
      </w:r>
      <w:r>
        <w:t xml:space="preserve">- OAE (haarcelfunctie)</w:t>
      </w:r>
    </w:p>
    <w:p>
      <w:pPr>
        <w:pStyle w:val="BodyText"/>
      </w:pPr>
      <w:r>
        <w:rPr>
          <w:bCs/>
          <w:b/>
        </w:rPr>
        <w:t xml:space="preserve">Beeldvorming (verplicht):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: cochleaire anatomie, ossificatie, facialiskanaal verloop, schedeldikte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inwendig gehoorgang</w:t>
      </w:r>
      <w:r>
        <w:t xml:space="preserve">: cochleaire zenuw aanwezigheid en dikte; cochleaire vloeistof</w:t>
      </w:r>
    </w:p>
    <w:p>
      <w:pPr>
        <w:pStyle w:val="BodyText"/>
      </w:pPr>
      <w:r>
        <w:rPr>
          <w:bCs/>
          <w:b/>
        </w:rPr>
        <w:t xml:space="preserve">Medisch:</w:t>
      </w:r>
      <w:r>
        <w:t xml:space="preserve"> </w:t>
      </w:r>
      <w:r>
        <w:t xml:space="preserve">- Otoscopie: geen actieve otitis, droog oor</w:t>
      </w:r>
      <w:r>
        <w:t xml:space="preserve"> </w:t>
      </w:r>
      <w:r>
        <w:t xml:space="preserve">- Vaccinaties: pneumokok (Prevenar 13) en meningokok vóór CI — verhoogd meningitisrisico na CI!</w:t>
      </w:r>
      <w:r>
        <w:t xml:space="preserve"> </w:t>
      </w:r>
      <w:r>
        <w:t xml:space="preserve">- Cardiovasculaire/anesthesiologische evaluatie</w:t>
      </w:r>
    </w:p>
    <w:p>
      <w:pPr>
        <w:pStyle w:val="BodyText"/>
      </w:pPr>
      <w:r>
        <w:rPr>
          <w:bCs/>
          <w:b/>
        </w:rPr>
        <w:t xml:space="preserve">Multidisciplinair overleg (MDO):</w:t>
      </w:r>
      <w:r>
        <w:t xml:space="preserve"> </w:t>
      </w:r>
      <w:r>
        <w:t xml:space="preserve">- KNO-arts, audioloog, logopedist, maatschappelijk werk, psycholoog (bij kinderen: ook leerkracht/ouders)</w:t>
      </w:r>
    </w:p>
    <w:bookmarkEnd w:id="84"/>
    <w:bookmarkStart w:id="85" w:name="module-3-operatie"/>
    <w:p>
      <w:pPr>
        <w:pStyle w:val="Heading3"/>
      </w:pPr>
      <w:r>
        <w:t xml:space="preserve">Module 3 — Operatie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Round window of cochleostomie</w:t>
      </w:r>
      <w:r>
        <w:t xml:space="preserve"> </w:t>
      </w:r>
      <w:r>
        <w:t xml:space="preserve">benadering; round window steeds meer voorkeur (minder trauma)</w:t>
      </w:r>
    </w:p>
    <w:p>
      <w:pPr>
        <w:numPr>
          <w:ilvl w:val="0"/>
          <w:numId w:val="1024"/>
        </w:numPr>
        <w:pStyle w:val="Compact"/>
      </w:pPr>
      <w:r>
        <w:t xml:space="preserve">Elektrode-array insertie in scala tympani; volledige insertie voorkeur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Intra-operatieve monitoring</w:t>
      </w:r>
      <w:r>
        <w:t xml:space="preserve">:</w:t>
      </w:r>
    </w:p>
    <w:p>
      <w:pPr>
        <w:numPr>
          <w:ilvl w:val="1"/>
          <w:numId w:val="1025"/>
        </w:numPr>
        <w:pStyle w:val="Compact"/>
      </w:pPr>
      <w:r>
        <w:t xml:space="preserve">NRT (neural response telemetry) / ECAP: bevestiging neurale respons</w:t>
      </w:r>
    </w:p>
    <w:p>
      <w:pPr>
        <w:numPr>
          <w:ilvl w:val="1"/>
          <w:numId w:val="1025"/>
        </w:numPr>
        <w:pStyle w:val="Compact"/>
      </w:pPr>
      <w:r>
        <w:t xml:space="preserve">Facialis-monitoring: altijd</w:t>
      </w:r>
    </w:p>
    <w:p>
      <w:pPr>
        <w:numPr>
          <w:ilvl w:val="1"/>
          <w:numId w:val="1025"/>
        </w:numPr>
        <w:pStyle w:val="Compact"/>
      </w:pPr>
      <w:r>
        <w:t xml:space="preserve">Intra-operatieve audiometrie: bij</w:t>
      </w:r>
      <w:r>
        <w:t xml:space="preserve"> </w:t>
      </w:r>
      <w:r>
        <w:t xml:space="preserve">“</w:t>
      </w:r>
      <w:r>
        <w:t xml:space="preserve">hearing preservation</w:t>
      </w:r>
      <w:r>
        <w:t xml:space="preserve">”</w:t>
      </w:r>
      <w:r>
        <w:t xml:space="preserve"> </w:t>
      </w:r>
      <w:r>
        <w:t xml:space="preserve">CI</w:t>
      </w:r>
    </w:p>
    <w:p>
      <w:pPr>
        <w:pStyle w:val="FirstParagraph"/>
      </w:pPr>
      <w:r>
        <w:rPr>
          <w:bCs/>
          <w:b/>
        </w:rPr>
        <w:t xml:space="preserve">Hearing preservation CI:</w:t>
      </w:r>
      <w:r>
        <w:t xml:space="preserve"> </w:t>
      </w:r>
      <w:r>
        <w:t xml:space="preserve">- Doel: restgehoor bewaren in lage frequenties → gecombineerde elektrisch-akoestische stimulatie (EAS)</w:t>
      </w:r>
      <w:r>
        <w:t xml:space="preserve"> </w:t>
      </w:r>
      <w:r>
        <w:t xml:space="preserve">- Indicatie: restgehoor ≤80 dB in lage freq (250–1000 Hz) met ernstig hoogfrequent verlies</w:t>
      </w:r>
      <w:r>
        <w:t xml:space="preserve"> </w:t>
      </w:r>
      <w:r>
        <w:t xml:space="preserve">- Korte/dunne elektroden; zachte insertietechnieken; corticosteroïden pre-/intra-operatief</w:t>
      </w:r>
    </w:p>
    <w:bookmarkEnd w:id="85"/>
    <w:bookmarkStart w:id="86" w:name="module-4-nazorg-revalidatie"/>
    <w:p>
      <w:pPr>
        <w:pStyle w:val="Heading3"/>
      </w:pPr>
      <w:r>
        <w:t xml:space="preserve">Module 4 — Nazorg &amp; revalidatie</w:t>
      </w:r>
    </w:p>
    <w:p>
      <w:pPr>
        <w:pStyle w:val="FirstParagraph"/>
      </w:pPr>
      <w:r>
        <w:rPr>
          <w:bCs/>
          <w:b/>
        </w:rPr>
        <w:t xml:space="preserve">Tijdlijn:</w:t>
      </w:r>
      <w:r>
        <w:t xml:space="preserve"> </w:t>
      </w:r>
      <w:r>
        <w:t xml:space="preserve">| Moment | Actie |</w:t>
      </w:r>
      <w:r>
        <w:t xml:space="preserve"> </w:t>
      </w:r>
      <w:r>
        <w:t xml:space="preserve">|——–|——-|</w:t>
      </w:r>
      <w:r>
        <w:t xml:space="preserve"> </w:t>
      </w:r>
      <w:r>
        <w:t xml:space="preserve">| 4–6 weken postoperatief | Eerste activatie processor |</w:t>
      </w:r>
      <w:r>
        <w:t xml:space="preserve"> </w:t>
      </w:r>
      <w:r>
        <w:t xml:space="preserve">| 3 maanden | Frequente audiologische afstemming |</w:t>
      </w:r>
      <w:r>
        <w:t xml:space="preserve"> </w:t>
      </w:r>
      <w:r>
        <w:t xml:space="preserve">| 6 maanden | Evaluatie spraakverstaan |</w:t>
      </w:r>
      <w:r>
        <w:t xml:space="preserve"> </w:t>
      </w:r>
      <w:r>
        <w:t xml:space="preserve">| 1 jaar | Uitgebreide evaluatie; logopedie-voortgang |</w:t>
      </w:r>
      <w:r>
        <w:t xml:space="preserve"> </w:t>
      </w:r>
      <w:r>
        <w:t xml:space="preserve">| Jaarlijks | Controle; onderhoud processor |</w:t>
      </w:r>
    </w:p>
    <w:p>
      <w:pPr>
        <w:pStyle w:val="BodyText"/>
      </w:pPr>
      <w:r>
        <w:rPr>
          <w:bCs/>
          <w:b/>
        </w:rPr>
        <w:t xml:space="preserve">Revalidatie: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Logopedie</w:t>
      </w:r>
      <w:r>
        <w:t xml:space="preserve">: intensief; auditieve training; hoortraining; spraak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Kinderen</w:t>
      </w:r>
      <w:r>
        <w:t xml:space="preserve">: intensief school + logopedie; 2–3 jaar; SLAM-programma of soortgelijk</w:t>
      </w:r>
      <w:r>
        <w:t xml:space="preserve"> </w:t>
      </w:r>
      <w:r>
        <w:t xml:space="preserve">- Audiologische afstemming (mapping): frequent eerste jaar; daarna jaarlijks</w:t>
      </w:r>
    </w:p>
    <w:p>
      <w:pPr>
        <w:pStyle w:val="BodyText"/>
      </w:pPr>
      <w:r>
        <w:rPr>
          <w:bCs/>
          <w:b/>
        </w:rPr>
        <w:t xml:space="preserve">Technische aspecten:</w:t>
      </w:r>
      <w:r>
        <w:t xml:space="preserve"> </w:t>
      </w:r>
      <w:r>
        <w:t xml:space="preserve">- MRI-compatibiliteit: meeste moderne CI-systemen tot 1.5T of 3T compatibel (specifieke instructies per fabrikant)</w:t>
      </w:r>
      <w:r>
        <w:t xml:space="preserve"> </w:t>
      </w:r>
      <w:r>
        <w:t xml:space="preserve">- Contactsporten: helm aanbevolen</w:t>
      </w:r>
      <w:r>
        <w:t xml:space="preserve"> </w:t>
      </w:r>
      <w:r>
        <w:t xml:space="preserve">- Vliegtuig: geen bezwaar</w:t>
      </w:r>
      <w:r>
        <w:t xml:space="preserve"> </w:t>
      </w:r>
      <w:r>
        <w:t xml:space="preserve">- Elektromagnetische interferentie: metaaldetectoren, inductielussen meeste CI-systemen tolereren</w:t>
      </w:r>
    </w:p>
    <w:bookmarkEnd w:id="86"/>
    <w:bookmarkStart w:id="87" w:name="module-5-centra-eisen-veldnorm"/>
    <w:p>
      <w:pPr>
        <w:pStyle w:val="Heading3"/>
      </w:pPr>
      <w:r>
        <w:t xml:space="preserve">Module 5 — Centra-eisen (veldnorm)</w:t>
      </w:r>
    </w:p>
    <w:p>
      <w:pPr>
        <w:numPr>
          <w:ilvl w:val="0"/>
          <w:numId w:val="1026"/>
        </w:numPr>
        <w:pStyle w:val="Compact"/>
      </w:pPr>
      <w:r>
        <w:t xml:space="preserve">Geaccrediteerde CI-centra in Nederland: beperkt aantal; centralisatie</w:t>
      </w:r>
    </w:p>
    <w:p>
      <w:pPr>
        <w:numPr>
          <w:ilvl w:val="0"/>
          <w:numId w:val="1026"/>
        </w:numPr>
        <w:pStyle w:val="Compact"/>
      </w:pPr>
      <w:r>
        <w:t xml:space="preserve">Minimaal aantal implantaties per jaar (volwassenen en kinderen aparte norm)</w:t>
      </w:r>
    </w:p>
    <w:p>
      <w:pPr>
        <w:numPr>
          <w:ilvl w:val="0"/>
          <w:numId w:val="1026"/>
        </w:numPr>
        <w:pStyle w:val="Compact"/>
      </w:pPr>
      <w:r>
        <w:t xml:space="preserve">Multidisciplinair team verplicht aanwezig</w:t>
      </w:r>
    </w:p>
    <w:p>
      <w:pPr>
        <w:numPr>
          <w:ilvl w:val="0"/>
          <w:numId w:val="1026"/>
        </w:numPr>
        <w:pStyle w:val="Compact"/>
      </w:pPr>
      <w:r>
        <w:t xml:space="preserve">Registratie in nationaal CI-register (kwaliteitsbewaking, wetenschappelijk onderzoek)</w:t>
      </w:r>
    </w:p>
    <w:p>
      <w:pPr>
        <w:numPr>
          <w:ilvl w:val="0"/>
          <w:numId w:val="1026"/>
        </w:numPr>
        <w:pStyle w:val="Compact"/>
      </w:pPr>
      <w:r>
        <w:t xml:space="preserve">Follow-up minimaal 1 jaar gewaarborgd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veldnorm-hoortoestelverstrekking-noah"/>
    <w:p>
      <w:pPr>
        <w:pStyle w:val="Heading2"/>
      </w:pPr>
      <w:r>
        <w:t xml:space="preserve">12. Veldnorm Hoortoestelverstrekking NOAH</w:t>
      </w:r>
    </w:p>
    <w:bookmarkStart w:id="89" w:name="module-1-indicaties-toegang"/>
    <w:p>
      <w:pPr>
        <w:pStyle w:val="Heading3"/>
      </w:pPr>
      <w:r>
        <w:t xml:space="preserve">Module 1 — Indicaties &amp; toegang</w:t>
      </w:r>
    </w:p>
    <w:p>
      <w:pPr>
        <w:pStyle w:val="FirstParagraph"/>
      </w:pPr>
      <w:r>
        <w:rPr>
          <w:bCs/>
          <w:b/>
        </w:rPr>
        <w:t xml:space="preserve">Vergoedingsindicatie basisverzekering:</w:t>
      </w:r>
      <w:r>
        <w:t xml:space="preserve"> </w:t>
      </w:r>
      <w:r>
        <w:t xml:space="preserve">- PTA4 ≥35 dB op het beste oor,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- Functionele communicatieve beperkingen bij lager verlies (goed gedocumenteerd door KNO-arts of audioloog)</w:t>
      </w:r>
      <w:r>
        <w:t xml:space="preserve"> </w:t>
      </w:r>
      <w:r>
        <w:t xml:space="preserve">- Kinderen &lt;18 jaar: volledig vergoed</w:t>
      </w:r>
      <w:r>
        <w:t xml:space="preserve"> </w:t>
      </w:r>
      <w:r>
        <w:t xml:space="preserve">- Volwassenen: gedeeltelijke vergoeding; wettelijk eigen bijdrage</w:t>
      </w:r>
    </w:p>
    <w:p>
      <w:pPr>
        <w:pStyle w:val="BodyText"/>
      </w:pPr>
      <w:r>
        <w:rPr>
          <w:bCs/>
          <w:b/>
        </w:rPr>
        <w:t xml:space="preserve">Toegangsroute:</w:t>
      </w:r>
      <w:r>
        <w:t xml:space="preserve"> </w:t>
      </w:r>
      <w:r>
        <w:t xml:space="preserve">1. Verwijzing door huisarts of KNO-arts</w:t>
      </w:r>
      <w:r>
        <w:t xml:space="preserve"> </w:t>
      </w:r>
      <w:r>
        <w:t xml:space="preserve">2. Diagnostische hoormeting bij audicien of audiologisch centrum</w:t>
      </w:r>
      <w:r>
        <w:t xml:space="preserve"> </w:t>
      </w:r>
      <w:r>
        <w:t xml:space="preserve">3. Indicatiestelling</w:t>
      </w:r>
      <w:r>
        <w:t xml:space="preserve"> </w:t>
      </w:r>
      <w:r>
        <w:t xml:space="preserve">4. Hoortoestelproef</w:t>
      </w:r>
    </w:p>
    <w:bookmarkEnd w:id="89"/>
    <w:bookmarkStart w:id="90" w:name="module-2-noah-kwaliteitsnorm"/>
    <w:p>
      <w:pPr>
        <w:pStyle w:val="Heading3"/>
      </w:pPr>
      <w:r>
        <w:t xml:space="preserve">Module 2 — NOAH-kwaliteitsnorm</w:t>
      </w:r>
    </w:p>
    <w:p>
      <w:pPr>
        <w:pStyle w:val="FirstParagraph"/>
      </w:pPr>
      <w:r>
        <w:rPr>
          <w:bCs/>
          <w:b/>
        </w:rPr>
        <w:t xml:space="preserve">Verplichte onderdelen aanpassingstraject:</w:t>
      </w:r>
      <w:r>
        <w:t xml:space="preserve"> </w:t>
      </w:r>
      <w:r>
        <w:t xml:space="preserve">1. Uitgebreide hoortest: PTA (AC+BC), spraakaudiogram, tympanometrie</w:t>
      </w:r>
      <w:r>
        <w:t xml:space="preserve"> </w:t>
      </w:r>
      <w:r>
        <w:t xml:space="preserve">2. Informed consent en doelstellingsgesprek</w:t>
      </w:r>
      <w:r>
        <w:t xml:space="preserve"> </w:t>
      </w:r>
      <w:r>
        <w:t xml:space="preserve">3. Toestelkeuze + proefperiode (≥6 weken)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Real-ear measurement (REM)</w:t>
      </w:r>
      <w:r>
        <w:t xml:space="preserve">: objectieve verificatie — toesteluitgang gemeten in gehoorgang; aanpassing vergeleken met NAL-NL2 of DSL target</w:t>
      </w:r>
      <w:r>
        <w:t xml:space="preserve"> </w:t>
      </w:r>
      <w:r>
        <w:t xml:space="preserve">5. Vragenlijst tevredenheid/resultaat na aanpassing (bijv. GLAS, IOI-HA)</w:t>
      </w:r>
      <w:r>
        <w:t xml:space="preserve"> </w:t>
      </w:r>
      <w:r>
        <w:t xml:space="preserve">6. Nazorg en follow-up</w:t>
      </w:r>
    </w:p>
    <w:p>
      <w:pPr>
        <w:pStyle w:val="BodyText"/>
      </w:pPr>
      <w:r>
        <w:rPr>
          <w:bCs/>
          <w:b/>
        </w:rPr>
        <w:t xml:space="preserve">NOAH-software</w:t>
      </w:r>
      <w:r>
        <w:t xml:space="preserve">: internationale standaard voor audiologische meetdata-uitwisseling; zorgt voor reproduceerbaarheid en overdraagbaarheid instellingen tussen audiciens/centra.</w:t>
      </w:r>
    </w:p>
    <w:bookmarkEnd w:id="90"/>
    <w:bookmarkStart w:id="91" w:name="module-3-hoortoesteltypen"/>
    <w:p>
      <w:pPr>
        <w:pStyle w:val="Heading3"/>
      </w:pPr>
      <w:r>
        <w:t xml:space="preserve">Module 3 — Hoortoesteltypen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3111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BTE (achter-het-oor)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Groot; krachtig; geschikt voor alle 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bij ernstig 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RIC/RITE (receiver-in-canal)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Klein; goede geluidskwaliteit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Mild-matig SNHL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ITE/ITC/CIC (in-het-oor)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Cosmetics; minder krachtig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Mild-matig verlies; goede handigheid vereist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CROS/BiCROS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Signaaloverdracht van doof naar normaal 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</w:tr>
    </w:tbl>
    <w:p>
      <w:pPr>
        <w:pStyle w:val="BodyText"/>
      </w:pPr>
      <w:r>
        <w:rPr>
          <w:bCs/>
          <w:b/>
        </w:rPr>
        <w:t xml:space="preserve">Technologie:</w:t>
      </w:r>
      <w:r>
        <w:t xml:space="preserve"> </w:t>
      </w:r>
      <w:r>
        <w:t xml:space="preserve">- Digitaal signaalverwerking: ruisonderdrukking, richtmicrofoon, feedbacksuppressie</w:t>
      </w:r>
      <w:r>
        <w:t xml:space="preserve"> </w:t>
      </w:r>
      <w:r>
        <w:t xml:space="preserve">- Bluetooth/streaming: koppeling aan telefoon, TV, FM-systemen</w:t>
      </w:r>
      <w:r>
        <w:t xml:space="preserve"> </w:t>
      </w:r>
      <w:r>
        <w:t xml:space="preserve">- Draadloos: binaural beamforming (coördinatie links-rechts)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19" w:name="rhinologie"/>
    <w:p>
      <w:pPr>
        <w:pStyle w:val="Heading1"/>
      </w:pPr>
      <w:r>
        <w:t xml:space="preserve">RHINOLOGIE</w:t>
      </w:r>
    </w:p>
    <w:p>
      <w:r>
        <w:pict>
          <v:rect style="width:0;height:1.5pt" o:hralign="center" o:hrstd="t" o:hr="t"/>
        </w:pict>
      </w:r>
    </w:p>
    <w:bookmarkStart w:id="99" w:name="allergie-van-de-bovenste-luchtwegen"/>
    <w:p>
      <w:pPr>
        <w:pStyle w:val="Heading2"/>
      </w:pPr>
      <w:r>
        <w:t xml:space="preserve">13. Allergie van de bovenste luchtwegen</w:t>
      </w:r>
    </w:p>
    <w:bookmarkStart w:id="94" w:name="module-1-definitie-pathofysiologie"/>
    <w:p>
      <w:pPr>
        <w:pStyle w:val="Heading3"/>
      </w:pPr>
      <w:r>
        <w:t xml:space="preserve">Module 1 — Definitie &amp; pathofysiologie</w:t>
      </w:r>
    </w:p>
    <w:p>
      <w:pPr>
        <w:numPr>
          <w:ilvl w:val="0"/>
          <w:numId w:val="1027"/>
        </w:numPr>
        <w:pStyle w:val="Compact"/>
      </w:pPr>
      <w:r>
        <w:t xml:space="preserve">Allergische rhinitis (AR): IgE-gemedieerde ontsteking van nasaal mucosa na blootstelling aan ingeademd allergeen</w:t>
      </w:r>
    </w:p>
    <w:p>
      <w:pPr>
        <w:numPr>
          <w:ilvl w:val="0"/>
          <w:numId w:val="1027"/>
        </w:numPr>
        <w:pStyle w:val="Compact"/>
      </w:pPr>
      <w:r>
        <w:t xml:space="preserve">Type I overgevoeligheidsreactie: vroege fase (0–1 uur, histamine, prostaglandinen) + late fase (4–24 uur, eosinofielen)</w:t>
      </w:r>
    </w:p>
    <w:p>
      <w:pPr>
        <w:numPr>
          <w:ilvl w:val="0"/>
          <w:numId w:val="1027"/>
        </w:numPr>
        <w:pStyle w:val="Compact"/>
      </w:pPr>
      <w:r>
        <w:t xml:space="preserve">Allergische conjunctivitis frequent gelijktijdig aanwezig → rhinoconjunctivitis</w:t>
      </w:r>
    </w:p>
    <w:bookmarkEnd w:id="94"/>
    <w:bookmarkStart w:id="95" w:name="X10b2176fa0f6aba1ba44e608c0e71c782cd3ce6"/>
    <w:p>
      <w:pPr>
        <w:pStyle w:val="Heading3"/>
      </w:pPr>
      <w:r>
        <w:t xml:space="preserve">Module 2 — Classificatie (ARIA 2008, herzien 2020)</w:t>
      </w:r>
    </w:p>
    <w:p>
      <w:pPr>
        <w:pStyle w:val="FirstParagraph"/>
      </w:pPr>
      <w:r>
        <w:rPr>
          <w:bCs/>
          <w:b/>
        </w:rPr>
        <w:t xml:space="preserve">Tijdsduur: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Intermitterend</w:t>
      </w:r>
      <w:r>
        <w:t xml:space="preserve">: symptomen &lt;4 dgn/week ÓF &lt;4 weken/jaar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Persisterend</w:t>
      </w:r>
      <w:r>
        <w:t xml:space="preserve">: symptomen &gt;4 dgn/week ÉN &gt;4 weken/jaar</w:t>
      </w:r>
    </w:p>
    <w:p>
      <w:pPr>
        <w:pStyle w:val="BodyText"/>
      </w:pPr>
      <w:r>
        <w:rPr>
          <w:bCs/>
          <w:b/>
        </w:rPr>
        <w:t xml:space="preserve">Ernst: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Mild</w:t>
      </w:r>
      <w:r>
        <w:t xml:space="preserve">: geen van de volgende: slaapstoornis, beperkingen dagactiviteiten/sport, beperking werk/school, ernstige klachten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Matig-ernstig</w:t>
      </w:r>
      <w:r>
        <w:t xml:space="preserve">: ≥1 van bovenstaande aanwezig</w:t>
      </w:r>
    </w:p>
    <w:p>
      <w:pPr>
        <w:pStyle w:val="BodyText"/>
      </w:pPr>
      <w:r>
        <w:rPr>
          <w:bCs/>
          <w:b/>
        </w:rPr>
        <w:t xml:space="preserve">Combinatie</w:t>
      </w:r>
      <w:r>
        <w:t xml:space="preserve">: bijv.</w:t>
      </w:r>
      <w:r>
        <w:t xml:space="preserve"> </w:t>
      </w:r>
      <w:r>
        <w:t xml:space="preserve">“</w:t>
      </w:r>
      <w:r>
        <w:t xml:space="preserve">persisterend matig-ernstig</w:t>
      </w:r>
      <w:r>
        <w:t xml:space="preserve">”</w:t>
      </w:r>
      <w:r>
        <w:t xml:space="preserve"> </w:t>
      </w:r>
      <w:r>
        <w:t xml:space="preserve">→ behandelintensiteit bepalen</w:t>
      </w:r>
    </w:p>
    <w:bookmarkEnd w:id="95"/>
    <w:bookmarkStart w:id="96" w:name="module-3-diagnostiek-3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- Karakter klachten: niezen, rhinorrhea (waterig), neusverstopping, neusjeuk, oogklachten</w:t>
      </w:r>
      <w:r>
        <w:t xml:space="preserve"> </w:t>
      </w:r>
      <w:r>
        <w:t xml:space="preserve">- Seizoensgebondenheid of jaarrond</w:t>
      </w:r>
      <w:r>
        <w:t xml:space="preserve"> </w:t>
      </w:r>
      <w:r>
        <w:t xml:space="preserve">- Bekende allergenen, beroep, thuissituatie (huisdieren, vochtige woning)</w:t>
      </w:r>
      <w:r>
        <w:t xml:space="preserve"> </w:t>
      </w:r>
      <w:r>
        <w:t xml:space="preserve">- Familieanamnese atopie</w:t>
      </w:r>
      <w:r>
        <w:t xml:space="preserve"> </w:t>
      </w:r>
      <w:r>
        <w:t xml:space="preserve">- Comorbiditeiten: astma, eczeem, voedselallergie, neuspoliepen</w:t>
      </w:r>
    </w:p>
    <w:p>
      <w:pPr>
        <w:pStyle w:val="BodyText"/>
      </w:pPr>
      <w:r>
        <w:rPr>
          <w:bCs/>
          <w:b/>
        </w:rPr>
        <w:t xml:space="preserve">Lichamelijk onderzoek:</w:t>
      </w:r>
      <w:r>
        <w:t xml:space="preserve"> </w:t>
      </w:r>
      <w:r>
        <w:t xml:space="preserve">- Nasale endoscopie: bleke/blauwige gezwollen conchae, waterige afscheiding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Allergic salute</w:t>
      </w:r>
      <w:r>
        <w:t xml:space="preserve">”</w:t>
      </w:r>
      <w:r>
        <w:t xml:space="preserve"> </w:t>
      </w:r>
      <w:r>
        <w:t xml:space="preserve">(wrijfgebaar neus), allergische transversale naspijkering</w:t>
      </w:r>
      <w:r>
        <w:t xml:space="preserve"> </w:t>
      </w:r>
      <w:r>
        <w:t xml:space="preserve">- Oogonderzoek: conjunctivale injectie, chemosis</w:t>
      </w:r>
    </w:p>
    <w:p>
      <w:pPr>
        <w:pStyle w:val="BodyText"/>
      </w:pPr>
      <w:r>
        <w:rPr>
          <w:bCs/>
          <w:b/>
        </w:rPr>
        <w:t xml:space="preserve">Diagnostische tests:</w:t>
      </w:r>
      <w:r>
        <w:t xml:space="preserve"> </w:t>
      </w:r>
      <w:r>
        <w:t xml:space="preserve">| Test | Principe | Interpretatie |</w:t>
      </w:r>
      <w:r>
        <w:t xml:space="preserve"> </w:t>
      </w:r>
      <w:r>
        <w:t xml:space="preserve">|——|———|————–|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Huidpriktest (SPT)</w:t>
      </w:r>
      <w:r>
        <w:t xml:space="preserve"> </w:t>
      </w:r>
      <w:r>
        <w:t xml:space="preserve">| Antigeen in huid; IgE op mestcellen | Kwadel ≥3 mm &gt; negatieve controle =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Specifiek IgE</w:t>
      </w:r>
      <w:r>
        <w:t xml:space="preserve"> </w:t>
      </w:r>
      <w:r>
        <w:t xml:space="preserve">(ImmunoCAP) | Serum IgE meting | Klasse 0–6; klasse ≥2 (&gt;0.35 kU/L) = positief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Totaal IgE</w:t>
      </w:r>
      <w:r>
        <w:t xml:space="preserve"> </w:t>
      </w:r>
      <w:r>
        <w:t xml:space="preserve">| Onspecifiek; verhoogd bij atopie | Beperkte diagnostische waarde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Basofiel activatie test (BAT)</w:t>
      </w:r>
      <w:r>
        <w:t xml:space="preserve"> </w:t>
      </w:r>
      <w:r>
        <w:t xml:space="preserve">| Flowcytometrie | Onderzoeksetting; bij twijfel SPT/IgE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Nasale provocatietest</w:t>
      </w:r>
      <w:r>
        <w:t xml:space="preserve"> </w:t>
      </w:r>
      <w:r>
        <w:t xml:space="preserve">| Inhalatie allergeen; nasale respons | Bij discordantie anamnese vs test |</w:t>
      </w:r>
    </w:p>
    <w:p>
      <w:pPr>
        <w:pStyle w:val="BodyText"/>
      </w:pPr>
      <w:r>
        <w:rPr>
          <w:bCs/>
          <w:b/>
        </w:rPr>
        <w:t xml:space="preserve">Welke test kiezen:</w:t>
      </w:r>
      <w:r>
        <w:t xml:space="preserve"> </w:t>
      </w:r>
      <w:r>
        <w:t xml:space="preserve">- SPT: goudstandaard; goedkoop; snel; stoppen antihistaminica 5–7 dagen vóór test</w:t>
      </w:r>
      <w:r>
        <w:t xml:space="preserve"> </w:t>
      </w:r>
      <w:r>
        <w:t xml:space="preserve">- Specifiek IgE: bij dermatitis (SPT onbetrouwbaar), antihistaminicagebruik kan niet gestopt, kinderen &lt;2 jaar</w:t>
      </w:r>
      <w:r>
        <w:t xml:space="preserve"> </w:t>
      </w:r>
      <w:r>
        <w:t xml:space="preserve">- Beiden samen: hogere sensitiviteit/specificiteit</w:t>
      </w:r>
    </w:p>
    <w:bookmarkEnd w:id="96"/>
    <w:bookmarkStart w:id="97" w:name="module-4-behandeling-2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Allergeenvermijding:</w:t>
      </w:r>
      <w:r>
        <w:t xml:space="preserve"> </w:t>
      </w:r>
      <w:r>
        <w:t xml:space="preserve">- Huisstofmijt: matrashoezen (anti-mijt), stofzuigen, lage luchtvochtigheid (&lt;50%)</w:t>
      </w:r>
      <w:r>
        <w:t xml:space="preserve"> </w:t>
      </w:r>
      <w:r>
        <w:t xml:space="preserve">- Huisdieren: verwijderen; diep reinigen; effect pas na maanden</w:t>
      </w:r>
      <w:r>
        <w:t xml:space="preserve"> </w:t>
      </w:r>
      <w:r>
        <w:t xml:space="preserve">- Pollen: ramen dichthouden piekseizoen; binnenblijven hoge-pollendag; zonnebril; douchen na buiten</w:t>
      </w:r>
    </w:p>
    <w:p>
      <w:pPr>
        <w:pStyle w:val="BodyText"/>
      </w:pPr>
      <w:r>
        <w:rPr>
          <w:bCs/>
          <w:b/>
        </w:rPr>
        <w:t xml:space="preserve">Farmacologisch stappenschema (ARIA):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57"/>
        <w:gridCol w:w="1810"/>
        <w:gridCol w:w="2489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Oraal antihistaminicum (2e gen: cetirizine, loratadine, fexofenadine, bilastine)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Niezen, jeuk, rhinorrhea; minder verstopping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Nasaal antihistaminicum (azelastine)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Snel werkend; lokaal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INCS</w:t>
            </w:r>
            <w:r>
              <w:t xml:space="preserve"> </w:t>
            </w:r>
            <w:r>
              <w:t xml:space="preserve">(intranasale corticosteroïden: fluticason, mometason, budesonide)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symptomen incl. verstopping; meest effectief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INCS + nasaal antihistaminicum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Synergistisch; bij onvoldoende INCS monotherapie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Montelukast (leukotrieenantagonist)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Vooral verstopping + astma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Specifieke immunotherapie (AIT)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richtlijn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Ziektemodificerend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INCS gebruik:</w:t>
      </w:r>
      <w:r>
        <w:t xml:space="preserve"> </w:t>
      </w:r>
      <w:r>
        <w:t xml:space="preserve">- Maximaal effect na</w:t>
      </w:r>
      <w:r>
        <w:t xml:space="preserve"> </w:t>
      </w:r>
      <w:r>
        <w:rPr>
          <w:bCs/>
          <w:b/>
        </w:rPr>
        <w:t xml:space="preserve">1–2 weken</w:t>
      </w:r>
      <w:r>
        <w:t xml:space="preserve"> </w:t>
      </w:r>
      <w:r>
        <w:t xml:space="preserve">regelmatig gebruik</w:t>
      </w:r>
      <w:r>
        <w:t xml:space="preserve"> </w:t>
      </w:r>
      <w:r>
        <w:t xml:space="preserve">- Toedieningstechniek: hoofd licht voorover, spray naar laterale neuswand richten (niet naar septum → bloedneusrisico)</w:t>
      </w:r>
      <w:r>
        <w:t xml:space="preserve"> </w:t>
      </w:r>
      <w:r>
        <w:t xml:space="preserve">- Bijwerkingen: bloedneus, lokale irritatie; systemische bijwerkingen bij juist gebruik minimaal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Seizoensprofylaxe</w:t>
      </w:r>
      <w:r>
        <w:t xml:space="preserve">: starten</w:t>
      </w:r>
      <w:r>
        <w:t xml:space="preserve"> </w:t>
      </w:r>
      <w:r>
        <w:rPr>
          <w:bCs/>
          <w:b/>
        </w:rPr>
        <w:t xml:space="preserve">2 weken vóór</w:t>
      </w:r>
      <w:r>
        <w:t xml:space="preserve"> </w:t>
      </w:r>
      <w:r>
        <w:t xml:space="preserve">pollenseizoen bij intermitterende AR</w:t>
      </w:r>
    </w:p>
    <w:p>
      <w:pPr>
        <w:pStyle w:val="BodyText"/>
      </w:pPr>
      <w:r>
        <w:rPr>
          <w:bCs/>
          <w:b/>
        </w:rPr>
        <w:t xml:space="preserve">Decongestiva:</w:t>
      </w:r>
      <w:r>
        <w:t xml:space="preserve"> </w:t>
      </w:r>
      <w:r>
        <w:t xml:space="preserve">- Xylometazoline, oxymetazoline: maximaal</w:t>
      </w:r>
      <w:r>
        <w:t xml:space="preserve"> </w:t>
      </w:r>
      <w:r>
        <w:rPr>
          <w:bCs/>
          <w:b/>
        </w:rPr>
        <w:t xml:space="preserve">7–10 dagen</w:t>
      </w:r>
      <w:r>
        <w:t xml:space="preserve"> </w:t>
      </w:r>
      <w:r>
        <w:t xml:space="preserve">(rebound-vasodilatie = rhinitis medicamentosa bij langdurig gebruik!)</w:t>
      </w:r>
      <w:r>
        <w:t xml:space="preserve"> </w:t>
      </w:r>
      <w:r>
        <w:t xml:space="preserve">- Alleen als kortdurend hulpmiddel bij ernstige congestie</w:t>
      </w:r>
    </w:p>
    <w:p>
      <w:pPr>
        <w:pStyle w:val="BodyText"/>
      </w:pPr>
      <w:r>
        <w:rPr>
          <w:bCs/>
          <w:b/>
        </w:rPr>
        <w:t xml:space="preserve">Specifieke aandacht comorbiditeiten:</w:t>
      </w:r>
      <w:r>
        <w:t xml:space="preserve"> </w:t>
      </w:r>
      <w:r>
        <w:t xml:space="preserve">- Bij astma: gecombineerde behandeling neus + luchtwegen (one airway, one disease)</w:t>
      </w:r>
      <w:r>
        <w:t xml:space="preserve"> </w:t>
      </w:r>
      <w:r>
        <w:t xml:space="preserve">- Bij neuspoliepen: zie CRS-richtlijn</w:t>
      </w:r>
    </w:p>
    <w:bookmarkEnd w:id="97"/>
    <w:bookmarkStart w:id="98" w:name="module-5-alarmsymptomen"/>
    <w:p>
      <w:pPr>
        <w:pStyle w:val="Heading3"/>
      </w:pPr>
      <w:r>
        <w:t xml:space="preserve">Module 5 — Alarmsymptomen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Rode vlaggen:</w:t>
      </w:r>
      <w:r>
        <w:t xml:space="preserve"> </w:t>
      </w:r>
      <w:r>
        <w:t xml:space="preserve">- Unilaterale neusverstopping of -afscheiding → maligniteit uitsluiten</w:t>
      </w:r>
      <w:r>
        <w:t xml:space="preserve"> </w:t>
      </w:r>
      <w:r>
        <w:t xml:space="preserve">- Bloederige afscheiding → tumor, Wegener’s granulomatose</w:t>
      </w:r>
      <w:r>
        <w:t xml:space="preserve"> </w:t>
      </w:r>
      <w:r>
        <w:t xml:space="preserve">- Neusdeformiteit progressief → Wegener’s, tumor</w:t>
      </w:r>
      <w:r>
        <w:t xml:space="preserve"> </w:t>
      </w:r>
      <w:r>
        <w:t xml:space="preserve">- Systemische klachten (koorts, gewichtsverlies) → systemische aandoening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6" w:name="X09753e31396259e8fe17765c4c8ccdaf1bb0e64"/>
    <w:p>
      <w:pPr>
        <w:pStyle w:val="Heading2"/>
      </w:pPr>
      <w:r>
        <w:t xml:space="preserve">14. Chronische rhinosinusitis (CRS) en neuspoliepen</w:t>
      </w:r>
    </w:p>
    <w:bookmarkStart w:id="100" w:name="module-1-definitie"/>
    <w:p>
      <w:pPr>
        <w:pStyle w:val="Heading3"/>
      </w:pPr>
      <w:r>
        <w:t xml:space="preserve">Module 1 — Definitie</w:t>
      </w:r>
    </w:p>
    <w:p>
      <w:pPr>
        <w:pStyle w:val="FirstParagraph"/>
      </w:pPr>
      <w:r>
        <w:rPr>
          <w:bCs/>
          <w:b/>
        </w:rPr>
        <w:t xml:space="preserve">≥2 van de volgende symptomen</w:t>
      </w:r>
      <w:r>
        <w:t xml:space="preserve"> </w:t>
      </w:r>
      <w:r>
        <w:t xml:space="preserve">voor &gt;</w:t>
      </w:r>
      <w:r>
        <w:rPr>
          <w:bCs/>
          <w:b/>
        </w:rPr>
        <w:t xml:space="preserve">12 weken</w:t>
      </w:r>
      <w:r>
        <w:t xml:space="preserve"> </w:t>
      </w:r>
      <w:r>
        <w:t xml:space="preserve">zonder volledige klachtenvrije periode:</w:t>
      </w:r>
      <w:r>
        <w:t xml:space="preserve"> </w:t>
      </w:r>
      <w:r>
        <w:t xml:space="preserve">- Nasale blokkade/obstructie</w:t>
      </w:r>
      <w:r>
        <w:t xml:space="preserve"> </w:t>
      </w:r>
      <w:r>
        <w:t xml:space="preserve">- Nasale afscheiding (anterieur of posterieur)</w:t>
      </w:r>
      <w:r>
        <w:t xml:space="preserve"> </w:t>
      </w:r>
      <w:r>
        <w:t xml:space="preserve">- Aangezichtspijn/-druk</w:t>
      </w:r>
      <w:r>
        <w:t xml:space="preserve"> </w:t>
      </w:r>
      <w:r>
        <w:t xml:space="preserve">- Reuk- of smaakverlies</w:t>
      </w:r>
    </w:p>
    <w:p>
      <w:pPr>
        <w:pStyle w:val="BodyText"/>
      </w:pPr>
      <w:r>
        <w:rPr>
          <w:bCs/>
          <w:b/>
        </w:rPr>
        <w:t xml:space="preserve">Plus</w:t>
      </w:r>
      <w:r>
        <w:t xml:space="preserve">: objectief bewijs via endoscopie (poliepen, purulente afscheiding, oedeem meatus medius)</w:t>
      </w:r>
      <w:r>
        <w:t xml:space="preserve"> </w:t>
      </w:r>
      <w:r>
        <w:rPr>
          <w:bCs/>
          <w:b/>
        </w:rPr>
        <w:t xml:space="preserve">of</w:t>
      </w:r>
      <w:r>
        <w:t xml:space="preserve"> </w:t>
      </w:r>
      <w:r>
        <w:t xml:space="preserve">CT-bijholten (Lund-Mackay ≥1).</w:t>
      </w:r>
    </w:p>
    <w:bookmarkEnd w:id="100"/>
    <w:bookmarkStart w:id="101" w:name="module-2-classificatie-endotypen"/>
    <w:p>
      <w:pPr>
        <w:pStyle w:val="Heading3"/>
      </w:pPr>
      <w:r>
        <w:t xml:space="preserve">Module 2 — Classificatie &amp; endotypen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2489"/>
        <w:gridCol w:w="42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Kenmerken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Inflammatiepatroon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CRSsNP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Zonder poliepen; vaker unilateraal; vaker dentogeen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Th1/neutrofiel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CRSwNP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poliepen; bilateraal; sterk anosmie; hoge comorbiditeit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Th2/eosinofiel; IL-4, IL-5, IL-13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AFRS</w:t>
            </w:r>
            <w:r>
              <w:t xml:space="preserve"> </w:t>
            </w:r>
            <w:r>
              <w:t xml:space="preserve">(allergische schimmelrhinosinusitis)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Atopisch; eosinofiel mucine; Charcot-Leyden; schimmeldraden; unilateraal met uitbreiding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Th2-gedreven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N-ERD</w:t>
            </w:r>
            <w:r>
              <w:t xml:space="preserve"> </w:t>
            </w:r>
            <w:r>
              <w:t xml:space="preserve">(Samter’s triade)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astma + aspirine-intolerantie; ernstigst fenotype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Eosinofiel + arachidonzuurmetabolisme</w:t>
            </w:r>
          </w:p>
        </w:tc>
      </w:tr>
    </w:tbl>
    <w:bookmarkEnd w:id="101"/>
    <w:bookmarkStart w:id="102" w:name="module-3-diagnostiek-4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Nasale endoscopie</w:t>
      </w:r>
      <w:r>
        <w:t xml:space="preserve">: poliepen (Lund-Kennedy score 0–2 per zijde per regio), oedeem, pus, retractie</w:t>
      </w:r>
      <w:r>
        <w:t xml:space="preserve"> </w:t>
      </w:r>
      <w:r>
        <w:t xml:space="preserve">- Beoordeling reukvermogen: klinisch of gestandaardiseerd (Sniffin’ Sticks, UPSIT)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bijholten</w:t>
      </w:r>
      <w:r>
        <w:t xml:space="preserve"> </w:t>
      </w:r>
      <w:r>
        <w:t xml:space="preserve">(zonder contrast):</w:t>
      </w:r>
      <w:r>
        <w:t xml:space="preserve"> </w:t>
      </w:r>
      <w:r>
        <w:rPr>
          <w:bCs/>
          <w:b/>
        </w:rPr>
        <w:t xml:space="preserve">standaard pre-operatief</w:t>
      </w:r>
      <w:r>
        <w:t xml:space="preserve">;</w:t>
      </w:r>
      <w:r>
        <w:t xml:space="preserve"> </w:t>
      </w:r>
      <w:r>
        <w:rPr>
          <w:bCs/>
          <w:b/>
        </w:rPr>
        <w:t xml:space="preserve">Lund-Mackay score</w:t>
      </w:r>
      <w:r>
        <w:t xml:space="preserve"> </w:t>
      </w:r>
      <w:r>
        <w:t xml:space="preserve">(0–2 per bijholte × 12 = max 24); inzicht in anatomie, uitbreiding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</w:t>
      </w:r>
      <w:r>
        <w:t xml:space="preserve">: bij verdenking maligniteit, orbitale/intracraniële complicatie, AFRS (karakteristiek T2-hypointens mucine)</w:t>
      </w:r>
    </w:p>
    <w:p>
      <w:pPr>
        <w:pStyle w:val="BodyText"/>
      </w:pPr>
      <w:r>
        <w:rPr>
          <w:bCs/>
          <w:b/>
        </w:rPr>
        <w:t xml:space="preserve">Aanvullend onderzoek:</w:t>
      </w:r>
      <w:r>
        <w:t xml:space="preserve"> </w:t>
      </w:r>
      <w:r>
        <w:t xml:space="preserve">- Allergiediagnostiek (SPT/specifiek IgE) bij verdenking AR</w:t>
      </w:r>
      <w:r>
        <w:t xml:space="preserve"> </w:t>
      </w:r>
      <w:r>
        <w:t xml:space="preserve">- Aspirineintolerantie-anamnese (N-ERD)</w:t>
      </w:r>
      <w:r>
        <w:t xml:space="preserve"> </w:t>
      </w:r>
      <w:r>
        <w:t xml:space="preserve">- Bloedonderzoek: totaal IgE, eosinofielen (bij verdenking Th2-endotype; biologicals-indicatie)</w:t>
      </w:r>
      <w:r>
        <w:t xml:space="preserve"> </w:t>
      </w:r>
      <w:r>
        <w:t xml:space="preserve">- Biopsie: bij verdenking maligniteit, granulomatose, specifieke ontsteking; nooit blind biopteren bij sterk pulserende massa (glomus, encefalocoele!)</w:t>
      </w:r>
      <w:r>
        <w:t xml:space="preserve"> </w:t>
      </w:r>
      <w:r>
        <w:t xml:space="preserve">- Sweat chloride / CFTR-genetica bij verdenking CF (kinderen)</w:t>
      </w:r>
      <w:r>
        <w:t xml:space="preserve"> </w:t>
      </w:r>
      <w:r>
        <w:t xml:space="preserve">- Ciliaire functiemeting bij verdenking PCD</w:t>
      </w:r>
    </w:p>
    <w:bookmarkEnd w:id="102"/>
    <w:bookmarkStart w:id="103" w:name="module-4-behandeling-crssnp"/>
    <w:p>
      <w:pPr>
        <w:pStyle w:val="Heading3"/>
      </w:pPr>
      <w:r>
        <w:t xml:space="preserve">Module 4 — Behandeling CRSsNP</w:t>
      </w:r>
    </w:p>
    <w:p>
      <w:pPr>
        <w:pStyle w:val="FirstParagraph"/>
      </w:pPr>
      <w:r>
        <w:rPr>
          <w:bCs/>
          <w:b/>
        </w:rPr>
        <w:t xml:space="preserve">Stap 1 — Basisbehandeling (altijd):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Nasale spoeling</w:t>
      </w:r>
      <w:r>
        <w:t xml:space="preserve"> </w:t>
      </w:r>
      <w:r>
        <w:t xml:space="preserve">(isotoon of hypertoon NaCl): 2dd; verwijdering crusts, verbetering mucusklaring, lokale milieu-verbetering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INCS</w:t>
      </w:r>
      <w:r>
        <w:t xml:space="preserve">: lokaal topisch; meest bewezen middel; dagelijks gebruik</w:t>
      </w:r>
    </w:p>
    <w:p>
      <w:pPr>
        <w:pStyle w:val="BodyText"/>
      </w:pPr>
      <w:r>
        <w:rPr>
          <w:bCs/>
          <w:b/>
        </w:rPr>
        <w:t xml:space="preserve">Stap 2 — Aanvullende therapie: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Langdurige lage-dosis macrolide-therapie</w:t>
      </w:r>
      <w:r>
        <w:t xml:space="preserve">: claritromycine 250 mg/dag of azithromycine 250 mg 3×/week;</w:t>
      </w:r>
      <w:r>
        <w:t xml:space="preserve"> </w:t>
      </w:r>
      <w:r>
        <w:rPr>
          <w:bCs/>
          <w:b/>
        </w:rPr>
        <w:t xml:space="preserve">duur 3 maanden</w:t>
      </w:r>
      <w:r>
        <w:t xml:space="preserve">; anti-inflammatoir (niet antibiotisch) effect; met name bij CRSsNP met lage IgE; eosinofielen laag</w:t>
      </w:r>
      <w:r>
        <w:t xml:space="preserve"> </w:t>
      </w:r>
      <w:r>
        <w:t xml:space="preserve">- Korte antibioticakuur bij acute exacerbatie: amoxicilline-clavulanaat 7–14 dagen</w:t>
      </w:r>
    </w:p>
    <w:p>
      <w:pPr>
        <w:pStyle w:val="BodyText"/>
      </w:pPr>
      <w:r>
        <w:rPr>
          <w:bCs/>
          <w:b/>
        </w:rPr>
        <w:t xml:space="preserve">Stap 3 — Chirurgie: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FESS</w:t>
      </w:r>
      <w:r>
        <w:t xml:space="preserve"> </w:t>
      </w:r>
      <w:r>
        <w:t xml:space="preserve">(functionele endoscopische sinuschirurgie) bij falen medicamenteuze therapie (na ≥3 maanden)</w:t>
      </w:r>
      <w:r>
        <w:t xml:space="preserve"> </w:t>
      </w:r>
      <w:r>
        <w:t xml:space="preserve">- Doelstelling: openen sinusostia, verbeteren mucusklaring, faciliteren topicare medicatie</w:t>
      </w:r>
      <w:r>
        <w:t xml:space="preserve"> </w:t>
      </w:r>
      <w:r>
        <w:t xml:space="preserve">- Pre-operatief: CT altijd; stoppen NSAID 1 week; bloeddrukregulatie</w:t>
      </w:r>
      <w:r>
        <w:t xml:space="preserve"> </w:t>
      </w:r>
      <w:r>
        <w:t xml:space="preserve">- Post-operatief: nasale spoeling + INCS; poliklinische controle en debridement weken 1, 3, 6</w:t>
      </w:r>
    </w:p>
    <w:bookmarkEnd w:id="103"/>
    <w:bookmarkStart w:id="104" w:name="module-5-behandeling-crswnp"/>
    <w:p>
      <w:pPr>
        <w:pStyle w:val="Heading3"/>
      </w:pPr>
      <w:r>
        <w:t xml:space="preserve">Module 5 — Behandeling CRSwNP</w:t>
      </w:r>
    </w:p>
    <w:p>
      <w:pPr>
        <w:pStyle w:val="FirstParagraph"/>
      </w:pPr>
      <w:r>
        <w:rPr>
          <w:bCs/>
          <w:b/>
        </w:rPr>
        <w:t xml:space="preserve">Stap 1 — Topisch:</w:t>
      </w:r>
      <w:r>
        <w:t xml:space="preserve"> </w:t>
      </w:r>
      <w:r>
        <w:t xml:space="preserve">- INCS hoge dosis: spray + druppelinstillatie (buikligging met hoofd naar beneden =</w:t>
      </w:r>
      <w:r>
        <w:t xml:space="preserve"> </w:t>
      </w:r>
      <w:r>
        <w:t xml:space="preserve">“</w:t>
      </w:r>
      <w:r>
        <w:t xml:space="preserve">head down and forward</w:t>
      </w:r>
      <w:r>
        <w:t xml:space="preserve">”</w:t>
      </w:r>
      <w:r>
        <w:t xml:space="preserve"> </w:t>
      </w:r>
      <w:r>
        <w:t xml:space="preserve">positie voor maximale distributie)</w:t>
      </w:r>
      <w:r>
        <w:t xml:space="preserve"> </w:t>
      </w:r>
      <w:r>
        <w:t xml:space="preserve">- Druppelinstillatie: mometason of fluticason druppels; betere distributie naar neusholte en sinusaansluitingen</w:t>
      </w:r>
    </w:p>
    <w:p>
      <w:pPr>
        <w:pStyle w:val="BodyText"/>
      </w:pPr>
      <w:r>
        <w:rPr>
          <w:bCs/>
          <w:b/>
        </w:rPr>
        <w:t xml:space="preserve">Stap 2 — Orale corticosteroïden (OCS-kuren):</w:t>
      </w:r>
      <w:r>
        <w:t xml:space="preserve"> </w:t>
      </w:r>
      <w:r>
        <w:t xml:space="preserve">- Prednison:</w:t>
      </w:r>
      <w:r>
        <w:t xml:space="preserve"> </w:t>
      </w:r>
      <w:r>
        <w:rPr>
          <w:bCs/>
          <w:b/>
        </w:rPr>
        <w:t xml:space="preserve">0.5 mg/kg/dag, 1–2 weken</w:t>
      </w:r>
      <w:r>
        <w:t xml:space="preserve"> </w:t>
      </w:r>
      <w:r>
        <w:t xml:space="preserve">(max 20–25 mg/dag klinisch gangbaar); aftapering</w:t>
      </w:r>
      <w:r>
        <w:t xml:space="preserve"> </w:t>
      </w:r>
      <w:r>
        <w:t xml:space="preserve">- Indicaties: ernstige polyposis, pre-operatief voor overzicht, acuut verlies reukvermogen</w:t>
      </w:r>
      <w:r>
        <w:t xml:space="preserve"> </w:t>
      </w:r>
      <w:r>
        <w:t xml:space="preserve">- Maximaal 2–3 kuren per jaar (bijwerkingen systemische steroïden bij frequent gebruik)</w:t>
      </w:r>
    </w:p>
    <w:p>
      <w:pPr>
        <w:pStyle w:val="BodyText"/>
      </w:pPr>
      <w:r>
        <w:rPr>
          <w:bCs/>
          <w:b/>
        </w:rPr>
        <w:t xml:space="preserve">Stap 3 — FESS:</w:t>
      </w:r>
      <w:r>
        <w:t xml:space="preserve"> </w:t>
      </w:r>
      <w:r>
        <w:t xml:space="preserve">- Bij CRSwNP: polypectomie + openleggen alle bijholten (totale sinuschirurgie / Draf IIb of III bij refractaire gevallen)</w:t>
      </w:r>
      <w:r>
        <w:t xml:space="preserve"> </w:t>
      </w:r>
      <w:r>
        <w:t xml:space="preserve">- Recidief poliepen frequent (50–70% binnen 5 jaar)</w:t>
      </w:r>
    </w:p>
    <w:p>
      <w:pPr>
        <w:pStyle w:val="BodyText"/>
      </w:pPr>
      <w:r>
        <w:rPr>
          <w:bCs/>
          <w:b/>
        </w:rPr>
        <w:t xml:space="preserve">Stap 4 — Biologicals (ernstige refractaire CRSwNP):</w:t>
      </w:r>
    </w:p>
    <w:p>
      <w:pPr>
        <w:pStyle w:val="BodyText"/>
      </w:pPr>
      <w:r>
        <w:rPr>
          <w:bCs/>
          <w:b/>
        </w:rPr>
        <w:t xml:space="preserve">Indicatie biologicals (EPOS/NL):</w:t>
      </w:r>
      <w:r>
        <w:t xml:space="preserve"> </w:t>
      </w:r>
      <w:r>
        <w:t xml:space="preserve">- Chirurgie verricht (of gecontra-indiceerd)</w:t>
      </w:r>
      <w:r>
        <w:t xml:space="preserve"> </w:t>
      </w:r>
      <w:r>
        <w:t xml:space="preserve">- Persisterende klachten ondanks INCS + OCS-kuren</w:t>
      </w:r>
      <w:r>
        <w:t xml:space="preserve"> </w:t>
      </w:r>
      <w:r>
        <w:t xml:space="preserve">- ≥1 van: ernstige anosmie, hoge CT-score, ernstige astmacomorbiditeit, NSAID-intolerantie, hoge bloedeosinofielen (&gt;250/μL) of weefseleosinofielen (&gt;10/HPF)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1267"/>
        <w:gridCol w:w="2217"/>
        <w:gridCol w:w="1742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Geregistreerd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Toediening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Dupilumab</w:t>
            </w:r>
            <w:r>
              <w:t xml:space="preserve"> </w:t>
            </w:r>
            <w:r>
              <w:t xml:space="preserve">(Dupixent)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IL-4Rα (IL-4 + IL-13 blokkade)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300 mg 2-wekelijks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Langdurig; effect beoordeeld na 16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Mepolizumab</w:t>
            </w:r>
            <w:r>
              <w:t xml:space="preserve"> </w:t>
            </w:r>
            <w:r>
              <w:t xml:space="preserve">(Nucala)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eosinofiel astma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100 mg 4-wekelijks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Omalizumab</w:t>
            </w:r>
            <w:r>
              <w:t xml:space="preserve"> </w:t>
            </w:r>
            <w:r>
              <w:t xml:space="preserve">(Xolair)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CRSwNP + allergie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per 2–4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Langdurig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Benralizumab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IL-5Rα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studie CRSwNP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28"/>
        </w:numPr>
        <w:pStyle w:val="Compact"/>
      </w:pPr>
      <w:r>
        <w:t xml:space="preserve">Evaluatie respons na</w:t>
      </w:r>
      <w:r>
        <w:t xml:space="preserve"> </w:t>
      </w:r>
      <w:r>
        <w:rPr>
          <w:bCs/>
          <w:b/>
        </w:rPr>
        <w:t xml:space="preserve">16–24 weken</w:t>
      </w:r>
      <w:r>
        <w:t xml:space="preserve">: ≥1 van: reductie polypenscore, verbetering nasale luchtstroom, verbetering reukvermogen, QoL-verbetering</w:t>
      </w:r>
    </w:p>
    <w:p>
      <w:pPr>
        <w:numPr>
          <w:ilvl w:val="0"/>
          <w:numId w:val="1028"/>
        </w:numPr>
        <w:pStyle w:val="Compact"/>
      </w:pPr>
      <w:r>
        <w:t xml:space="preserve">Vergoeding: via specialistisch centrum; prior authorization vereist</w:t>
      </w:r>
    </w:p>
    <w:p>
      <w:pPr>
        <w:pStyle w:val="FirstParagraph"/>
      </w:pPr>
      <w:r>
        <w:rPr>
          <w:bCs/>
          <w:b/>
        </w:rPr>
        <w:t xml:space="preserve">Aspirine desensitisatie (N-ERD):</w:t>
      </w:r>
      <w:r>
        <w:t xml:space="preserve"> </w:t>
      </w:r>
      <w:r>
        <w:t xml:space="preserve">- Gecontroleerde incrementele toediening aspirine tot onderhoudsdosis 300–625 mg/dag</w:t>
      </w:r>
      <w:r>
        <w:t xml:space="preserve"> </w:t>
      </w:r>
      <w:r>
        <w:t xml:space="preserve">- Effect: reductie poliepen, verbetering reukvermogen, vermindering astma-exacerbaties</w:t>
      </w:r>
      <w:r>
        <w:t xml:space="preserve"> </w:t>
      </w:r>
      <w:r>
        <w:t xml:space="preserve">- Uitvoering: gespecialiseerd centrum; monitoring spirometrie</w:t>
      </w:r>
    </w:p>
    <w:bookmarkEnd w:id="104"/>
    <w:bookmarkStart w:id="105" w:name="module-6-complicaties-sinusitis"/>
    <w:p>
      <w:pPr>
        <w:pStyle w:val="Heading3"/>
      </w:pPr>
      <w:r>
        <w:t xml:space="preserve">Module 6 — Complicaties sinusitis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→ acute actie:</w:t>
      </w:r>
      <w:r>
        <w:t xml:space="preserve"> </w:t>
      </w:r>
      <w:r>
        <w:t xml:space="preserve">- Periorbitaal oedeem, proptosis → orbitale complicatie (cellulitis, subperiostaal abces)</w:t>
      </w:r>
      <w:r>
        <w:t xml:space="preserve"> </w:t>
      </w:r>
      <w:r>
        <w:t xml:space="preserve">- Chemosis, visusachteruitgang → retrobulbair abces, caverneuze sinustrombose</w:t>
      </w:r>
      <w:r>
        <w:t xml:space="preserve"> </w:t>
      </w:r>
      <w:r>
        <w:t xml:space="preserve">- Hevige hoofdpijn, meningeale prikkelingstekens → meningitis, epiduraal abces</w:t>
      </w:r>
      <w:r>
        <w:t xml:space="preserve"> </w:t>
      </w:r>
      <w:r>
        <w:t xml:space="preserve">- Frontale zwelling (Pott’s puffy tumor) → subperiostaal abces voorste schedelgroeve</w:t>
      </w:r>
      <w:r>
        <w:t xml:space="preserve"> </w:t>
      </w:r>
      <w:r>
        <w:t xml:space="preserve">- Koorts + septisch beeld → spoedopname + IV antibiotica + CT + MDO</w:t>
      </w:r>
    </w:p>
    <w:p>
      <w:pPr>
        <w:pStyle w:val="FirstParagraph"/>
      </w:pPr>
      <w:r>
        <w:rPr>
          <w:bCs/>
          <w:b/>
        </w:rPr>
        <w:t xml:space="preserve">Orbitale complicaties (Chandler-classificatie):</w:t>
      </w:r>
      <w:r>
        <w:t xml:space="preserve"> </w:t>
      </w:r>
      <w:r>
        <w:t xml:space="preserve">- I: periorbitaal oedeem (preseptaal)</w:t>
      </w:r>
      <w:r>
        <w:t xml:space="preserve"> </w:t>
      </w:r>
      <w:r>
        <w:t xml:space="preserve">- II: orbitaal oedeem (postseptaal)</w:t>
      </w:r>
      <w:r>
        <w:t xml:space="preserve"> </w:t>
      </w:r>
      <w:r>
        <w:t xml:space="preserve">- III: subperiostaal abces</w:t>
      </w:r>
      <w:r>
        <w:t xml:space="preserve"> </w:t>
      </w:r>
      <w:r>
        <w:t xml:space="preserve">- IV: orbitaal abces</w:t>
      </w:r>
      <w:r>
        <w:t xml:space="preserve"> </w:t>
      </w:r>
      <w:r>
        <w:t xml:space="preserve">- V: caverneuze sinus trombose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2" w:name="Xd777554a3cee176fbab03c54e8306a18e18d47e"/>
    <w:p>
      <w:pPr>
        <w:pStyle w:val="Heading2"/>
      </w:pPr>
      <w:r>
        <w:t xml:space="preserve">15. Immunotherapie voor patiënten met allergische rhinoconjunctivitis (AR)</w:t>
      </w:r>
    </w:p>
    <w:bookmarkStart w:id="107" w:name="module-1-definitie-werkingsmechanisme"/>
    <w:p>
      <w:pPr>
        <w:pStyle w:val="Heading3"/>
      </w:pPr>
      <w:r>
        <w:t xml:space="preserve">Module 1 — Definitie &amp; werkingsmechanisme</w:t>
      </w:r>
    </w:p>
    <w:p>
      <w:pPr>
        <w:pStyle w:val="FirstParagraph"/>
      </w:pPr>
      <w:r>
        <w:rPr>
          <w:bCs/>
          <w:b/>
        </w:rPr>
        <w:t xml:space="preserve">Allergen Immunotherapy (AIT)</w:t>
      </w:r>
      <w:r>
        <w:t xml:space="preserve">: ziektemodificerende behandeling door geleidelijk oplopende allergeendosering leidend tot immuuntolerantie.</w:t>
      </w:r>
    </w:p>
    <w:p>
      <w:pPr>
        <w:pStyle w:val="BodyText"/>
      </w:pPr>
      <w:r>
        <w:rPr>
          <w:bCs/>
          <w:b/>
        </w:rPr>
        <w:t xml:space="preserve">Werkingsmechanisme:</w:t>
      </w:r>
      <w:r>
        <w:t xml:space="preserve"> </w:t>
      </w:r>
      <w:r>
        <w:t xml:space="preserve">- Inductie regulatoire T-cellen (Treg) en B-cellen</w:t>
      </w:r>
      <w:r>
        <w:t xml:space="preserve"> </w:t>
      </w:r>
      <w:r>
        <w:t xml:space="preserve">- Verschuiving Th2 → Th1 respons</w:t>
      </w:r>
      <w:r>
        <w:t xml:space="preserve"> </w:t>
      </w:r>
      <w:r>
        <w:t xml:space="preserve">- Toename blokker-IgG4 (IgG4/IgE ratio stijgt)</w:t>
      </w:r>
      <w:r>
        <w:t xml:space="preserve"> </w:t>
      </w:r>
      <w:r>
        <w:t xml:space="preserve">- Reductie mestcel- en basofielenreactiviteit</w:t>
      </w:r>
      <w:r>
        <w:t xml:space="preserve"> </w:t>
      </w:r>
      <w:r>
        <w:t xml:space="preserve">- Langdurig effect na staken behandeling</w:t>
      </w:r>
    </w:p>
    <w:bookmarkEnd w:id="107"/>
    <w:bookmarkStart w:id="108" w:name="module-2-indicaties"/>
    <w:p>
      <w:pPr>
        <w:pStyle w:val="Heading3"/>
      </w:pPr>
      <w:r>
        <w:t xml:space="preserve">Module 2 — Indicaties</w:t>
      </w:r>
    </w:p>
    <w:p>
      <w:pPr>
        <w:pStyle w:val="FirstParagraph"/>
      </w:pPr>
      <w:r>
        <w:rPr>
          <w:bCs/>
          <w:b/>
        </w:rPr>
        <w:t xml:space="preserve">Absolute voorwaarden:</w:t>
      </w:r>
      <w:r>
        <w:t xml:space="preserve"> </w:t>
      </w:r>
      <w:r>
        <w:t xml:space="preserve">1. Bewezen IgE-gemedieerde allergie (SPT ≥3 mm + klinische correlatie; of specifiek IgE ≥klasse 2)</w:t>
      </w:r>
      <w:r>
        <w:t xml:space="preserve"> </w:t>
      </w:r>
      <w:r>
        <w:t xml:space="preserve">2. Onvoldoende symptoomcontrole ondanks adequate farmacologische therapie (ARIA stap 1–3)</w:t>
      </w:r>
      <w:r>
        <w:t xml:space="preserve"> </w:t>
      </w:r>
      <w:r>
        <w:t xml:space="preserve">3. Beschikbaar gestandaardiseerd product voor relevant allergeen</w:t>
      </w:r>
      <w:r>
        <w:t xml:space="preserve"> </w:t>
      </w:r>
      <w:r>
        <w:t xml:space="preserve">4. Patiënt gemotiveerd voor langdurig traject (3–5 jaar)</w:t>
      </w:r>
    </w:p>
    <w:p>
      <w:pPr>
        <w:pStyle w:val="BodyText"/>
      </w:pPr>
      <w:r>
        <w:rPr>
          <w:bCs/>
          <w:b/>
        </w:rPr>
        <w:t xml:space="preserve">Specifieke indicaties:</w:t>
      </w:r>
      <w:r>
        <w:t xml:space="preserve"> </w:t>
      </w:r>
      <w:r>
        <w:t xml:space="preserve">- Graspollen (meest onderzocht; beste bewijs)</w:t>
      </w:r>
      <w:r>
        <w:t xml:space="preserve"> </w:t>
      </w:r>
      <w:r>
        <w:t xml:space="preserve">- Berkenpollen</w:t>
      </w:r>
      <w:r>
        <w:t xml:space="preserve"> </w:t>
      </w:r>
      <w:r>
        <w:t xml:space="preserve">- Huisstofmijt (Dermatophagoides pteronyssinus/farinae)</w:t>
      </w:r>
      <w:r>
        <w:t xml:space="preserve"> </w:t>
      </w:r>
      <w:r>
        <w:t xml:space="preserve">- Kat (minder bewijs SLIT; SCIT goed)</w:t>
      </w:r>
      <w:r>
        <w:t xml:space="preserve"> </w:t>
      </w:r>
      <w:r>
        <w:t xml:space="preserve">- Hond (minder bewijs)</w:t>
      </w:r>
      <w:r>
        <w:t xml:space="preserve"> </w:t>
      </w:r>
      <w:r>
        <w:t xml:space="preserve">- Alternaria (schimmel)</w:t>
      </w:r>
    </w:p>
    <w:p>
      <w:pPr>
        <w:pStyle w:val="BodyText"/>
      </w:pPr>
      <w:r>
        <w:rPr>
          <w:bCs/>
          <w:b/>
        </w:rPr>
        <w:t xml:space="preserve">Gelijktijdig voordelen:</w:t>
      </w:r>
      <w:r>
        <w:t xml:space="preserve"> </w:t>
      </w:r>
      <w:r>
        <w:t xml:space="preserve">- Preventie ontwikkeling astma bij AR (sterk bewijs)</w:t>
      </w:r>
      <w:r>
        <w:t xml:space="preserve"> </w:t>
      </w:r>
      <w:r>
        <w:t xml:space="preserve">- Preventie nieuwe sensibilisaties</w:t>
      </w:r>
      <w:r>
        <w:t xml:space="preserve"> </w:t>
      </w:r>
      <w:r>
        <w:t xml:space="preserve">- Effect persisteert na staken behandeling (3–7 jaar)</w:t>
      </w:r>
    </w:p>
    <w:bookmarkEnd w:id="108"/>
    <w:bookmarkStart w:id="109" w:name="module-3-contra-indicaties"/>
    <w:p>
      <w:pPr>
        <w:pStyle w:val="Heading3"/>
      </w:pPr>
      <w:r>
        <w:t xml:space="preserve">Module 3 — Contra-indicaties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1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Contra-indicatie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Ernstig/slecht gecontroleerd</w:t>
            </w:r>
            <w:r>
              <w:t xml:space="preserve"> </w:t>
            </w:r>
            <w:r>
              <w:rPr>
                <w:bCs/>
                <w:b/>
              </w:rPr>
              <w:t xml:space="preserve">astma</w:t>
            </w:r>
            <w:r>
              <w:t xml:space="preserve"> </w:t>
            </w:r>
            <w:r>
              <w:t xml:space="preserve">(FEV1 &lt;70%)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 anafylaxierisico; bronchospasme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Cardiovasculaire ziekte</w:t>
            </w:r>
            <w:r>
              <w:t xml:space="preserve"> </w:t>
            </w:r>
            <w:r>
              <w:t xml:space="preserve">(ernstig)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Anafylaxiebehandeling bemoeilijkt (adrenaline riskant)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Bètablokkers</w:t>
            </w:r>
            <w:r>
              <w:t xml:space="preserve"> </w:t>
            </w:r>
            <w:r>
              <w:t xml:space="preserve">(ook oogdruppels!)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Anafylaxiebehandeling bemoeilijkt (adrenergische blokkade)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Actieve</w:t>
            </w:r>
            <w:r>
              <w:t xml:space="preserve"> </w:t>
            </w:r>
            <w:r>
              <w:rPr>
                <w:bCs/>
                <w:b/>
              </w:rPr>
              <w:t xml:space="preserve">auto-immuunziekte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Mogelijk verergering immuunrespons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Maligniteit</w:t>
            </w:r>
            <w:r>
              <w:t xml:space="preserve"> </w:t>
            </w:r>
            <w:r>
              <w:t xml:space="preserve">(actief)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Mogelijk stimulering tumorgroei; immunomodulatie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Zwangerschap</w:t>
            </w:r>
            <w:r>
              <w:t xml:space="preserve"> </w:t>
            </w:r>
            <w:r>
              <w:t xml:space="preserve">(starten)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 starten; continueren mag bij goede tolerantie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Immunodeficiëntie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Onvoldoende immuunrespons op behandeling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Relatieve contra-indicaties:</w:t>
      </w:r>
      <w:r>
        <w:t xml:space="preserve"> </w:t>
      </w:r>
      <w:r>
        <w:t xml:space="preserve">matige astma (FEV1 60–70%): mogelijk mits goed gecontroleerd.</w:t>
      </w:r>
    </w:p>
    <w:bookmarkEnd w:id="109"/>
    <w:bookmarkStart w:id="110" w:name="module-4-scit-vs-slit"/>
    <w:p>
      <w:pPr>
        <w:pStyle w:val="Heading3"/>
      </w:pPr>
      <w:r>
        <w:t xml:space="preserve">Module 4 — SCIT vs SLIT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226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Kenmerk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Subcutaan injectie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Sublinguaal (druppels of tablet)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Thuis (na eerste dosis in kliniek)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Opbouwfase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Wekelijkse injecties; 12–28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Dagelijks; 1–4 weken opbouw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Onderhoudsfase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Maandelijkse injectie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Dagelijkse dosis thuis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Totale duur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3–5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3–5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Anafylaxierisico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1/1.000.000 injecties (ernstig)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Zeer zeldzaam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Observatietijd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 minuten verplicht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minuten na eerste dosis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Moeilijker (kliniekbezoek)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Makkelijker (thuis)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Geregistreerde SLIT-tabletten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 (Grazax, Itulazax), HDM (Acarizax, Actair)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Druppels minder gestandaardiseerd</w:t>
            </w:r>
          </w:p>
        </w:tc>
      </w:tr>
    </w:tbl>
    <w:p>
      <w:pPr>
        <w:pStyle w:val="BodyText"/>
      </w:pPr>
      <w:r>
        <w:rPr>
          <w:bCs/>
          <w:b/>
        </w:rPr>
        <w:t xml:space="preserve">Dosisschema SCIT (globaal):</w:t>
      </w:r>
      <w:r>
        <w:t xml:space="preserve"> </w:t>
      </w:r>
      <w:r>
        <w:t xml:space="preserve">- Opbouw: start laagste concentratie (bijv. 1:100.000 w/v) → wekelijks verhogen → onderhoudsconcentratie (bijv. 1:1 of 1:10 w/v)</w:t>
      </w:r>
      <w:r>
        <w:t xml:space="preserve"> </w:t>
      </w:r>
      <w:r>
        <w:t xml:space="preserve">- Onderhoud: maandelijks of 6-wekelijks</w:t>
      </w:r>
      <w:r>
        <w:t xml:space="preserve"> </w:t>
      </w:r>
      <w:r>
        <w:t xml:space="preserve">- Conventioneel schema (classic): 12–28 weken opbouw</w:t>
      </w:r>
      <w:r>
        <w:t xml:space="preserve"> </w:t>
      </w:r>
      <w:r>
        <w:t xml:space="preserve">- Versneld schema (cluster/rush): kortere opbouwfase; hogere systeem-reactie-kans; tweede-lijnssetting</w:t>
      </w:r>
    </w:p>
    <w:p>
      <w:pPr>
        <w:pStyle w:val="BodyText"/>
      </w:pPr>
      <w:r>
        <w:rPr>
          <w:bCs/>
          <w:b/>
        </w:rPr>
        <w:t xml:space="preserve">Bijwerkingen SCIT:</w:t>
      </w:r>
      <w:r>
        <w:t xml:space="preserve"> </w:t>
      </w:r>
      <w:r>
        <w:t xml:space="preserve">- Lokale reactie (zwelling injectieplaats &gt;5 cm): frequenter; niet alarmerend; koelen; dosis aanpassen</w:t>
      </w:r>
      <w:r>
        <w:t xml:space="preserve"> </w:t>
      </w:r>
      <w:r>
        <w:t xml:space="preserve">- Systemische reactie graad 1 (rinitis, urticaria): antihistaminicum; volgende sessie: dosis halveren</w:t>
      </w:r>
      <w:r>
        <w:t xml:space="preserve"> </w:t>
      </w:r>
      <w:r>
        <w:t xml:space="preserve">- Graad 2–4 (anafylaxie): adrenaline IM (0.3–0.5 mg), antahistaminicum IV, corticosteroïden; heropstart in overleg</w:t>
      </w:r>
      <w:r>
        <w:t xml:space="preserve"> </w:t>
      </w:r>
      <w:r>
        <w:t xml:space="preserve">- Adrenaline altijd aanwezig; observatietijd 30 min verplicht</w:t>
      </w:r>
    </w:p>
    <w:bookmarkEnd w:id="110"/>
    <w:bookmarkStart w:id="111" w:name="module-5-effectiviteit-duur-behandeling"/>
    <w:p>
      <w:pPr>
        <w:pStyle w:val="Heading3"/>
      </w:pPr>
      <w:r>
        <w:t xml:space="preserve">Module 5 — Effectiviteit &amp; duur behandeling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Symptoomreductie</w:t>
      </w:r>
      <w:r>
        <w:t xml:space="preserve">: 30–40% reductie totale symptoomscore vs. placebo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Medicatiereductie</w:t>
      </w:r>
      <w:r>
        <w:t xml:space="preserve">: significant minder rescue medicatie nodig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Duur behandeling</w:t>
      </w:r>
      <w:r>
        <w:t xml:space="preserve">: 3–5 jaar voor persistente, langdurige tolerantie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Effect na staken</w:t>
      </w:r>
      <w:r>
        <w:t xml:space="preserve">: 3–7 jaar aanhoudend effect na 3 jaar SCIT/SLIT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Bewijs bij kinderen</w:t>
      </w:r>
      <w:r>
        <w:t xml:space="preserve">: SLIT bewezen effectief; SCIT minder goed onderzocht bij jonge kinderen maar gangbaar ≥5 jaar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septumcorrectie"/>
    <w:p>
      <w:pPr>
        <w:pStyle w:val="Heading2"/>
      </w:pPr>
      <w:r>
        <w:t xml:space="preserve">16. Septumcorrectie</w:t>
      </w:r>
    </w:p>
    <w:bookmarkStart w:id="113" w:name="module-1-indicaties"/>
    <w:p>
      <w:pPr>
        <w:pStyle w:val="Heading3"/>
      </w:pPr>
      <w:r>
        <w:t xml:space="preserve">Module 1 — Indicaties</w:t>
      </w:r>
    </w:p>
    <w:p>
      <w:pPr>
        <w:pStyle w:val="FirstParagraph"/>
      </w:pPr>
      <w:r>
        <w:rPr>
          <w:bCs/>
          <w:b/>
        </w:rPr>
        <w:t xml:space="preserve">Functioneel (primaire indicatie):</w:t>
      </w:r>
      <w:r>
        <w:t xml:space="preserve"> </w:t>
      </w:r>
      <w:r>
        <w:t xml:space="preserve">- Neusobstructie door septumdeviatie met klachten: verminderde neusademhaling, slechte slaapkwaliteit, snurken (bijdragend), hoofdpijn door druk op laterale neuswand</w:t>
      </w:r>
      <w:r>
        <w:t xml:space="preserve"> </w:t>
      </w:r>
      <w:r>
        <w:t xml:space="preserve">- Obstructie valide meten: visuele endoscopie, rhinomanometrie (objectief), NOSE-score (vragenlijst)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NOSE-score</w:t>
      </w:r>
      <w:r>
        <w:t xml:space="preserve"> </w:t>
      </w:r>
      <w:r>
        <w:t xml:space="preserve">(Nasal Obstruction Symptom Evaluation): 0–100; ≥30 klinisch relevant</w:t>
      </w:r>
    </w:p>
    <w:p>
      <w:pPr>
        <w:pStyle w:val="BodyText"/>
      </w:pPr>
      <w:r>
        <w:rPr>
          <w:bCs/>
          <w:b/>
        </w:rPr>
        <w:t xml:space="preserve">Bijkomende indicaties:</w:t>
      </w:r>
      <w:r>
        <w:t xml:space="preserve"> </w:t>
      </w:r>
      <w:r>
        <w:t xml:space="preserve">- Toegang faciliteren bij FESS of turbinaplastiek</w:t>
      </w:r>
      <w:r>
        <w:t xml:space="preserve"> </w:t>
      </w:r>
      <w:r>
        <w:t xml:space="preserve">- Onderdeel rhinoplastiek (cosmetisch of reconstructief)</w:t>
      </w:r>
      <w:r>
        <w:t xml:space="preserve"> </w:t>
      </w:r>
      <w:r>
        <w:t xml:space="preserve">- Bijdrage aan OSA-behandeling (neusverstopping)</w:t>
      </w:r>
    </w:p>
    <w:p>
      <w:pPr>
        <w:pStyle w:val="BodyText"/>
      </w:pPr>
      <w:r>
        <w:rPr>
          <w:bCs/>
          <w:b/>
        </w:rPr>
        <w:t xml:space="preserve">Cosmetisch:</w:t>
      </w:r>
      <w:r>
        <w:t xml:space="preserve"> </w:t>
      </w:r>
      <w:r>
        <w:t xml:space="preserve">- Scheve of asymmetrische uitwendige neus</w:t>
      </w:r>
      <w:r>
        <w:t xml:space="preserve"> </w:t>
      </w:r>
      <w:r>
        <w:t xml:space="preserve">- Zaddelneus door septumsupport-verlies</w:t>
      </w:r>
      <w:r>
        <w:t xml:space="preserve"> </w:t>
      </w:r>
      <w:r>
        <w:t xml:space="preserve">- Vrijwel altijd gecombineerd met rhinoplastiek</w:t>
      </w:r>
    </w:p>
    <w:bookmarkEnd w:id="113"/>
    <w:bookmarkStart w:id="114" w:name="X64ed8f19bda61fe2ec64f333a761ed4f0fa093d"/>
    <w:p>
      <w:pPr>
        <w:pStyle w:val="Heading3"/>
      </w:pPr>
      <w:r>
        <w:t xml:space="preserve">Module 2 — Diagnostiek &amp; evaluatie pre-operatief</w:t>
      </w:r>
    </w:p>
    <w:p>
      <w:pPr>
        <w:numPr>
          <w:ilvl w:val="0"/>
          <w:numId w:val="1030"/>
        </w:numPr>
        <w:pStyle w:val="Compact"/>
      </w:pPr>
      <w:r>
        <w:t xml:space="preserve">Endoscopie neus: septumanatomie, contactpunten, hypertrofische conchae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Rhinomanometrie of PNIF</w:t>
      </w:r>
      <w:r>
        <w:t xml:space="preserve"> </w:t>
      </w:r>
      <w:r>
        <w:t xml:space="preserve">(peak nasal inspiratory flow): objectivering luchtstroomweerstand</w:t>
      </w:r>
    </w:p>
    <w:p>
      <w:pPr>
        <w:numPr>
          <w:ilvl w:val="0"/>
          <w:numId w:val="1030"/>
        </w:numPr>
        <w:pStyle w:val="Compact"/>
      </w:pPr>
      <w:r>
        <w:t xml:space="preserve">Allergiediagnostiek: uitsluiten of behandelen allergische rhinitis pre-operatief</w:t>
      </w:r>
    </w:p>
    <w:p>
      <w:pPr>
        <w:numPr>
          <w:ilvl w:val="0"/>
          <w:numId w:val="1030"/>
        </w:numPr>
        <w:pStyle w:val="Compact"/>
      </w:pPr>
      <w:r>
        <w:t xml:space="preserve">CT bijholten: bij gelijktijdig FESS of bij aantasting osseodeel sep</w:t>
      </w:r>
    </w:p>
    <w:p>
      <w:pPr>
        <w:pStyle w:val="FirstParagraph"/>
      </w:pPr>
      <w:r>
        <w:rPr>
          <w:bCs/>
          <w:b/>
        </w:rPr>
        <w:t xml:space="preserve">Leeftijdsgrens:</w:t>
      </w:r>
      <w:r>
        <w:t xml:space="preserve"> </w:t>
      </w:r>
      <w:r>
        <w:t xml:space="preserve">- Groeiafsluiting neus: vrouwen ~16–17 jaar, mannen ~17–18 jaar</w:t>
      </w:r>
      <w:r>
        <w:t xml:space="preserve"> </w:t>
      </w:r>
      <w:r>
        <w:t xml:space="preserve">- Uitzondering: ernstige obstructie jongere leeftijd (mondademhaling, lawaai bij slaap) → afwegen</w:t>
      </w:r>
    </w:p>
    <w:bookmarkEnd w:id="114"/>
    <w:bookmarkStart w:id="115" w:name="module-3-chirurgische-technieken"/>
    <w:p>
      <w:pPr>
        <w:pStyle w:val="Heading3"/>
      </w:pPr>
      <w:r>
        <w:t xml:space="preserve">Module 3 — 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6"/>
        <w:gridCol w:w="1926"/>
        <w:gridCol w:w="2140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Nadelen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Septumplastiek</w:t>
            </w:r>
            <w:r>
              <w:t xml:space="preserve"> </w:t>
            </w:r>
            <w:r>
              <w:t xml:space="preserve">(gouden standaard)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Conservatief-reconstructief: kraakbeen geredresseerd en teruggeplaatst; spaart L-strut (dorsale + caudale strip)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Structuurbehoud; minste complicaties; heroperabel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Technisch moeilijker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SMR</w:t>
            </w:r>
            <w:r>
              <w:t xml:space="preserve"> </w:t>
            </w:r>
            <w:r>
              <w:t xml:space="preserve">(submucosal resection)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Kraakbeen en bot verwijderd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Eenvoudig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Structuurverlies; zadelneus-risico; niet-heroperabel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Gecombineerd met turbinaplastiek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 inferior reductie (submucosal resection, coagulatie, lateralisatie)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Optimale luchtstroom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Combinatie-operatie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Technische details septumplastiek:</w:t>
      </w:r>
      <w:r>
        <w:t xml:space="preserve"> </w:t>
      </w:r>
      <w:r>
        <w:t xml:space="preserve">- Incisie: hemitransfixie of Killian (endorhinaal)</w:t>
      </w:r>
      <w:r>
        <w:t xml:space="preserve"> </w:t>
      </w:r>
      <w:r>
        <w:t xml:space="preserve">- Mucoperichondriaal lapper: aan één of beide zijden afhankelijk van pathologie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L-strut</w:t>
      </w:r>
      <w:r>
        <w:t xml:space="preserve">: behoud van minimaal 10 mm dorsale én 10 mm caudale strook kraakbeen (stabiliteit neussteun!)</w:t>
      </w:r>
      <w:r>
        <w:t xml:space="preserve"> </w:t>
      </w:r>
      <w:r>
        <w:t xml:space="preserve">- Correctie deviatie: scoring, spreader grafts, sutures, excisie (minimaal)</w:t>
      </w:r>
      <w:r>
        <w:t xml:space="preserve"> </w:t>
      </w:r>
      <w:r>
        <w:t xml:space="preserve">- Botspoor: osteotoom of punch</w:t>
      </w:r>
      <w:r>
        <w:t xml:space="preserve"> </w:t>
      </w:r>
      <w:r>
        <w:t xml:space="preserve">- Afsluiting: resorbeerbare hechtingen; septumfixatienaad; splints (Doyle) facultatief</w:t>
      </w:r>
    </w:p>
    <w:bookmarkEnd w:id="115"/>
    <w:bookmarkStart w:id="116" w:name="module-4-post-operatieve-zorg"/>
    <w:p>
      <w:pPr>
        <w:pStyle w:val="Heading3"/>
      </w:pPr>
      <w:r>
        <w:t xml:space="preserve">Module 4 — Post-operatieve zorg</w:t>
      </w:r>
    </w:p>
    <w:p>
      <w:pPr>
        <w:numPr>
          <w:ilvl w:val="0"/>
          <w:numId w:val="1031"/>
        </w:numPr>
        <w:pStyle w:val="Compact"/>
      </w:pPr>
      <w:r>
        <w:t xml:space="preserve">Neustamponade: 24–48 uur (of geen tamponade bij ervaren chirurgen)</w:t>
      </w:r>
    </w:p>
    <w:p>
      <w:pPr>
        <w:numPr>
          <w:ilvl w:val="0"/>
          <w:numId w:val="1031"/>
        </w:numPr>
        <w:pStyle w:val="Compact"/>
      </w:pPr>
      <w:r>
        <w:t xml:space="preserve">Pijnstilling: paracetamol; NSAID vermijden eerste 24 uur (bloedingsrisico)</w:t>
      </w:r>
    </w:p>
    <w:p>
      <w:pPr>
        <w:numPr>
          <w:ilvl w:val="0"/>
          <w:numId w:val="1031"/>
        </w:numPr>
        <w:pStyle w:val="Compact"/>
      </w:pPr>
      <w:r>
        <w:t xml:space="preserve">Nasale spoeling: starten na verwijdering tamponade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Arbeids-ongeschiktheid</w:t>
      </w:r>
      <w:r>
        <w:t xml:space="preserve">: ca. 1–2 weken</w:t>
      </w:r>
    </w:p>
    <w:p>
      <w:pPr>
        <w:numPr>
          <w:ilvl w:val="0"/>
          <w:numId w:val="1031"/>
        </w:numPr>
        <w:pStyle w:val="Compact"/>
      </w:pPr>
      <w:r>
        <w:t xml:space="preserve">Controle: 1 week (wondcontrole), 6 weken, 3–6 maanden (eindresultaat)</w:t>
      </w:r>
    </w:p>
    <w:p>
      <w:pPr>
        <w:numPr>
          <w:ilvl w:val="0"/>
          <w:numId w:val="1031"/>
        </w:numPr>
        <w:pStyle w:val="Compact"/>
      </w:pPr>
      <w:r>
        <w:t xml:space="preserve">Zwemmen en sportcontact: 3–4 weken vermijden</w:t>
      </w:r>
    </w:p>
    <w:bookmarkEnd w:id="116"/>
    <w:bookmarkStart w:id="117" w:name="module-5-complicaties"/>
    <w:p>
      <w:pPr>
        <w:pStyle w:val="Heading3"/>
      </w:pPr>
      <w:r>
        <w:t xml:space="preserve">Module 5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863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(24–48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Tamponade, epistaxis-behandeling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(24–72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Spoedinterventie! Incisie + drainage; risico: avasculariteit kraakbeen → septumperforatie/zadelneus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Septumperforatie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Kruisende mucosalaesies; klachten: korstvorming, bloeding, fluittoon; behandeling: conservatief (crèmes) of chirurgische sluiting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Zadelneus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Overcorrectie L-strut; reconstructie met kraakbeengraft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deviatie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Heroperatie (na minimaal 1 jaar)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Antibiotica; drainage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Anosmie (tijdelijk)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Doorgaans spontaan herstel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Septumhematoom = spoedcomplicatie: evacueer altijd direct!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End w:id="119"/>
    <w:bookmarkStart w:id="131" w:name="laryngologie"/>
    <w:p>
      <w:pPr>
        <w:pStyle w:val="Heading1"/>
      </w:pPr>
      <w:r>
        <w:t xml:space="preserve">LARYNGOLOGIE</w:t>
      </w:r>
    </w:p>
    <w:p>
      <w:r>
        <w:pict>
          <v:rect style="width:0;height:1.5pt" o:hralign="center" o:hrstd="t" o:hr="t"/>
        </w:pict>
      </w:r>
    </w:p>
    <w:bookmarkStart w:id="125" w:name="anamnese-bij-orofaryngeale-dysfagie"/>
    <w:p>
      <w:pPr>
        <w:pStyle w:val="Heading2"/>
      </w:pPr>
      <w:r>
        <w:t xml:space="preserve">17. Anamnese bij orofaryngeale dysfagie</w:t>
      </w:r>
    </w:p>
    <w:bookmarkStart w:id="120" w:name="module-1-definitie-prevalentie"/>
    <w:p>
      <w:pPr>
        <w:pStyle w:val="Heading3"/>
      </w:pPr>
      <w:r>
        <w:t xml:space="preserve">Module 1 — Definitie &amp; prevalentie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Orofaryngeale dysfagie</w:t>
      </w:r>
      <w:r>
        <w:t xml:space="preserve">: stoornis in de orale preparatie en/of faryngeale transportfase van het slikken</w:t>
      </w:r>
    </w:p>
    <w:p>
      <w:pPr>
        <w:numPr>
          <w:ilvl w:val="0"/>
          <w:numId w:val="1032"/>
        </w:numPr>
        <w:pStyle w:val="Compact"/>
      </w:pPr>
      <w:r>
        <w:t xml:space="preserve">Onderscheid met</w:t>
      </w:r>
      <w:r>
        <w:t xml:space="preserve"> </w:t>
      </w:r>
      <w:r>
        <w:rPr>
          <w:bCs/>
          <w:b/>
        </w:rPr>
        <w:t xml:space="preserve">oesofageale dysfagie</w:t>
      </w:r>
      <w:r>
        <w:t xml:space="preserve"> </w:t>
      </w:r>
      <w:r>
        <w:t xml:space="preserve">(passageklachten lager): verwijzing gastro-enterologie</w:t>
      </w:r>
    </w:p>
    <w:p>
      <w:pPr>
        <w:numPr>
          <w:ilvl w:val="0"/>
          <w:numId w:val="1032"/>
        </w:numPr>
        <w:pStyle w:val="Compact"/>
      </w:pPr>
      <w:r>
        <w:t xml:space="preserve">Prevalentie: ~15% algemene bevolking; tot 50% bij neurologische patiënten; tot 60% bij ouderen in verpleeghuizen</w:t>
      </w:r>
    </w:p>
    <w:bookmarkEnd w:id="120"/>
    <w:bookmarkStart w:id="121" w:name="module-2-anamnese-screening"/>
    <w:p>
      <w:pPr>
        <w:pStyle w:val="Heading3"/>
      </w:pPr>
      <w:r>
        <w:t xml:space="preserve">Module 2 — Anamnese &amp; screening</w:t>
      </w:r>
    </w:p>
    <w:p>
      <w:pPr>
        <w:pStyle w:val="FirstParagraph"/>
      </w:pPr>
      <w:r>
        <w:rPr>
          <w:bCs/>
          <w:b/>
        </w:rPr>
        <w:t xml:space="preserve">Klachten sugestief voor orofaryngeale dysfagie:</w:t>
      </w:r>
      <w:r>
        <w:t xml:space="preserve"> </w:t>
      </w:r>
      <w:r>
        <w:t xml:space="preserve">- Verslikken of hoesten tijdens/direct na eten/drinken</w:t>
      </w:r>
      <w:r>
        <w:t xml:space="preserve"> </w:t>
      </w:r>
      <w:r>
        <w:t xml:space="preserve">- Gevoel van voedsel in keel</w:t>
      </w:r>
      <w:r>
        <w:t xml:space="preserve"> </w:t>
      </w:r>
      <w:r>
        <w:t xml:space="preserve">- Nasale regurgitatie</w:t>
      </w:r>
      <w:r>
        <w:t xml:space="preserve"> </w:t>
      </w:r>
      <w:r>
        <w:t xml:space="preserve">- Verlengde maaltijdduur (&gt;30 min)</w:t>
      </w:r>
      <w:r>
        <w:t xml:space="preserve"> </w:t>
      </w:r>
      <w:r>
        <w:t xml:space="preserve">- Vermijden bepaalde consistenties</w:t>
      </w:r>
      <w:r>
        <w:t xml:space="preserve"> </w:t>
      </w:r>
      <w:r>
        <w:t xml:space="preserve">- Gewichtsverlies, dehydratie</w:t>
      </w:r>
      <w:r>
        <w:t xml:space="preserve"> </w:t>
      </w:r>
      <w:r>
        <w:t xml:space="preserve">- Recidiverende pneumonieën (aspiratiepneumonie!)</w:t>
      </w:r>
      <w:r>
        <w:t xml:space="preserve"> </w:t>
      </w:r>
      <w:r>
        <w:t xml:space="preserve">- Stemverandering na slikken (</w:t>
      </w:r>
      <w:r>
        <w:t xml:space="preserve">“</w:t>
      </w:r>
      <w:r>
        <w:t xml:space="preserve">wet voice</w:t>
      </w:r>
      <w:r>
        <w:t xml:space="preserve">”</w:t>
      </w:r>
      <w:r>
        <w:t xml:space="preserve">, gurgelen)</w:t>
      </w:r>
    </w:p>
    <w:p>
      <w:pPr>
        <w:pStyle w:val="BodyText"/>
      </w:pPr>
      <w:r>
        <w:rPr>
          <w:bCs/>
          <w:b/>
        </w:rPr>
        <w:t xml:space="preserve">Gevalideerde screeningsinstrumenten: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11"/>
        <w:gridCol w:w="1697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Afkappunt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EAT-10</w:t>
            </w:r>
            <w:r>
              <w:t xml:space="preserve"> </w:t>
            </w:r>
            <w:r>
              <w:t xml:space="preserve">(Eating Assessment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Zelf-rapportage; 10 items; 0–4 per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≥3 = verwijzing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3-oz water swallow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Patiënt drinkt 90 ml water; observatie hoest/stemverandering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Hoesten of steminverandering = positief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GUSS</w:t>
            </w:r>
            <w:r>
              <w:t xml:space="preserve"> </w:t>
            </w:r>
            <w:r>
              <w:t xml:space="preserve">(Gugging Swallowing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Semi-bedgebonden; getraind verpleegkundige; CVA-patiënten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0–20; &lt;15 = ernstig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SSA</w:t>
            </w:r>
            <w:r>
              <w:t xml:space="preserve"> </w:t>
            </w:r>
            <w:r>
              <w:t xml:space="preserve">(Standardized Swallowing Assessment)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Waakzaamheid + watertest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Getraind verpleegkundige</w:t>
            </w:r>
          </w:p>
        </w:tc>
      </w:tr>
    </w:tbl>
    <w:p>
      <w:pPr>
        <w:pStyle w:val="BodyText"/>
      </w:pPr>
      <w:r>
        <w:rPr>
          <w:bCs/>
          <w:b/>
        </w:rPr>
        <w:t xml:space="preserve">Anamnese details:</w:t>
      </w:r>
      <w:r>
        <w:t xml:space="preserve"> </w:t>
      </w:r>
      <w:r>
        <w:t xml:space="preserve">- Welke consistenties: vloeibaar (moeilijker bij neurogeen) vs vast (moeilijker bij mechanisch)</w:t>
      </w:r>
      <w:r>
        <w:t xml:space="preserve"> </w:t>
      </w:r>
      <w:r>
        <w:t xml:space="preserve">- Timing: direct bij inslikken (faryngeaal) vs later retrosternaal (oesofageaal)</w:t>
      </w:r>
      <w:r>
        <w:t xml:space="preserve"> </w:t>
      </w:r>
      <w:r>
        <w:t xml:space="preserve">- Pijnlijk slikken (odynofagie): infectie, tumor</w:t>
      </w:r>
      <w:r>
        <w:t xml:space="preserve"> </w:t>
      </w:r>
      <w:r>
        <w:t xml:space="preserve">- Neurologische voorgeschiedenis: CVA, Parkinson, MS, ALS, myasthenie</w:t>
      </w:r>
      <w:r>
        <w:t xml:space="preserve"> </w:t>
      </w:r>
      <w:r>
        <w:t xml:space="preserve">- Medicatieanamnese: droogmakende middelen (anticholinergica), sedativa</w:t>
      </w:r>
    </w:p>
    <w:bookmarkEnd w:id="121"/>
    <w:bookmarkStart w:id="122" w:name="module-3-etiologie"/>
    <w:p>
      <w:pPr>
        <w:pStyle w:val="Heading3"/>
      </w:pPr>
      <w:r>
        <w:t xml:space="preserve">Module 3 — Etiologie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Oorzaken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 (acuut: 50%; 30% persisteert), Parkinson, ALS, MS, myasthenia gravis, dementie, TBI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Structureel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Oropharyngeale tumor, post-chirurgie (laryngectomie, TORS), post-RT fibrose/stenose, Zenker’s divertikel, cricopharyngeale dysfunctie/spasme, cervicale osteofyten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Myogeen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Polymyositis, dermatomyositis, oculofaryngeale spierdystrofie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Iatrogeen/functioneel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Post-intubatie, xerostomie (RT-gevolg, Sjögren, medicatie), mucositis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dysfagie:</w:t>
      </w:r>
      <w:r>
        <w:t xml:space="preserve"> </w:t>
      </w:r>
      <w:r>
        <w:t xml:space="preserve">- Acute dysfagie + neurologische uitval → CVA: spoedopname</w:t>
      </w:r>
      <w:r>
        <w:t xml:space="preserve"> </w:t>
      </w:r>
      <w:r>
        <w:t xml:space="preserve">- Progressieve dysfagie voor vast voedsel → structurele oorzaak/tumor: endoscopie + CT</w:t>
      </w:r>
      <w:r>
        <w:t xml:space="preserve"> </w:t>
      </w:r>
      <w:r>
        <w:t xml:space="preserve">- Gewichtsverlies + dysfagie → maligniteit uitsluiten</w:t>
      </w:r>
      <w:r>
        <w:t xml:space="preserve"> </w:t>
      </w:r>
      <w:r>
        <w:t xml:space="preserve">- Recidiverende pneumonieën → stille aspiratie: FEES of VFS</w:t>
      </w:r>
    </w:p>
    <w:bookmarkEnd w:id="122"/>
    <w:bookmarkStart w:id="123" w:name="module-4-aanvullende-diagnostiek"/>
    <w:p>
      <w:pPr>
        <w:pStyle w:val="Heading3"/>
      </w:pPr>
      <w:r>
        <w:t xml:space="preserve">Module 4 — Aanvullende diagnostiek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3960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 het beoordeelt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FEES</w:t>
            </w:r>
            <w:r>
              <w:t xml:space="preserve"> </w:t>
            </w:r>
            <w:r>
              <w:t xml:space="preserve">(Flexible Endoscopic Evaluation of Swallowing)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zicht op faryngeale fase; sensibiliteit; stille aspiratie; residuen; effect van houdingen/modificaties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verdenking aspirtie; ook post-operatief larynx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Videofluoroscopie (VFS/MBSS)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slikfasen; oraal, faryngeaal, oesofageaal (begindeel); kwantificeerbaar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Goudstandaard; stralingsbelasting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Hoge-resolutie manometrie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Drukprofielen UES, farynx; cricopharyngeale functie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verdenking cricopharyngeale dysfunctie; Zenker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 hals/thorax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Structurele pathologie; tumor; Zenker’s divertikel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structurele verdenking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Flexibele laryngoscopie + sensibiliteitstesting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Laryngeale sensibiliteit (LESP); beschermende reflexen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</w:tr>
    </w:tbl>
    <w:p>
      <w:pPr>
        <w:pStyle w:val="BodyText"/>
      </w:pPr>
      <w:r>
        <w:rPr>
          <w:bCs/>
          <w:b/>
        </w:rPr>
        <w:t xml:space="preserve">FEES vs VFS:</w:t>
      </w:r>
      <w:r>
        <w:t xml:space="preserve"> </w:t>
      </w:r>
      <w:r>
        <w:t xml:space="preserve">- FEES: direkt beschikbaar, geen straling, geen transport, geeft minder info over orale fase</w:t>
      </w:r>
      <w:r>
        <w:t xml:space="preserve"> </w:t>
      </w:r>
      <w:r>
        <w:t xml:space="preserve">- VFS: uitgebreidere informatie, ook oesofageale fase zichtbaar, stralingsbelasting, transport naar afdeling</w:t>
      </w:r>
    </w:p>
    <w:bookmarkEnd w:id="123"/>
    <w:bookmarkStart w:id="124" w:name="module-5-behandeling-begeleiding"/>
    <w:p>
      <w:pPr>
        <w:pStyle w:val="Heading3"/>
      </w:pPr>
      <w:r>
        <w:t xml:space="preserve">Module 5 — Behandeling &amp; begeleiding</w:t>
      </w:r>
    </w:p>
    <w:p>
      <w:pPr>
        <w:pStyle w:val="FirstParagraph"/>
      </w:pPr>
      <w:r>
        <w:rPr>
          <w:bCs/>
          <w:b/>
        </w:rPr>
        <w:t xml:space="preserve">Logopedische interventie: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Compensatietechnieken</w:t>
      </w:r>
      <w:r>
        <w:t xml:space="preserve"> </w:t>
      </w:r>
      <w:r>
        <w:t xml:space="preserve">(directe effect):</w:t>
      </w:r>
      <w:r>
        <w:t xml:space="preserve"> </w:t>
      </w:r>
      <w:r>
        <w:t xml:space="preserve">- Hoofdpositie: hoofd buigen (chin-tuck) → verbetert valliculae-reservoirfunctie</w:t>
      </w:r>
      <w:r>
        <w:t xml:space="preserve"> </w:t>
      </w:r>
      <w:r>
        <w:t xml:space="preserve">- Hoofd draaien naar aangedane zijde (bij unilaterale zwakte)</w:t>
      </w:r>
      <w:r>
        <w:t xml:space="preserve"> </w:t>
      </w:r>
      <w:r>
        <w:t xml:space="preserve">- Supersupraglottisch slikken: adem inhouden + persen → glottissluiting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Oefentherapie</w:t>
      </w:r>
      <w:r>
        <w:t xml:space="preserve"> </w:t>
      </w:r>
      <w:r>
        <w:t xml:space="preserve">(opbouwen):</w:t>
      </w:r>
      <w:r>
        <w:t xml:space="preserve"> </w:t>
      </w:r>
      <w:r>
        <w:t xml:space="preserve">- Shaker-oefening: hoofdheffingoefening → versterkt suprahyoïde musculatuur → betere UES-opening</w:t>
      </w:r>
      <w:r>
        <w:t xml:space="preserve"> </w:t>
      </w:r>
      <w:r>
        <w:t xml:space="preserve">- Mendelsohn-manoeuvre: larynx vasthouden bij piek van elevatie → verlengde UES-opening</w:t>
      </w:r>
      <w:r>
        <w:t xml:space="preserve"> </w:t>
      </w:r>
      <w:r>
        <w:t xml:space="preserve">- Effortful swallow: krachtig slikken</w:t>
      </w:r>
      <w:r>
        <w:t xml:space="preserve"> </w:t>
      </w:r>
      <w:r>
        <w:t xml:space="preserve">- CTAR (chin tuck against resistance)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Voedselconsistentie aanpassing</w:t>
      </w:r>
      <w:r>
        <w:t xml:space="preserve"> </w:t>
      </w:r>
      <w:r>
        <w:t xml:space="preserve">(IDDSI-niveaus 0–7):</w:t>
      </w:r>
      <w:r>
        <w:t xml:space="preserve"> </w:t>
      </w:r>
      <w:r>
        <w:t xml:space="preserve">- Niveau 0: dun vloeibaar</w:t>
      </w:r>
      <w:r>
        <w:t xml:space="preserve"> </w:t>
      </w:r>
      <w:r>
        <w:t xml:space="preserve">- Niveau 1–2: enigszins verdikt</w:t>
      </w:r>
      <w:r>
        <w:t xml:space="preserve"> </w:t>
      </w:r>
      <w:r>
        <w:t xml:space="preserve">- Niveau 3–5: diverse vaste consistenties</w:t>
      </w:r>
      <w:r>
        <w:t xml:space="preserve"> </w:t>
      </w:r>
      <w:r>
        <w:t xml:space="preserve">- Doel: veilig slikken handhaven bij onvoldoende compensatie</w:t>
      </w:r>
    </w:p>
    <w:p>
      <w:pPr>
        <w:pStyle w:val="BodyText"/>
      </w:pPr>
      <w:r>
        <w:rPr>
          <w:bCs/>
          <w:b/>
        </w:rPr>
        <w:t xml:space="preserve">Medisch/chirurgisch: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Cricopharyngeale myotomie</w:t>
      </w:r>
      <w:r>
        <w:t xml:space="preserve">: doorsnijden m. cricopharyngeus; bij bewezen cricopharyngeale dysfunctie of Zenker’s divertikel (gecombineerd)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Botulinetoxine-injectie cricopharyngeus</w:t>
      </w:r>
      <w:r>
        <w:t xml:space="preserve">: alternatief voor myotomie; tijdelijk effect (3–6 maanden); herhaalbaar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Zenker’s divertikel</w:t>
      </w:r>
      <w:r>
        <w:t xml:space="preserve">: endoscopische cricopharyngeale myotomie (stapled diverticulotomie); externe benadering</w:t>
      </w:r>
    </w:p>
    <w:p>
      <w:pPr>
        <w:pStyle w:val="BodyText"/>
      </w:pPr>
      <w:r>
        <w:rPr>
          <w:bCs/>
          <w:b/>
        </w:rPr>
        <w:t xml:space="preserve">Voedingsondersteuning:</w:t>
      </w:r>
      <w:r>
        <w:t xml:space="preserve"> </w:t>
      </w:r>
      <w:r>
        <w:t xml:space="preserve">- NGT (nasogastrische sonde): kortdurend (&lt;4–6 weken)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PEG</w:t>
      </w:r>
      <w:r>
        <w:t xml:space="preserve"> </w:t>
      </w:r>
      <w:r>
        <w:t xml:space="preserve">(percutane endoscopische gastrostomie): bij langdurige ernstige aspiratie of onvoldoende inname</w:t>
      </w:r>
      <w:r>
        <w:t xml:space="preserve"> </w:t>
      </w:r>
      <w:r>
        <w:t xml:space="preserve">- Diëtist betrekken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0" w:name="stemklachten"/>
    <w:p>
      <w:pPr>
        <w:pStyle w:val="Heading2"/>
      </w:pPr>
      <w:r>
        <w:t xml:space="preserve">18. Stemklachten</w:t>
      </w:r>
    </w:p>
    <w:bookmarkStart w:id="126" w:name="module-1-definitie-epidemiologie-3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Dysfonie</w:t>
      </w:r>
      <w:r>
        <w:t xml:space="preserve">: elke verandering van de stem die de communicatie verstoort</w:t>
      </w:r>
    </w:p>
    <w:p>
      <w:pPr>
        <w:numPr>
          <w:ilvl w:val="0"/>
          <w:numId w:val="1033"/>
        </w:numPr>
        <w:pStyle w:val="Compact"/>
      </w:pPr>
      <w:r>
        <w:t xml:space="preserve">Prevalentie levenslang: ~30% van de bevolking ervaart significant stemklacht</w:t>
      </w:r>
    </w:p>
    <w:p>
      <w:pPr>
        <w:numPr>
          <w:ilvl w:val="0"/>
          <w:numId w:val="1033"/>
        </w:numPr>
        <w:pStyle w:val="Compact"/>
      </w:pPr>
      <w:r>
        <w:t xml:space="preserve">Risicoberoepen: leraren, zangers, acteurs, call-center medewerkers, predikanten</w:t>
      </w:r>
    </w:p>
    <w:bookmarkEnd w:id="126"/>
    <w:bookmarkStart w:id="127" w:name="module-2-anamnese-vragenlijsten"/>
    <w:p>
      <w:pPr>
        <w:pStyle w:val="Heading3"/>
      </w:pPr>
      <w:r>
        <w:t xml:space="preserve">Module 2 — Anamnese &amp; vragenlijsten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- Begin (plotseling vs geleidelijk), beloop (stabiel, progressief, fluctuerend)</w:t>
      </w:r>
      <w:r>
        <w:t xml:space="preserve"> </w:t>
      </w:r>
      <w:r>
        <w:t xml:space="preserve">- Beroep en stembelasting</w:t>
      </w:r>
      <w:r>
        <w:t xml:space="preserve"> </w:t>
      </w:r>
      <w:r>
        <w:t xml:space="preserve">- Roken (pack years), alcohol, GERD-klachten (heartburn, zure oprispingen, kuchten)</w:t>
      </w:r>
      <w:r>
        <w:t xml:space="preserve"> </w:t>
      </w:r>
      <w:r>
        <w:t xml:space="preserve">- Bovensteluchtweginfecties (post-infectieuze heesheid)</w:t>
      </w:r>
      <w:r>
        <w:t xml:space="preserve"> </w:t>
      </w:r>
      <w:r>
        <w:t xml:space="preserve">- Medicatie (ACE-remmers → chronische hoest; antihistaminica → droging mucosa)</w:t>
      </w:r>
      <w:r>
        <w:t xml:space="preserve"> </w:t>
      </w:r>
      <w:r>
        <w:t xml:space="preserve">- Eerdere intubatie, halsoperaties (n. recurrens-risico), strumectomie, hartoperatie</w:t>
      </w:r>
    </w:p>
    <w:p>
      <w:pPr>
        <w:pStyle w:val="BodyText"/>
      </w:pPr>
      <w:r>
        <w:rPr>
          <w:bCs/>
          <w:b/>
        </w:rPr>
        <w:t xml:space="preserve">Gevalideerde vragenlijsten: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</w:t>
      </w:r>
      <w:r>
        <w:t xml:space="preserve"> </w:t>
      </w:r>
      <w:r>
        <w:t xml:space="preserve">(Voice Handicap Index): 30 vragen, 3 subschalen (functioneel, fysiek, emotioneel); max 120; &gt;18 klinisch relevant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VHI-10</w:t>
      </w:r>
      <w:r>
        <w:t xml:space="preserve">: verkorte versie; valide; drempel &gt;11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VRQOL</w:t>
      </w:r>
      <w:r>
        <w:t xml:space="preserve">: voice-related QoL</w:t>
      </w:r>
    </w:p>
    <w:bookmarkEnd w:id="127"/>
    <w:bookmarkStart w:id="128" w:name="module-3-diagnostiek-5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Laryngoscopie: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Indirecte laryngoscopie</w:t>
      </w:r>
      <w:r>
        <w:t xml:space="preserve"> </w:t>
      </w:r>
      <w:r>
        <w:t xml:space="preserve">(larynxspiegel): oriënterend; beweging stembanden, grove pathologie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Flexibele naso-faryngo-laryngoscopie</w:t>
      </w:r>
      <w:r>
        <w:t xml:space="preserve">: ambulant; dynamisch; stem, slik, hoest beoordelen; secreties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Rigide laryngoscopie</w:t>
      </w:r>
      <w:r>
        <w:t xml:space="preserve"> </w:t>
      </w:r>
      <w:r>
        <w:t xml:space="preserve">(70° of 90° Hopkins rod): betere beeldkwaliteit; fonation-positie bij 70°</w:t>
      </w:r>
    </w:p>
    <w:p>
      <w:pPr>
        <w:pStyle w:val="BodyText"/>
      </w:pPr>
      <w:r>
        <w:rPr>
          <w:bCs/>
          <w:b/>
        </w:rPr>
        <w:t xml:space="preserve">Stroboscopie (goudstandaard stembandbeoordeling):</w:t>
      </w:r>
      <w:r>
        <w:t xml:space="preserve"> </w:t>
      </w:r>
      <w:r>
        <w:t xml:space="preserve">- Stroboscopisch licht synchroniseert met stembandfrequentie → schijnbaar vertraagde vibratiebeelden</w:t>
      </w:r>
      <w:r>
        <w:t xml:space="preserve"> </w:t>
      </w:r>
      <w:r>
        <w:t xml:space="preserve">- Beoordeeld: mucosal wave, symmetrie, sluitingspatroon (volledige sluiting, glottissluiting), supraglottische activiteit</w:t>
      </w:r>
      <w:r>
        <w:t xml:space="preserve"> </w:t>
      </w:r>
      <w:r>
        <w:t xml:space="preserve">- Indicatie: elke stemklacht langer dan 3–4 weken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Akoestische analyse</w:t>
      </w:r>
      <w:r>
        <w:t xml:space="preserve">: jitter (frequentie-variabiliteit), shimmer (amplitudevariabiliteit), harmonic-to-noise ratio (HNR) — objectieve maat stembandvibratieregulariteit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Aerodynamisch onderzoek</w:t>
      </w:r>
      <w:r>
        <w:t xml:space="preserve">: maximum phonation time (MPT), mean phonation pressure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hals/thorax</w:t>
      </w:r>
      <w:r>
        <w:t xml:space="preserve">: bij recurrensparese (traject n. recurrens!); mediastinale pathologie; apexfractuur bij linksparese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EMG larynx</w:t>
      </w:r>
      <w:r>
        <w:t xml:space="preserve">: bij parese; differentiatie neuropraxie vs axonotmesis; prognose re-innervatie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Larynxmicroscopie (MLS) diagnostisch</w:t>
      </w:r>
      <w:r>
        <w:t xml:space="preserve">: bij twijfels na bovenstaand; ook therapeutisch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stemklachten:</w:t>
      </w:r>
      <w:r>
        <w:t xml:space="preserve"> </w:t>
      </w:r>
      <w:r>
        <w:t xml:space="preserve">- Heesheid</w:t>
      </w:r>
      <w:r>
        <w:t xml:space="preserve"> </w:t>
      </w:r>
      <w:r>
        <w:rPr>
          <w:bCs/>
          <w:b/>
        </w:rPr>
        <w:t xml:space="preserve">&gt;3 weken</w:t>
      </w:r>
      <w:r>
        <w:t xml:space="preserve"> </w:t>
      </w:r>
      <w:r>
        <w:t xml:space="preserve">bij roker of ≥50 jaar → urgente laryngoscopie (larynxcarcinoom uitsluiten!)</w:t>
      </w:r>
      <w:r>
        <w:t xml:space="preserve"> </w:t>
      </w:r>
      <w:r>
        <w:t xml:space="preserve">- Stridor → acute luchtwegobstructie: spoedopvang</w:t>
      </w:r>
      <w:r>
        <w:t xml:space="preserve"> </w:t>
      </w:r>
      <w:r>
        <w:t xml:space="preserve">- Progressieve dysfagie + dysphonie → maligniteit</w:t>
      </w:r>
      <w:r>
        <w:t xml:space="preserve"> </w:t>
      </w:r>
      <w:r>
        <w:t xml:space="preserve">- Hemoptysis</w:t>
      </w:r>
      <w:r>
        <w:t xml:space="preserve"> </w:t>
      </w:r>
      <w:r>
        <w:t xml:space="preserve">- Pijnlijke heesheid + dysfagie + lymfadenopathie</w:t>
      </w:r>
      <w:r>
        <w:t xml:space="preserve"> </w:t>
      </w:r>
      <w:r>
        <w:t xml:space="preserve">- Plotse stemverandering na halsoperatie → recurrensparese</w:t>
      </w:r>
    </w:p>
    <w:bookmarkEnd w:id="128"/>
    <w:bookmarkStart w:id="129" w:name="module-4-oorzaken-specifieke-behandeling"/>
    <w:p>
      <w:pPr>
        <w:pStyle w:val="Heading3"/>
      </w:pPr>
      <w:r>
        <w:t xml:space="preserve">Module 4 — Oorzaken &amp; specifieke behandeling</w:t>
      </w:r>
    </w:p>
    <w:p>
      <w:pPr>
        <w:pStyle w:val="FirstParagraph"/>
      </w:pPr>
      <w:r>
        <w:rPr>
          <w:bCs/>
          <w:b/>
        </w:rPr>
        <w:t xml:space="preserve">Functionele stemklachten: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475"/>
        <w:gridCol w:w="2145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Klinisch beeld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 therapie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Hyperfunctioneel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Gespannen stem; hoge spieractiviteit; parafunctioneel gedrag (aanschrapen)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Stemhygiëne + stemtherapie logopedist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Hypofunctioneel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Zachte, haperende stem; insufficient adduction; presbylaryngis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Stemoefeningen (push-pull); steminjectie bij ernstige glottissluiting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Mutatiefonie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falsetstem bij jongeman na puberteitsklachten; functioneel-psychogeen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Logopedie: verlaging fundamentaalfrequentie; vaak snel herstel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2–6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Spasmodische dysfonie</w:t>
            </w:r>
            <w:r>
              <w:t xml:space="preserve"> </w:t>
            </w:r>
            <w:r>
              <w:t xml:space="preserve">(focale laryngeale dystonie)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Adductor (meest frequent): gebroken stem, persstem; abductor: stem valt weg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Botulinetoxine</w:t>
            </w:r>
            <w:r>
              <w:t xml:space="preserve"> </w:t>
            </w:r>
            <w:r>
              <w:t xml:space="preserve">(n. thyroarytenoideus); herhaling 3–6 maanden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Levenslang herhalen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Psychogene afonie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Gefluisterde stem; normale flexibele laryngoscopie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Logopedie; psychologische begeleiding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</w:tr>
    </w:tbl>
    <w:p>
      <w:pPr>
        <w:pStyle w:val="BodyText"/>
      </w:pPr>
      <w:r>
        <w:rPr>
          <w:bCs/>
          <w:b/>
        </w:rPr>
        <w:t xml:space="preserve">Organische stemklachten: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036"/>
        <w:gridCol w:w="2941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Laesie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Stembandnoduli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Bilateraal, middenderde, door vocaal misbruik;</w:t>
            </w:r>
            <w:r>
              <w:t xml:space="preserve"> </w:t>
            </w:r>
            <w:r>
              <w:t xml:space="preserve">“</w:t>
            </w:r>
            <w:r>
              <w:t xml:space="preserve">teacher’s nodes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 eerst (3 maanden); MLS als noduli persisteren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 3 mnd; MLS 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Stembandpoliep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Unilateraal; gesteeld of sessiel; plotse heesheid; benigne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MLS (cold steel microscopische verwijdering)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Reinke’s oedeem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Diffuus oedeem subglottische ruimte; rokers, hypothyreoïdie, GERD; lage brom-stem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Stoppen roken ESSENTIEEL; MLS bij hinderlijke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Rookstop levenslang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Stembandcyste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Unilateraal; retentie of epidermoid; subepitheliale 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MLS: marsupilisatie of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Eenmalig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Larynxcarcinoom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Persistente heesheid roker; zie hoofd-halstumoren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 of TLM (vroeg); laryngectomie (gevorderd)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hoofd-hals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Recurrensparese</w:t>
            </w:r>
            <w:r>
              <w:t xml:space="preserve"> </w:t>
            </w:r>
            <w:r>
              <w:t xml:space="preserve">(unilateraal)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Heesheid + aspiratierisico; paralytische glottisspleet; stemband in intermediair-paramediane positie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Logopedie;</w:t>
            </w:r>
            <w:r>
              <w:t xml:space="preserve"> </w:t>
            </w:r>
            <w:r>
              <w:rPr>
                <w:bCs/>
                <w:b/>
              </w:rPr>
              <w:t xml:space="preserve">steminjectie</w:t>
            </w:r>
            <w:r>
              <w:t xml:space="preserve"> </w:t>
            </w:r>
            <w:r>
              <w:t xml:space="preserve">(tijdelijk: Radiesse, collageen; permanent: vet); tyroplastiek type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Injectie: 3–12 mnd; tyroplastiek: definitief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Bilaterale recurrensparese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Stridor, normale stem; stembanden mediaan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Tracheotomie (acuut bij stridor); re-innervatie; arytenoïdectomie lateralisatie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Tracheotomie definitief of overbruggend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GERD/LPR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Posterior laryngitis (interarytenoïd oedeem); globusgevoel; chronisch kuchten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PPI</w:t>
            </w:r>
            <w:r>
              <w:t xml:space="preserve"> </w:t>
            </w:r>
            <w:r>
              <w:t xml:space="preserve">2dd gedurende</w:t>
            </w:r>
            <w:r>
              <w:t xml:space="preserve"> </w:t>
            </w:r>
            <w:r>
              <w:rPr>
                <w:bCs/>
                <w:b/>
              </w:rPr>
              <w:t xml:space="preserve">3 maanden</w:t>
            </w:r>
            <w:r>
              <w:t xml:space="preserve">; leefstijl (nuchter slapen, gewichtsreductie)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mnd PPI, dan evaluatie</w:t>
            </w:r>
          </w:p>
        </w:tc>
      </w:tr>
    </w:tbl>
    <w:p>
      <w:pPr>
        <w:pStyle w:val="BodyText"/>
      </w:pPr>
      <w:r>
        <w:rPr>
          <w:bCs/>
          <w:b/>
        </w:rPr>
        <w:t xml:space="preserve">Microlaryngoscopie (MLS) technieken:</w:t>
      </w:r>
      <w:r>
        <w:t xml:space="preserve"> </w:t>
      </w:r>
      <w:r>
        <w:t xml:space="preserve">- Directe laryngoscopie in narcose; operatiemicroscoop</w:t>
      </w:r>
      <w:r>
        <w:t xml:space="preserve"> </w:t>
      </w:r>
      <w:r>
        <w:t xml:space="preserve">- Cold steel (microschaar, paktang): goudstandaard voor preservatie mucosal wave</w:t>
      </w:r>
      <w:r>
        <w:t xml:space="preserve"> </w:t>
      </w:r>
      <w:r>
        <w:t xml:space="preserve">- CO2-laser: coagulatie en incisie; minder precisie voor fijne laesies</w:t>
      </w:r>
      <w:r>
        <w:t xml:space="preserve"> </w:t>
      </w:r>
      <w:r>
        <w:t xml:space="preserve">- KTP-laser (pulsed dye): vasculaire laesies; uitstekend voor poliepen, papillomen</w:t>
      </w:r>
      <w:r>
        <w:t xml:space="preserve"> </w:t>
      </w:r>
      <w:r>
        <w:t xml:space="preserve">- Post-MLS: stemrust 5–7 dagen; logopedie daarna</w:t>
      </w:r>
    </w:p>
    <w:p>
      <w:pPr>
        <w:pStyle w:val="BodyText"/>
      </w:pPr>
      <w:r>
        <w:rPr>
          <w:bCs/>
          <w:b/>
        </w:rPr>
        <w:t xml:space="preserve">Steminjectie larynx:</w:t>
      </w:r>
      <w:r>
        <w:t xml:space="preserve"> </w:t>
      </w:r>
      <w:r>
        <w:t xml:space="preserve">- Materialen: Radiesse Voice (calcium hydroxyapatiet, 12–18 mnd effect), autoloog vet, hyaluronzuur (kort), Cymetra (acellulaire dermis)</w:t>
      </w:r>
      <w:r>
        <w:t xml:space="preserve"> </w:t>
      </w:r>
      <w:r>
        <w:t xml:space="preserve">- Techniek: transorale, transnasale of transcutane (cricothyroïde membraan) injectie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Tyroplastiek type I</w:t>
      </w:r>
      <w:r>
        <w:t xml:space="preserve"> </w:t>
      </w:r>
      <w:r>
        <w:t xml:space="preserve">(medialisatiethyroplastiek): Silastic implantaat door thyreoidvenster; definitief; externe benadering; lokale anesthesie (stem beoordelen per-operatief)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bookmarkStart w:id="156" w:name="vestibulologie-duizeligheid"/>
    <w:p>
      <w:pPr>
        <w:pStyle w:val="Heading1"/>
      </w:pPr>
      <w:r>
        <w:t xml:space="preserve">VESTIBULOLOGIE / DUIZELIGHEID</w:t>
      </w:r>
    </w:p>
    <w:p>
      <w:r>
        <w:pict>
          <v:rect style="width:0;height:1.5pt" o:hralign="center" o:hrstd="t" o:hr="t"/>
        </w:pict>
      </w:r>
    </w:p>
    <w:bookmarkStart w:id="137" w:name="X2e87374f8d0ccd815ee59ed81089f74120500f0"/>
    <w:p>
      <w:pPr>
        <w:pStyle w:val="Heading2"/>
      </w:pPr>
      <w:r>
        <w:t xml:space="preserve">19. Benigne paroxysmale positieduizeligheid (BPPD)</w:t>
      </w:r>
    </w:p>
    <w:bookmarkStart w:id="132" w:name="module-1-definitie-epidemiologie-4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34"/>
        </w:numPr>
        <w:pStyle w:val="Compact"/>
      </w:pPr>
      <w:r>
        <w:t xml:space="preserve">Meest voorkomende oorzaak perifere duizeligheid: ~20–30% van alle duizeligheidsklachten</w:t>
      </w:r>
    </w:p>
    <w:p>
      <w:pPr>
        <w:numPr>
          <w:ilvl w:val="0"/>
          <w:numId w:val="1034"/>
        </w:numPr>
        <w:pStyle w:val="Compact"/>
      </w:pPr>
      <w:r>
        <w:t xml:space="preserve">Vrouwen:mannen = 2:1; piek 50–70 jaar</w:t>
      </w:r>
    </w:p>
    <w:p>
      <w:pPr>
        <w:numPr>
          <w:ilvl w:val="0"/>
          <w:numId w:val="1034"/>
        </w:numPr>
        <w:pStyle w:val="Compact"/>
      </w:pPr>
      <w:r>
        <w:t xml:space="preserve">Pathofysiologie: losgeraakte otolieten (calciumcarbonaat kristallen van utriculus) → semicirculaire kanalen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Canalolithiasis</w:t>
      </w:r>
      <w:r>
        <w:t xml:space="preserve">: vrij zwevende debris in het kanaal → ampullofugale stroom → cupula deflectie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Cupulolithiasis</w:t>
      </w:r>
      <w:r>
        <w:t xml:space="preserve">: debris gehecht aan cupula → permanente deflectie</w:t>
      </w:r>
    </w:p>
    <w:bookmarkEnd w:id="132"/>
    <w:bookmarkStart w:id="133" w:name="module-2-klinische-presentatie"/>
    <w:p>
      <w:pPr>
        <w:pStyle w:val="Heading3"/>
      </w:pPr>
      <w:r>
        <w:t xml:space="preserve">Module 2 — Klinische presentatie</w:t>
      </w:r>
    </w:p>
    <w:p>
      <w:pPr>
        <w:numPr>
          <w:ilvl w:val="0"/>
          <w:numId w:val="1036"/>
        </w:numPr>
        <w:pStyle w:val="Compact"/>
      </w:pPr>
      <w:r>
        <w:t xml:space="preserve">Kortdurende, intense positieduizeligheid (seconden tot &lt;1 minuut bij posterieur kanaal)</w:t>
      </w:r>
    </w:p>
    <w:p>
      <w:pPr>
        <w:numPr>
          <w:ilvl w:val="0"/>
          <w:numId w:val="1036"/>
        </w:numPr>
        <w:pStyle w:val="Compact"/>
      </w:pPr>
      <w:r>
        <w:t xml:space="preserve">Uitgelokt door: omdraaien in bed, hoofd achterover (nek strekken), hoofd bukken</w:t>
      </w:r>
    </w:p>
    <w:p>
      <w:pPr>
        <w:numPr>
          <w:ilvl w:val="0"/>
          <w:numId w:val="1036"/>
        </w:numPr>
        <w:pStyle w:val="Compact"/>
      </w:pPr>
      <w:r>
        <w:t xml:space="preserve">Nausea frequent; braken mogelijk</w:t>
      </w:r>
    </w:p>
    <w:p>
      <w:pPr>
        <w:numPr>
          <w:ilvl w:val="0"/>
          <w:numId w:val="1036"/>
        </w:numPr>
        <w:pStyle w:val="Compact"/>
      </w:pPr>
      <w:r>
        <w:t xml:space="preserve">Geen gehoorverlies, tinnitus of neurologische uitval (let op! → DD vestibulair neuritis, CVA)</w:t>
      </w:r>
    </w:p>
    <w:bookmarkEnd w:id="133"/>
    <w:bookmarkStart w:id="134" w:name="module-3-diagnostiek-per-kanaaltype"/>
    <w:p>
      <w:pPr>
        <w:pStyle w:val="Heading3"/>
      </w:pPr>
      <w:r>
        <w:t xml:space="preserve">Module 3 — Diagnostiek per kanaaltype</w:t>
      </w:r>
    </w:p>
    <w:p>
      <w:pPr>
        <w:pStyle w:val="FirstParagraph"/>
      </w:pPr>
      <w:r>
        <w:rPr>
          <w:bCs/>
          <w:b/>
        </w:rPr>
        <w:t xml:space="preserve">Posterieur kanaal BPPD (~90%) — Dix-Hallpike test:</w:t>
      </w:r>
      <w:r>
        <w:t xml:space="preserve"> </w:t>
      </w:r>
      <w:r>
        <w:t xml:space="preserve">- Patiënt zittend op behandeltafel; hoofd 45° gedraaid naar verdachte kant</w:t>
      </w:r>
      <w:r>
        <w:t xml:space="preserve"> </w:t>
      </w:r>
      <w:r>
        <w:t xml:space="preserve">- Snel achteroverliggen; hoofd over randje tafel (hyperextensie)</w:t>
      </w:r>
      <w:r>
        <w:t xml:space="preserve"> </w:t>
      </w:r>
      <w:r>
        <w:t xml:space="preserve">- Beoordelen: nystagmus type, latentietijd, duur, uitdoving bij herhaling, reversie bij opkomen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Positief</w:t>
      </w:r>
      <w:r>
        <w:t xml:space="preserve">: upbeat torsionele nystagmus (bovenpool oog draait richting aangedane oor); latentie 2–10 sec; duur &lt;60 sec; uitdoving bij herhaling; reversie bij rechtopkomen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Aangedane kant</w:t>
      </w:r>
      <w:r>
        <w:t xml:space="preserve">: zijde waarbij nystagmus optreedt</w:t>
      </w:r>
    </w:p>
    <w:p>
      <w:pPr>
        <w:pStyle w:val="BodyText"/>
      </w:pPr>
      <w:r>
        <w:rPr>
          <w:bCs/>
          <w:b/>
        </w:rPr>
        <w:t xml:space="preserve">Horizontaal kanaal BPPD (~8–10%) — Supine Roll Test:</w:t>
      </w:r>
      <w:r>
        <w:t xml:space="preserve"> </w:t>
      </w:r>
      <w:r>
        <w:t xml:space="preserve">- Patiënt plat op rug; hoofd snel 90° naar links → observeer → terug middenstand → snel 90° naar rechts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Canalolithiasis (geotropisch)</w:t>
      </w:r>
      <w:r>
        <w:t xml:space="preserve">: horizontale nystagmus richting</w:t>
      </w:r>
      <w:r>
        <w:t xml:space="preserve"> </w:t>
      </w:r>
      <w:r>
        <w:rPr>
          <w:iCs/>
          <w:i/>
        </w:rPr>
        <w:t xml:space="preserve">onderliggend</w:t>
      </w:r>
      <w:r>
        <w:t xml:space="preserve"> </w:t>
      </w:r>
      <w:r>
        <w:t xml:space="preserve">oor; sterker aan aangedane kant; latentie &lt;5 sec; duur 10–60 sec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Cupulolithiasis (apogeotropisch)</w:t>
      </w:r>
      <w:r>
        <w:t xml:space="preserve">: horizontale nystagmus richting</w:t>
      </w:r>
      <w:r>
        <w:t xml:space="preserve"> </w:t>
      </w:r>
      <w:r>
        <w:rPr>
          <w:iCs/>
          <w:i/>
        </w:rPr>
        <w:t xml:space="preserve">bovenliggend</w:t>
      </w:r>
      <w:r>
        <w:t xml:space="preserve"> </w:t>
      </w:r>
      <w:r>
        <w:t xml:space="preserve">oor (weg van onderste oor); persisteert langer; aangedane kant heeft zwakkere nystagmus</w:t>
      </w:r>
    </w:p>
    <w:p>
      <w:pPr>
        <w:pStyle w:val="BodyText"/>
      </w:pPr>
      <w:r>
        <w:rPr>
          <w:bCs/>
          <w:b/>
        </w:rPr>
        <w:t xml:space="preserve">Aangedane kant bepalen horizontaal:</w:t>
      </w:r>
      <w:r>
        <w:t xml:space="preserve"> </w:t>
      </w:r>
      <w:r>
        <w:t xml:space="preserve">- Canalolithiasis geotropisch: sterkste nystagmus = aangedane zijde (debris stroomt ampullopetaal)</w:t>
      </w:r>
      <w:r>
        <w:t xml:space="preserve"> </w:t>
      </w:r>
      <w:r>
        <w:t xml:space="preserve">- Cupulolithiasis apogeotropisch: zwakste/min nystagmus = aangedane zijde (debris kleeft aan aangedane cupula)</w:t>
      </w:r>
    </w:p>
    <w:p>
      <w:pPr>
        <w:pStyle w:val="BodyText"/>
      </w:pPr>
      <w:r>
        <w:rPr>
          <w:bCs/>
          <w:b/>
        </w:rPr>
        <w:t xml:space="preserve">Aanvullend onderzoek:</w:t>
      </w:r>
      <w:r>
        <w:t xml:space="preserve"> </w:t>
      </w:r>
      <w:r>
        <w:t xml:space="preserve">- Video-HIT: normaal bij BPPD (kanalen intact); afwijkend bij vestibulaire neuritis → DD!</w:t>
      </w:r>
      <w:r>
        <w:t xml:space="preserve"> </w:t>
      </w:r>
      <w:r>
        <w:t xml:space="preserve">- Audiogram: normaal bij BPPD</w:t>
      </w:r>
      <w:r>
        <w:t xml:space="preserve"> </w:t>
      </w:r>
      <w:r>
        <w:t xml:space="preserve">- MRI: indien atypische nystagmus, geen uitdoving, verticale nystagmus omlaag (downbeat), centrale DD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Rode vlaggen BPPD → centraal oorzaak overwegen:</w:t>
      </w:r>
      <w:r>
        <w:t xml:space="preserve"> </w:t>
      </w:r>
      <w:r>
        <w:t xml:space="preserve">- Nystagmus zonder latentie, geen uitdoving, directioneel veranderend</w:t>
      </w:r>
      <w:r>
        <w:t xml:space="preserve"> </w:t>
      </w:r>
      <w:r>
        <w:t xml:space="preserve">- Puur verticale nystagmus (upbeat of downbeat) buiten positietesting</w:t>
      </w:r>
      <w:r>
        <w:t xml:space="preserve"> </w:t>
      </w:r>
      <w:r>
        <w:t xml:space="preserve">- Neurologische uitval (diplopie, dysarthrie, ataxie, hoofdpijn)</w:t>
      </w:r>
      <w:r>
        <w:t xml:space="preserve"> </w:t>
      </w:r>
      <w:r>
        <w:t xml:space="preserve">- Geen reactie op repositiemanoeuvres</w:t>
      </w:r>
    </w:p>
    <w:bookmarkEnd w:id="134"/>
    <w:bookmarkStart w:id="135" w:name="module-4-behandelmanoeuvres"/>
    <w:p>
      <w:pPr>
        <w:pStyle w:val="Heading3"/>
      </w:pPr>
      <w:r>
        <w:t xml:space="preserve">Module 4 — Behandelmanoeuvres</w:t>
      </w:r>
    </w:p>
    <w:p>
      <w:pPr>
        <w:pStyle w:val="FirstParagraph"/>
      </w:pPr>
      <w:r>
        <w:rPr>
          <w:bCs/>
          <w:b/>
        </w:rPr>
        <w:t xml:space="preserve">Posterieur kanaal — Epley-manoeuvre (canalolithiasis):</w:t>
      </w:r>
      <w:r>
        <w:t xml:space="preserve"> </w:t>
      </w:r>
      <w:r>
        <w:t xml:space="preserve">1. Dix-Hallpike positie aangedane zijde (orolieten vallen richting gemeenschappelijke crus)</w:t>
      </w:r>
      <w:r>
        <w:t xml:space="preserve"> </w:t>
      </w:r>
      <w:r>
        <w:t xml:space="preserve">2. Hoofd 90° draaien naar contralateraal (orolieten migreren in posterieur kanaal)</w:t>
      </w:r>
      <w:r>
        <w:t xml:space="preserve"> </w:t>
      </w:r>
      <w:r>
        <w:t xml:space="preserve">3. Patiënt op zij draaien (hoofd 90° verder naar beneden kijkend)</w:t>
      </w:r>
      <w:r>
        <w:t xml:space="preserve"> </w:t>
      </w:r>
      <w:r>
        <w:t xml:space="preserve">4. Patiënt rechtop brengen</w:t>
      </w:r>
      <w:r>
        <w:t xml:space="preserve"> </w:t>
      </w:r>
      <w:r>
        <w:t xml:space="preserve">- Duur per positie: 30–60 seconden (tot nystagmus gestopt is)</w:t>
      </w:r>
      <w:r>
        <w:t xml:space="preserve"> </w:t>
      </w:r>
      <w:r>
        <w:t xml:space="preserve">- Effectiviteit: ~90% na 1–3 sessies</w:t>
      </w:r>
      <w:r>
        <w:t xml:space="preserve"> </w:t>
      </w:r>
      <w:r>
        <w:t xml:space="preserve">- Post-manoeuvre instructies (beperkt bewijs): geen hoofdrechten-beperking noodzakelijk in moderne protocollen</w:t>
      </w:r>
    </w:p>
    <w:p>
      <w:pPr>
        <w:pStyle w:val="BodyText"/>
      </w:pPr>
      <w:r>
        <w:rPr>
          <w:bCs/>
          <w:b/>
        </w:rPr>
        <w:t xml:space="preserve">Posterieur kanaal — Semont-manoeuvre:</w:t>
      </w:r>
      <w:r>
        <w:t xml:space="preserve"> </w:t>
      </w:r>
      <w:r>
        <w:t xml:space="preserve">- Alternatief voor Epley; snelle zijligging-wisseling</w:t>
      </w:r>
      <w:r>
        <w:t xml:space="preserve"> </w:t>
      </w:r>
      <w:r>
        <w:t xml:space="preserve">- Vergelijkbare effectiviteit</w:t>
      </w:r>
    </w:p>
    <w:p>
      <w:pPr>
        <w:pStyle w:val="BodyText"/>
      </w:pPr>
      <w:r>
        <w:rPr>
          <w:bCs/>
          <w:b/>
        </w:rPr>
        <w:t xml:space="preserve">Horizontaal kanaal canalolithiasis — BBQ roll (Lempert 360°):</w:t>
      </w:r>
      <w:r>
        <w:t xml:space="preserve"> </w:t>
      </w:r>
      <w:r>
        <w:t xml:space="preserve">1. Rugligging; hoofd naar aangedane zijde (beginstap)</w:t>
      </w:r>
      <w:r>
        <w:t xml:space="preserve"> </w:t>
      </w:r>
      <w:r>
        <w:t xml:space="preserve">2. 90° naar supine (recht omhoog kijkend)</w:t>
      </w:r>
      <w:r>
        <w:t xml:space="preserve"> </w:t>
      </w:r>
      <w:r>
        <w:t xml:space="preserve">3. 90° naar contralateraal</w:t>
      </w:r>
      <w:r>
        <w:t xml:space="preserve"> </w:t>
      </w:r>
      <w:r>
        <w:t xml:space="preserve">4. 90° naar buikligging</w:t>
      </w:r>
      <w:r>
        <w:t xml:space="preserve"> </w:t>
      </w:r>
      <w:r>
        <w:t xml:space="preserve">5. 90° rechtop (zittend)</w:t>
      </w:r>
      <w:r>
        <w:t xml:space="preserve"> </w:t>
      </w:r>
      <w:r>
        <w:t xml:space="preserve">- Per stap 30–60 seconden wachten</w:t>
      </w:r>
      <w:r>
        <w:t xml:space="preserve"> </w:t>
      </w:r>
      <w:r>
        <w:t xml:space="preserve">- Alternatief:</w:t>
      </w:r>
      <w:r>
        <w:t xml:space="preserve"> </w:t>
      </w:r>
      <w:r>
        <w:rPr>
          <w:bCs/>
          <w:b/>
        </w:rPr>
        <w:t xml:space="preserve">forced prolonged positioning</w:t>
      </w:r>
      <w:r>
        <w:t xml:space="preserve">: 12 uur zijligging op gezonde zijde (debris migratie)</w:t>
      </w:r>
    </w:p>
    <w:p>
      <w:pPr>
        <w:pStyle w:val="BodyText"/>
      </w:pPr>
      <w:r>
        <w:rPr>
          <w:bCs/>
          <w:b/>
        </w:rPr>
        <w:t xml:space="preserve">Horizontaal kanaal cupulolithiasis — Gufoni-manoeuvre:</w:t>
      </w:r>
      <w:r>
        <w:t xml:space="preserve"> </w:t>
      </w:r>
      <w:r>
        <w:t xml:space="preserve">1. Zittend; snel naar aangedane zijde liggen</w:t>
      </w:r>
      <w:r>
        <w:t xml:space="preserve"> </w:t>
      </w:r>
      <w:r>
        <w:t xml:space="preserve">2. Hoofd 45° naar voren draaien (nose-down)</w:t>
      </w:r>
      <w:r>
        <w:t xml:space="preserve"> </w:t>
      </w:r>
      <w:r>
        <w:t xml:space="preserve">3. Langzaam rechtop komen</w:t>
      </w:r>
      <w:r>
        <w:t xml:space="preserve"> </w:t>
      </w:r>
      <w:r>
        <w:t xml:space="preserve">- Doel: omzetten cupulolithiasis → canalolithiasis → vervolgens BBQ roll</w:t>
      </w:r>
    </w:p>
    <w:bookmarkEnd w:id="135"/>
    <w:bookmarkStart w:id="136" w:name="module-5-follow-up-prognose"/>
    <w:p>
      <w:pPr>
        <w:pStyle w:val="Heading3"/>
      </w:pPr>
      <w:r>
        <w:t xml:space="preserve">Module 5 — Follow-up &amp; prognose</w:t>
      </w:r>
    </w:p>
    <w:p>
      <w:pPr>
        <w:numPr>
          <w:ilvl w:val="0"/>
          <w:numId w:val="1037"/>
        </w:numPr>
        <w:pStyle w:val="Compact"/>
      </w:pPr>
      <w:r>
        <w:t xml:space="preserve">Controle na 1 week: Dix-Hallpike herhalen</w:t>
      </w:r>
    </w:p>
    <w:p>
      <w:pPr>
        <w:numPr>
          <w:ilvl w:val="0"/>
          <w:numId w:val="1037"/>
        </w:numPr>
        <w:pStyle w:val="Compact"/>
      </w:pPr>
      <w:r>
        <w:t xml:space="preserve">Genezing na 1–2 sessies: &gt;80%</w:t>
      </w:r>
    </w:p>
    <w:p>
      <w:pPr>
        <w:numPr>
          <w:ilvl w:val="0"/>
          <w:numId w:val="1037"/>
        </w:numPr>
        <w:pStyle w:val="Compact"/>
      </w:pPr>
      <w:r>
        <w:t xml:space="preserve">Recidief: 15–30% per jaar; risicofactoren: osteoporose (vitamine D-suppletie kan recidief reduceren!), migraine, hoofdtrauma, Menière</w:t>
      </w:r>
    </w:p>
    <w:p>
      <w:pPr>
        <w:numPr>
          <w:ilvl w:val="0"/>
          <w:numId w:val="1037"/>
        </w:numPr>
        <w:pStyle w:val="Compact"/>
      </w:pPr>
      <w:r>
        <w:t xml:space="preserve">Vitamine D: supplementeer bij deficiëntie (25-OH-D3 &lt;50 nmol/L); reduceert recidief BPPD</w:t>
      </w:r>
    </w:p>
    <w:p>
      <w:pPr>
        <w:numPr>
          <w:ilvl w:val="0"/>
          <w:numId w:val="1037"/>
        </w:numPr>
        <w:pStyle w:val="Compact"/>
      </w:pPr>
      <w:r>
        <w:t xml:space="preserve">Vestibulaire revalidatie: bij residuele klachten of valangst</w:t>
      </w:r>
    </w:p>
    <w:p>
      <w:pPr>
        <w:numPr>
          <w:ilvl w:val="0"/>
          <w:numId w:val="1037"/>
        </w:numPr>
        <w:pStyle w:val="Compact"/>
      </w:pPr>
      <w:r>
        <w:t xml:space="preserve">Chirurgie (posterieur kanaal occlusie): uiterst zeldzaam; bij volledig therapieresistente BPPD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3" w:name="X494b2a988686e407a90ab6a9a46d38d9006af27"/>
    <w:p>
      <w:pPr>
        <w:pStyle w:val="Heading2"/>
      </w:pPr>
      <w:r>
        <w:t xml:space="preserve">20. Diagnostiek en behandeling van de ziekte van Menière</w:t>
      </w:r>
    </w:p>
    <w:bookmarkStart w:id="138" w:name="module-1-definitie-criteria-aao-hns-2015"/>
    <w:p>
      <w:pPr>
        <w:pStyle w:val="Heading3"/>
      </w:pPr>
      <w:r>
        <w:t xml:space="preserve">Module 1 — Definitie &amp; criteria (AAO-HNS 2015)</w:t>
      </w:r>
    </w:p>
    <w:p>
      <w:pPr>
        <w:pStyle w:val="FirstParagraph"/>
      </w:pPr>
      <w:r>
        <w:rPr>
          <w:bCs/>
          <w:b/>
        </w:rPr>
        <w:t xml:space="preserve">Definitief Menière:</w:t>
      </w:r>
      <w:r>
        <w:t xml:space="preserve"> </w:t>
      </w:r>
      <w:r>
        <w:t xml:space="preserve">1. ≥2 spontane vestibulaire episoden met draaiduizeligheid van 20 minuten tot 12 uur</w:t>
      </w:r>
      <w:r>
        <w:t xml:space="preserve"> </w:t>
      </w:r>
      <w:r>
        <w:t xml:space="preserve">2. Audiologisch bewezen laagfrequent t/m pantonaal SNHL op aangedane oor (minimaal 1 meting voor, tijdens of na episode)</w:t>
      </w:r>
      <w:r>
        <w:t xml:space="preserve"> </w:t>
      </w:r>
      <w:r>
        <w:t xml:space="preserve">3. Fluctuerende auditieve symptomen op aangedane oor: gehoorverlies, tinnitus, volheidsgevoel (</w:t>
      </w:r>
      <w:r>
        <w:t xml:space="preserve">“</w:t>
      </w:r>
      <w:r>
        <w:t xml:space="preserve">aural fullness</w:t>
      </w:r>
      <w:r>
        <w:t xml:space="preserve">”</w:t>
      </w:r>
      <w:r>
        <w:t xml:space="preserve">)</w:t>
      </w:r>
      <w:r>
        <w:t xml:space="preserve"> </w:t>
      </w:r>
      <w:r>
        <w:t xml:space="preserve">4. Niet beter verklaard door een andere diagnose</w:t>
      </w:r>
    </w:p>
    <w:p>
      <w:pPr>
        <w:pStyle w:val="BodyText"/>
      </w:pPr>
      <w:r>
        <w:rPr>
          <w:bCs/>
          <w:b/>
        </w:rPr>
        <w:t xml:space="preserve">Waarschijnlijk Menière:</w:t>
      </w:r>
      <w:r>
        <w:t xml:space="preserve"> </w:t>
      </w:r>
      <w:r>
        <w:t xml:space="preserve">voldoet aan 1, 3, 4 maar zonder audiologisch bewijs.</w:t>
      </w:r>
    </w:p>
    <w:p>
      <w:pPr>
        <w:pStyle w:val="BodyText"/>
      </w:pPr>
      <w:r>
        <w:rPr>
          <w:bCs/>
          <w:b/>
        </w:rPr>
        <w:t xml:space="preserve">Audiologisch criterium</w:t>
      </w:r>
      <w:r>
        <w:t xml:space="preserve">: ≥30 dB drempelshift op ≥2 aaneengesloten laagfrequente tonen (250, 500, 1000 Hz) t.o.v. contralateraal oor of bij vergelijkende meting.</w:t>
      </w:r>
    </w:p>
    <w:bookmarkEnd w:id="138"/>
    <w:bookmarkStart w:id="139" w:name="module-2-epidemiologie-pathofysiologie"/>
    <w:p>
      <w:pPr>
        <w:pStyle w:val="Heading3"/>
      </w:pPr>
      <w:r>
        <w:t xml:space="preserve">Module 2 — Epidemiologie &amp; pathofysiologie</w:t>
      </w:r>
    </w:p>
    <w:p>
      <w:pPr>
        <w:numPr>
          <w:ilvl w:val="0"/>
          <w:numId w:val="1038"/>
        </w:numPr>
        <w:pStyle w:val="Compact"/>
      </w:pPr>
      <w:r>
        <w:t xml:space="preserve">Prevalentie: ~50–200/100.000; vrouwen iets vaker; piek 40–60 jaar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Endolymfatische hydrops</w:t>
      </w:r>
      <w:r>
        <w:t xml:space="preserve">: dilatatie van endolymfatische ruimte → verondersteld mechanisme</w:t>
      </w:r>
    </w:p>
    <w:p>
      <w:pPr>
        <w:numPr>
          <w:ilvl w:val="0"/>
          <w:numId w:val="1038"/>
        </w:numPr>
        <w:pStyle w:val="Compact"/>
      </w:pPr>
      <w:r>
        <w:t xml:space="preserve">Triggers: stress, zout, cafeïne, vloeistofbalans-fluctuaties</w:t>
      </w:r>
    </w:p>
    <w:p>
      <w:pPr>
        <w:numPr>
          <w:ilvl w:val="0"/>
          <w:numId w:val="1038"/>
        </w:numPr>
        <w:pStyle w:val="Compact"/>
      </w:pPr>
      <w:r>
        <w:t xml:space="preserve">Bilaterale betrokkenheid: ~30% na 10–15 jaar</w:t>
      </w:r>
    </w:p>
    <w:bookmarkEnd w:id="139"/>
    <w:bookmarkStart w:id="140" w:name="module-3-diagnostiek-6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Audiogram:</w:t>
      </w:r>
      <w:r>
        <w:t xml:space="preserve"> </w:t>
      </w:r>
      <w:r>
        <w:t xml:space="preserve">- Laagfrequent SNHL (250–1000 Hz) met fluctuaties</w:t>
      </w:r>
      <w:r>
        <w:t xml:space="preserve"> </w:t>
      </w:r>
      <w:r>
        <w:t xml:space="preserve">- Later pantonaal verlies</w:t>
      </w:r>
      <w:r>
        <w:t xml:space="preserve"> </w:t>
      </w:r>
      <w:r>
        <w:t xml:space="preserve">- Seriële audiogrammen voor documenteren fluctuatie</w:t>
      </w:r>
    </w:p>
    <w:p>
      <w:pPr>
        <w:pStyle w:val="BodyText"/>
      </w:pPr>
      <w:r>
        <w:rPr>
          <w:bCs/>
          <w:b/>
        </w:rPr>
        <w:t xml:space="preserve">Aanvullend (op indicatie):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90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Electrocochleografie (ECoG)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SP/AP-ratio &gt;0.4 suggestief voor endolymfatische hydrops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diagnostische twijfel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Video-HIT (vHIT)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Eenzijdig vestibulair functieverlies aangedane kanalen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Altijd; toont uitval bij gevorderd Menière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Kalorisch onderzoek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Eenzijdige kalorische hyporeflexie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Uitgebreid vestibulologisch onderzoek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VEMP</w:t>
            </w:r>
            <w:r>
              <w:t xml:space="preserve"> </w:t>
            </w:r>
            <w:r>
              <w:t xml:space="preserve">(cVEMP/oVEMP)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Sacculus/utriculus-functie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Aanvullend; verhoogde drempel of gedempt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MRI temporaalbeen</w:t>
            </w:r>
            <w:r>
              <w:t xml:space="preserve"> </w:t>
            </w:r>
            <w:r>
              <w:t xml:space="preserve">(hydrops-protocol)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 visualisatie endolymfatische hydrops na IT-gadolinium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Onderzoeksomgeving; niet standaard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MRI inwendig gehoorgang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Uitsluiten vestibulaire schwannoom (cave: mimicker!)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eerste presentatie unilateraal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Audiogram contralateraal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Bilaterale betrokkenheid bewaken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Menière:</w:t>
      </w:r>
      <w:r>
        <w:t xml:space="preserve"> </w:t>
      </w:r>
      <w:r>
        <w:t xml:space="preserve">- Drop attacks (Tumarkin-otolietcrisissen): plotse vallen zonder bewustzijnsverlies; hoog valrisico</w:t>
      </w:r>
      <w:r>
        <w:t xml:space="preserve"> </w:t>
      </w:r>
      <w:r>
        <w:t xml:space="preserve">- Progressief bilateraal gehoorverlies → bilaterale Menière; immuungemedieerde oorzaak?</w:t>
      </w:r>
      <w:r>
        <w:t xml:space="preserve"> </w:t>
      </w:r>
      <w:r>
        <w:t xml:space="preserve">- Geen verbetering na conservatieve behandeling → heroverweeg diagnose (schwannoom!)</w:t>
      </w:r>
      <w:r>
        <w:t xml:space="preserve"> </w:t>
      </w:r>
      <w:r>
        <w:t xml:space="preserve">- Snel progressieve symptomen → MRI verplicht</w:t>
      </w:r>
    </w:p>
    <w:bookmarkEnd w:id="140"/>
    <w:bookmarkStart w:id="141" w:name="module-4-behandeling-3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Leefstijl &amp; dieet (altijd, stap 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Zoutbeperkt dieet</w:t>
      </w:r>
      <w:r>
        <w:t xml:space="preserve">: &lt;2 g natrium/dag (= &lt;5 g keukenzout/dag)</w:t>
      </w:r>
      <w:r>
        <w:t xml:space="preserve"> </w:t>
      </w:r>
      <w:r>
        <w:t xml:space="preserve">- Cafeïne beperken (koffie, thee, cola)</w:t>
      </w:r>
      <w:r>
        <w:t xml:space="preserve"> </w:t>
      </w:r>
      <w:r>
        <w:t xml:space="preserve">- Alcohol matig</w:t>
      </w:r>
      <w:r>
        <w:t xml:space="preserve"> </w:t>
      </w:r>
      <w:r>
        <w:t xml:space="preserve">- Stressreductie</w:t>
      </w:r>
      <w:r>
        <w:t xml:space="preserve"> </w:t>
      </w:r>
      <w:r>
        <w:t xml:space="preserve">- Regelmatige vochtinname (geen grote hoeveelheden tegelijk)</w:t>
      </w:r>
      <w:r>
        <w:t xml:space="preserve"> </w:t>
      </w:r>
      <w:r>
        <w:t xml:space="preserve">- Schriftelijke informatie + patiëntenvereniging (NFVV)</w:t>
      </w:r>
    </w:p>
    <w:p>
      <w:pPr>
        <w:pStyle w:val="BodyText"/>
      </w:pPr>
      <w:r>
        <w:rPr>
          <w:bCs/>
          <w:b/>
        </w:rPr>
        <w:t xml:space="preserve">Medicamenteus (stap 2):</w:t>
      </w:r>
      <w:r>
        <w:t xml:space="preserve"> </w:t>
      </w:r>
      <w:r>
        <w:t xml:space="preserve">| Middel | Dosis | Duur | Bewijs |</w:t>
      </w:r>
      <w:r>
        <w:t xml:space="preserve"> </w:t>
      </w:r>
      <w:r>
        <w:t xml:space="preserve">|——–|——-|——|——–|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Betahistine</w:t>
      </w:r>
      <w:r>
        <w:t xml:space="preserve"> </w:t>
      </w:r>
      <w:r>
        <w:t xml:space="preserve">| 16–48 mg 3dd (totaal 48–144 mg/dag) | Langdurig (maanden–jaren) | Matig; gangbaar; Cochrane: onvoldoende bewijs maar breed aanbevolen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Diuretica</w:t>
      </w:r>
      <w:r>
        <w:t xml:space="preserve"> </w:t>
      </w:r>
      <w:r>
        <w:t xml:space="preserve">(hydrochlorothiazide/triamtereen; acetazolamide) | HCT/triamtereen 25/50 mg 1dd | Langdurig | Beperkt bewijs; K+ bewaken |</w:t>
      </w:r>
      <w:r>
        <w:t xml:space="preserve"> </w:t>
      </w:r>
      <w:r>
        <w:t xml:space="preserve">| Anti-emetica/anti-vertigomiddelen (bij aanval) | Promethazine, cinnarizine | Kortdurend (acuut) | Symptomatisch; niet preventief |</w:t>
      </w:r>
      <w:r>
        <w:t xml:space="preserve"> </w:t>
      </w:r>
      <w:r>
        <w:t xml:space="preserve">| Benzodiazepinen | Diazepam (acuut) | Kortdurend (aanval) | Kalmerend; cave verslaving en vestibulairecompensatie-remming |</w:t>
      </w:r>
    </w:p>
    <w:p>
      <w:pPr>
        <w:pStyle w:val="BodyText"/>
      </w:pPr>
      <w:r>
        <w:rPr>
          <w:bCs/>
          <w:b/>
        </w:rPr>
        <w:t xml:space="preserve">Let op</w:t>
      </w:r>
      <w:r>
        <w:t xml:space="preserve">: vestibulosuppressiva (cinnarizine, diazepam) NIET langdurig geven → remmen vestibulairecompensatie!</w:t>
      </w:r>
    </w:p>
    <w:p>
      <w:pPr>
        <w:pStyle w:val="BodyText"/>
      </w:pPr>
      <w:r>
        <w:rPr>
          <w:bCs/>
          <w:b/>
        </w:rPr>
        <w:t xml:space="preserve">Intratympanale behandeling (stap 3):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667"/>
        <w:gridCol w:w="2709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Bijwerkingen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Corticosteroïden</w:t>
            </w:r>
            <w:r>
              <w:t xml:space="preserve"> </w:t>
            </w:r>
            <w:r>
              <w:t xml:space="preserve">(methyprednisolon 40 mg/ml of dexamethason 4–24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Niet-destructief; reductie aanvallen (wisselend bewijs)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TM-perforatie (tijdelijk); geen systemische effecten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injecties in 2–3 weken; herhaalbaar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Gentamicine</w:t>
            </w:r>
            <w:r>
              <w:t xml:space="preserve"> </w:t>
            </w:r>
            <w:r>
              <w:t xml:space="preserve">(chemische labyrinthectomie)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Selectieve vestibulaire haarcelheschadiging;</w:t>
            </w:r>
            <w:r>
              <w:t xml:space="preserve"> </w:t>
            </w:r>
            <w:r>
              <w:rPr>
                <w:bCs/>
                <w:b/>
              </w:rPr>
              <w:t xml:space="preserve">effectief aanvalssuppressie ~70–90%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SNHL-risico ~15–30%</w:t>
            </w:r>
            <w:r>
              <w:t xml:space="preserve">; verstoord evenwicht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Lage-dosis protocol: 1 injectie/maand; titreren tot aanvalstop</w:t>
            </w:r>
          </w:p>
        </w:tc>
      </w:tr>
    </w:tbl>
    <w:p>
      <w:pPr>
        <w:pStyle w:val="BodyText"/>
      </w:pPr>
      <w:r>
        <w:t xml:space="preserve">Gentamicine: pas na mislukken conservatieve therapie en IT-corticosteroïden; cave: gehoor bewaken vóór elke injectie.</w:t>
      </w:r>
    </w:p>
    <w:p>
      <w:pPr>
        <w:pStyle w:val="BodyText"/>
      </w:pPr>
      <w:r>
        <w:rPr>
          <w:bCs/>
          <w:b/>
        </w:rPr>
        <w:t xml:space="preserve">Chirurgie (stap 4):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7"/>
        <w:gridCol w:w="976"/>
        <w:gridCol w:w="1193"/>
        <w:gridCol w:w="3363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Effectiviteit aanvalssuppressie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Risico gehoor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Endolymfatische sac decompressie (ELS)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Decompressie of drainage endolymfatische sac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 falen; gehoor bewaard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Controversieel (~70% maar placebo-effect?)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Vestibulaire neurectomie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Doorsnijden n. vestibularis; cochleaire tak intact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Ernstige aanvallen; goed gehoor; &lt;65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 aanvalsstop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(&lt;5% SNHL)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Labyrintectomie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Volledige destructie labyrint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Slechthorend/doof aangedane oor; ernstige aanvallen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 aanvalsstop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doof aangedane oor</w:t>
            </w:r>
          </w:p>
        </w:tc>
      </w:tr>
    </w:tbl>
    <w:p>
      <w:pPr>
        <w:pStyle w:val="BodyText"/>
      </w:pPr>
      <w:r>
        <w:rPr>
          <w:bCs/>
          <w:b/>
        </w:rPr>
        <w:t xml:space="preserve">Aanvalsmedicatie (acute episode):</w:t>
      </w:r>
      <w:r>
        <w:t xml:space="preserve"> </w:t>
      </w:r>
      <w:r>
        <w:t xml:space="preserve">- Vestibulaire suppressiva: diazepam 5 mg PO/SL, promethazine 25 mg PO/IM</w:t>
      </w:r>
      <w:r>
        <w:t xml:space="preserve"> </w:t>
      </w:r>
      <w:r>
        <w:t xml:space="preserve">- Anti-emetica: metoclopramide, ondansetron</w:t>
      </w:r>
      <w:r>
        <w:t xml:space="preserve"> </w:t>
      </w:r>
      <w:r>
        <w:t xml:space="preserve">- Bedrust bij acute aanval; daarna zo snel mogelijk mobiliseren</w:t>
      </w:r>
      <w:r>
        <w:t xml:space="preserve"> </w:t>
      </w:r>
      <w:r>
        <w:t xml:space="preserve">- Rijverbod tijdens aanvallen (wettelijke plicht melden CBR!)</w:t>
      </w:r>
    </w:p>
    <w:bookmarkEnd w:id="141"/>
    <w:bookmarkStart w:id="142" w:name="module-5-follow-up"/>
    <w:p>
      <w:pPr>
        <w:pStyle w:val="Heading3"/>
      </w:pPr>
      <w:r>
        <w:t xml:space="preserve">Module 5 — Follow-up</w:t>
      </w:r>
    </w:p>
    <w:p>
      <w:pPr>
        <w:numPr>
          <w:ilvl w:val="0"/>
          <w:numId w:val="1039"/>
        </w:numPr>
        <w:pStyle w:val="Compact"/>
      </w:pPr>
      <w:r>
        <w:t xml:space="preserve">Audiogram: elke 6–12 maanden (gehoorverloop bewaken)</w:t>
      </w:r>
    </w:p>
    <w:p>
      <w:pPr>
        <w:numPr>
          <w:ilvl w:val="0"/>
          <w:numId w:val="1039"/>
        </w:numPr>
        <w:pStyle w:val="Compact"/>
      </w:pPr>
      <w:r>
        <w:t xml:space="preserve">Beoordeling aanvalsfrequentie: dagboek bijhouden</w:t>
      </w:r>
    </w:p>
    <w:p>
      <w:pPr>
        <w:numPr>
          <w:ilvl w:val="0"/>
          <w:numId w:val="1039"/>
        </w:numPr>
        <w:pStyle w:val="Compact"/>
      </w:pPr>
      <w:r>
        <w:t xml:space="preserve">Behandelrespons evalueren na 3–6 maanden conservatief beleid</w:t>
      </w:r>
    </w:p>
    <w:p>
      <w:pPr>
        <w:numPr>
          <w:ilvl w:val="0"/>
          <w:numId w:val="1039"/>
        </w:numPr>
        <w:pStyle w:val="Compact"/>
      </w:pPr>
      <w:r>
        <w:t xml:space="preserve">Rijgeschiktheid: informeer patiënt; bij frequente aanvallen: rijverbod adviseren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duizeligheid-bij-ouderen"/>
    <w:p>
      <w:pPr>
        <w:pStyle w:val="Heading2"/>
      </w:pPr>
      <w:r>
        <w:t xml:space="preserve">21. Duizeligheid bij ouderen</w:t>
      </w:r>
    </w:p>
    <w:bookmarkStart w:id="144" w:name="module-1-epidemiologie-kader"/>
    <w:p>
      <w:pPr>
        <w:pStyle w:val="Heading3"/>
      </w:pPr>
      <w:r>
        <w:t xml:space="preserve">Module 1 — Epidemiologie &amp; kader</w:t>
      </w:r>
    </w:p>
    <w:p>
      <w:pPr>
        <w:numPr>
          <w:ilvl w:val="0"/>
          <w:numId w:val="1040"/>
        </w:numPr>
        <w:pStyle w:val="Compact"/>
      </w:pPr>
      <w:r>
        <w:t xml:space="preserve">Prevalentie duizeligheid bij &gt;65 jaar: ~30%; bij &gt;80 jaar: &gt;50%</w:t>
      </w:r>
    </w:p>
    <w:p>
      <w:pPr>
        <w:numPr>
          <w:ilvl w:val="0"/>
          <w:numId w:val="1040"/>
        </w:numPr>
        <w:pStyle w:val="Compact"/>
      </w:pPr>
      <w:r>
        <w:t xml:space="preserve">Leidende oorzaak valincidenten (zie richtlijn 22)</w:t>
      </w:r>
    </w:p>
    <w:p>
      <w:pPr>
        <w:numPr>
          <w:ilvl w:val="0"/>
          <w:numId w:val="1040"/>
        </w:numPr>
        <w:pStyle w:val="Compact"/>
      </w:pPr>
      <w:r>
        <w:t xml:space="preserve">Multifactorieel: zelden één dominante oorzaak; alle bijdragende factoren aanpakken</w:t>
      </w:r>
    </w:p>
    <w:bookmarkEnd w:id="144"/>
    <w:bookmarkStart w:id="145" w:name="module-2-presbyvestibulopathie"/>
    <w:p>
      <w:pPr>
        <w:pStyle w:val="Heading3"/>
      </w:pPr>
      <w:r>
        <w:t xml:space="preserve">Module 2 — Presbyvestibulopathie</w:t>
      </w:r>
    </w:p>
    <w:p>
      <w:pPr>
        <w:pStyle w:val="FirstParagraph"/>
      </w:pPr>
      <w:r>
        <w:rPr>
          <w:bCs/>
          <w:b/>
        </w:rPr>
        <w:t xml:space="preserve">Definitie (Barany Society 2019):</w:t>
      </w:r>
      <w:r>
        <w:t xml:space="preserve"> </w:t>
      </w:r>
      <w:r>
        <w:t xml:space="preserve">1. Chronisch vestibulaire syndroom (duur &gt;3 maanden): instabiliteit, imbalans, houdingsonzekerheid, oscillopsie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Matig bilateraal perifeer vestibulair verlies</w:t>
      </w:r>
      <w:r>
        <w:t xml:space="preserve">:</w:t>
      </w:r>
      <w:r>
        <w:t xml:space="preserve"> </w:t>
      </w:r>
      <w:r>
        <w:t xml:space="preserve">- vHIT: gemiddelde VOR-gain 0.6–0.8 bilateraal, ÉN/OF</w:t>
      </w:r>
      <w:r>
        <w:t xml:space="preserve"> </w:t>
      </w:r>
      <w:r>
        <w:t xml:space="preserve">- Kalorisch: ≤25% eenzijdig; totaal &lt;50 graden/sec, ÉN/OF</w:t>
      </w:r>
      <w:r>
        <w:t xml:space="preserve"> </w:t>
      </w:r>
      <w:r>
        <w:t xml:space="preserve">- cVEMP of oVEMP: bilateraal afwezig of sterk gedempt</w:t>
      </w:r>
      <w:r>
        <w:t xml:space="preserve"> </w:t>
      </w:r>
      <w:r>
        <w:t xml:space="preserve">3. Leeftijd ≥60 jaar</w:t>
      </w:r>
      <w:r>
        <w:t xml:space="preserve"> </w:t>
      </w:r>
      <w:r>
        <w:t xml:space="preserve">4. Niet verklaard door specifieke vestibulaire aandoening</w:t>
      </w:r>
    </w:p>
    <w:bookmarkEnd w:id="145"/>
    <w:bookmarkStart w:id="146" w:name="module-3-multifactorieel-oorzakenprofiel"/>
    <w:p>
      <w:pPr>
        <w:pStyle w:val="Heading3"/>
      </w:pPr>
      <w:r>
        <w:t xml:space="preserve">Module 3 — Multifactorieel oorzakenprofiel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322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Voorbeeld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Perifeer vestibulair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Presbyvestibulopathie, BPPD (vaker bij ouderen!), Menière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Vestibulaire revalidatie; repositie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Cardiovasculair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Orthostatische hypotensie (&gt;20 mmHg systolisch daling), cardiale aritmie, carotissinus-syndroom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Medicatiereview; Schellong-test; Holter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Cerebellaire atrofie, NPH (normaldruks hydrocefalie), perifere polyneuropathie, Parkinson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Beeldvorming; neuroloog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Visueel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Cataract, maculadegeneratie, bifocale glazen op oneven terrein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Visuscorrectie; monoculaire glazen op buiten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Proprioceptief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Polyneuropathie (DM, vitamine B12-deficiëntie), artrose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Behandelen oorzaak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Medicamenteus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Benzodiazepines, antihypertensiva, anticholinergica, antidepressiva, sedativa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Medicatiereview + -reductie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Angst, depressie → vermijdingsgedrag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CGT, behandeling angst/depressie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Cerebellair/centraal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CVA, tumor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MRI</w:t>
            </w:r>
          </w:p>
        </w:tc>
      </w:tr>
    </w:tbl>
    <w:bookmarkEnd w:id="146"/>
    <w:bookmarkStart w:id="147" w:name="module-4-diagnostiek-2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Anamnese:</w:t>
      </w:r>
      <w:r>
        <w:t xml:space="preserve"> </w:t>
      </w:r>
      <w:r>
        <w:t xml:space="preserve">valgeschiedenis, medicatie (compleet overzicht!), comorbiditeiten, mobiliteit</w:t>
      </w:r>
    </w:p>
    <w:p>
      <w:pPr>
        <w:pStyle w:val="BodyText"/>
      </w:pPr>
      <w:r>
        <w:rPr>
          <w:bCs/>
          <w:b/>
        </w:rPr>
        <w:t xml:space="preserve">Klinisch onderzoek: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Timed Up and Go (TUG)</w:t>
      </w:r>
      <w:r>
        <w:t xml:space="preserve">: opstaan uit stoel, 3 m lopen, omdraaien, terugkomen, zitten; &gt;12 sec = verhoogd valrisico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Romberg/tandemstand</w:t>
      </w:r>
      <w:r>
        <w:t xml:space="preserve">: statische balans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Schellongtest</w:t>
      </w:r>
      <w:r>
        <w:t xml:space="preserve">: bloeddrukmeting liggend → staand na 1 en 3 min; &gt;20 mmHg systolisch daling = orthostatische hypotensie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vHIT</w:t>
      </w:r>
      <w:r>
        <w:t xml:space="preserve"> </w:t>
      </w:r>
      <w:r>
        <w:t xml:space="preserve">(video head impulse test): VOR-functie horizontale kanalen; meest klinisch-bruikbaar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Kalorisch onderzoek</w:t>
      </w:r>
      <w:r>
        <w:t xml:space="preserve">: bij uitgebreid vestibulologisch onderzoek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DPOAE + audiogram</w:t>
      </w:r>
      <w:r>
        <w:t xml:space="preserve">: gehoor bij ouderen frequent aangedaan</w:t>
      </w:r>
    </w:p>
    <w:p>
      <w:pPr>
        <w:pStyle w:val="BodyText"/>
      </w:pPr>
      <w:r>
        <w:rPr>
          <w:bCs/>
          <w:b/>
        </w:rPr>
        <w:t xml:space="preserve">Aanvullend:</w:t>
      </w:r>
      <w:r>
        <w:t xml:space="preserve"> </w:t>
      </w:r>
      <w:r>
        <w:t xml:space="preserve">- Bloedonderzoek: Hb, glucose, B12, foliumzuur, TSH, elektrolyten, nierfunctie</w:t>
      </w:r>
      <w:r>
        <w:t xml:space="preserve"> </w:t>
      </w:r>
      <w:r>
        <w:t xml:space="preserve">- ECG (ritmestoornissen)</w:t>
      </w:r>
      <w:r>
        <w:t xml:space="preserve"> </w:t>
      </w:r>
      <w:r>
        <w:t xml:space="preserve">- Holter-monitoring bij verdenking aritmie</w:t>
      </w:r>
      <w:r>
        <w:t xml:space="preserve"> </w:t>
      </w:r>
      <w:r>
        <w:t xml:space="preserve">- MRI hersenen: bij centrale DD (ataxie, dysarthrie, diplopsie, hoofdpijn, acute onset)</w:t>
      </w:r>
      <w:r>
        <w:t xml:space="preserve"> </w:t>
      </w:r>
      <w:r>
        <w:t xml:space="preserve">- Vitamine D-spiegel (25-OH-D3): bij deficiëntie: risicofactor vallen EN BPPD-recidief</w:t>
      </w:r>
    </w:p>
    <w:bookmarkEnd w:id="147"/>
    <w:bookmarkStart w:id="148" w:name="module-5-behandeling-1"/>
    <w:p>
      <w:pPr>
        <w:pStyle w:val="Heading3"/>
      </w:pPr>
      <w:r>
        <w:t xml:space="preserve">Module 5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5"/>
        <w:gridCol w:w="2043"/>
        <w:gridCol w:w="28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Toepassing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Vestibulaire revalidatie (VR)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bij presbyvestibulopathie; Cawthorne-Cooksey oefeningen of geïndividualiseerd programma; thuis of fysiotherapeut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BPPD behandelen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Repositiemanoeuvres; hoge prevalentie bij ouderen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 en -reductie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Stoppen/reduceren valrisicomedicatie (benzodiazepines, antihypertensiva, sedativa)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 25-OH-D3 &lt;50 nmol/L; vermindering valrisico en BPPD-recidief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Orthostatische hypotensie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Stokkousen, fludrocortison (voorzichtig), niet te snel opstaan, voldoende vochtinname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Vestibulosuppressiva</w:t>
            </w:r>
            <w:r>
              <w:t xml:space="preserve"> </w:t>
            </w:r>
            <w:r>
              <w:t xml:space="preserve">(cinnarizine, betahistine)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Beperkt voor presbyvest.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Alleen kortdurend bij acute aanvallen; niet als chronische behandeling (remt compensatie!)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Valpreventie programma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richtlijn valpreventie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End w:id="149"/>
    <w:bookmarkStart w:id="155" w:name="preventie-van-valincidenten-bij-ouderen"/>
    <w:p>
      <w:pPr>
        <w:pStyle w:val="Heading2"/>
      </w:pPr>
      <w:r>
        <w:t xml:space="preserve">22. Preventie van valincidenten bij ouderen</w:t>
      </w:r>
    </w:p>
    <w:bookmarkStart w:id="150" w:name="module-1-belang-epidemiologie"/>
    <w:p>
      <w:pPr>
        <w:pStyle w:val="Heading3"/>
      </w:pPr>
      <w:r>
        <w:t xml:space="preserve">Module 1 — Belang &amp; epidemiologie</w:t>
      </w:r>
    </w:p>
    <w:p>
      <w:pPr>
        <w:numPr>
          <w:ilvl w:val="0"/>
          <w:numId w:val="1041"/>
        </w:numPr>
        <w:pStyle w:val="Compact"/>
      </w:pPr>
      <w:r>
        <w:t xml:space="preserve">30% van zelfstandig wonende ouderen &gt;65 jaar valt ≥1× per jaar; bij &gt;80 jaar: 50%</w:t>
      </w:r>
    </w:p>
    <w:p>
      <w:pPr>
        <w:numPr>
          <w:ilvl w:val="0"/>
          <w:numId w:val="1041"/>
        </w:numPr>
        <w:pStyle w:val="Compact"/>
      </w:pPr>
      <w:r>
        <w:t xml:space="preserve">10% van vallen leidt tot ernstig letsel (heupfractuur, SDH)</w:t>
      </w:r>
    </w:p>
    <w:p>
      <w:pPr>
        <w:numPr>
          <w:ilvl w:val="0"/>
          <w:numId w:val="1041"/>
        </w:numPr>
        <w:pStyle w:val="Compact"/>
      </w:pPr>
      <w:r>
        <w:t xml:space="preserve">Heupfractuur: 1-jaarsmortaliteit ~25%; significant functieverlies</w:t>
      </w:r>
    </w:p>
    <w:p>
      <w:pPr>
        <w:numPr>
          <w:ilvl w:val="0"/>
          <w:numId w:val="1041"/>
        </w:numPr>
        <w:pStyle w:val="Compact"/>
      </w:pPr>
      <w:r>
        <w:t xml:space="preserve">KNO-arts rol: vestibulair diagnose + behandeling als bijdrage aan totaal valpreventieprogramma</w:t>
      </w:r>
    </w:p>
    <w:bookmarkEnd w:id="150"/>
    <w:bookmarkStart w:id="151" w:name="module-2-risicofactoren-multifactorieel"/>
    <w:p>
      <w:pPr>
        <w:pStyle w:val="Heading3"/>
      </w:pPr>
      <w:r>
        <w:t xml:space="preserve">Module 2 — Risicofactoren (multifactorieel)</w:t>
      </w:r>
    </w:p>
    <w:p>
      <w:pPr>
        <w:pStyle w:val="FirstParagraph"/>
      </w:pPr>
      <w:r>
        <w:rPr>
          <w:bCs/>
          <w:b/>
        </w:rPr>
        <w:t xml:space="preserve">Patiëntfactoren:</w:t>
      </w:r>
      <w:r>
        <w:t xml:space="preserve"> </w:t>
      </w:r>
      <w:r>
        <w:t xml:space="preserve">- Eerder doorgemaakt val (sterkste predictor!)</w:t>
      </w:r>
      <w:r>
        <w:t xml:space="preserve"> </w:t>
      </w:r>
      <w:r>
        <w:t xml:space="preserve">- Loopstoornissen, spierzwakte (sarcopenie), lage spiermassa</w:t>
      </w:r>
      <w:r>
        <w:t xml:space="preserve"> </w:t>
      </w:r>
      <w:r>
        <w:t xml:space="preserve">- Balansproblemen</w:t>
      </w:r>
      <w:r>
        <w:t xml:space="preserve"> </w:t>
      </w:r>
      <w:r>
        <w:t xml:space="preserve">- Vestibulair disfunctioneren (zie richtlijn 21)</w:t>
      </w:r>
      <w:r>
        <w:t xml:space="preserve"> </w:t>
      </w:r>
      <w:r>
        <w:t xml:space="preserve">- Cognitieve stoornissen (dementie, confusie)</w:t>
      </w:r>
      <w:r>
        <w:t xml:space="preserve"> </w:t>
      </w:r>
      <w:r>
        <w:t xml:space="preserve">- Depressie, angst, valangst</w:t>
      </w:r>
      <w:r>
        <w:t xml:space="preserve"> </w:t>
      </w:r>
      <w:r>
        <w:t xml:space="preserve">- Visuele beperkingen</w:t>
      </w:r>
      <w:r>
        <w:t xml:space="preserve"> </w:t>
      </w:r>
      <w:r>
        <w:t xml:space="preserve">- Incontinentie (haast naar toilet)</w:t>
      </w:r>
    </w:p>
    <w:p>
      <w:pPr>
        <w:pStyle w:val="BodyText"/>
      </w:pPr>
      <w:r>
        <w:rPr>
          <w:bCs/>
          <w:b/>
        </w:rPr>
        <w:t xml:space="preserve">Medicamenteuze 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Benzodiazepines</w:t>
      </w:r>
      <w:r>
        <w:t xml:space="preserve"> </w:t>
      </w:r>
      <w:r>
        <w:t xml:space="preserve">(sterk verhoogd valrisico!)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Antihypertensiva</w:t>
      </w:r>
      <w:r>
        <w:t xml:space="preserve"> </w:t>
      </w:r>
      <w:r>
        <w:t xml:space="preserve">(orthostatische hypotensie)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Diuretica</w:t>
      </w:r>
      <w:r>
        <w:t xml:space="preserve"> </w:t>
      </w:r>
      <w:r>
        <w:t xml:space="preserve">(orthostatische hypotensie, nycturie)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Antidepressiva</w:t>
      </w:r>
      <w:r>
        <w:t xml:space="preserve"> </w:t>
      </w:r>
      <w:r>
        <w:t xml:space="preserve">(TCAs, SSRIs)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Antipsychotica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Opioïden</w:t>
      </w:r>
      <w:r>
        <w:t xml:space="preserve">, sedativa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Polyfarmaci</w:t>
      </w:r>
      <w:r>
        <w:t xml:space="preserve"> </w:t>
      </w:r>
      <w:r>
        <w:t xml:space="preserve">(≥4 geneesmiddelen): sterk onafhankelijke risicofactor</w:t>
      </w:r>
    </w:p>
    <w:p>
      <w:pPr>
        <w:pStyle w:val="BodyText"/>
      </w:pPr>
      <w:r>
        <w:rPr>
          <w:bCs/>
          <w:b/>
        </w:rPr>
        <w:t xml:space="preserve">Omgevingsfactoren:</w:t>
      </w:r>
      <w:r>
        <w:t xml:space="preserve"> </w:t>
      </w:r>
      <w:r>
        <w:t xml:space="preserve">- Drempels, losse matten, glad vloeroppervlak</w:t>
      </w:r>
      <w:r>
        <w:t xml:space="preserve"> </w:t>
      </w:r>
      <w:r>
        <w:t xml:space="preserve">- Slechte verlichting (vooral ’s nachts)</w:t>
      </w:r>
      <w:r>
        <w:t xml:space="preserve"> </w:t>
      </w:r>
      <w:r>
        <w:t xml:space="preserve">- Geen leuningen trap/badkamer</w:t>
      </w:r>
      <w:r>
        <w:t xml:space="preserve"> </w:t>
      </w:r>
      <w:r>
        <w:t xml:space="preserve">- Ongeschikt schoeisel (slippers, hoge hakken, gladde zolen)</w:t>
      </w:r>
    </w:p>
    <w:bookmarkEnd w:id="151"/>
    <w:bookmarkStart w:id="152" w:name="module-3-screening-beoordeling"/>
    <w:p>
      <w:pPr>
        <w:pStyle w:val="Heading3"/>
      </w:pPr>
      <w:r>
        <w:t xml:space="preserve">Module 3 — Screening &amp; beoordeling</w:t>
      </w:r>
    </w:p>
    <w:p>
      <w:pPr>
        <w:pStyle w:val="FirstParagraph"/>
      </w:pPr>
      <w:r>
        <w:rPr>
          <w:bCs/>
          <w:b/>
        </w:rPr>
        <w:t xml:space="preserve">Screeningsvragen (minimaal jaarlijks bij &gt;65 jaar):</w:t>
      </w:r>
      <w:r>
        <w:t xml:space="preserve"> </w:t>
      </w:r>
      <w:r>
        <w:t xml:space="preserve">1. Bent u het afgelopen jaar gevallen?</w:t>
      </w:r>
      <w:r>
        <w:t xml:space="preserve"> </w:t>
      </w:r>
      <w:r>
        <w:t xml:space="preserve">2. Heeft u moeite met lopen of evenwicht?</w:t>
      </w:r>
      <w:r>
        <w:t xml:space="preserve"> </w:t>
      </w:r>
      <w:r>
        <w:t xml:space="preserve">3. Bent u bang om te vallen?</w:t>
      </w:r>
    </w:p>
    <w:p>
      <w:pPr>
        <w:pStyle w:val="BodyText"/>
      </w:pPr>
      <w:r>
        <w:rPr>
          <w:bCs/>
          <w:b/>
        </w:rPr>
        <w:t xml:space="preserve">Klinische instrumenten:</w:t>
      </w:r>
      <w:r>
        <w:t xml:space="preserve"> </w:t>
      </w:r>
      <w:r>
        <w:t xml:space="preserve">| Test | Beschrijving | Afkappunt |</w:t>
      </w:r>
      <w:r>
        <w:t xml:space="preserve"> </w:t>
      </w:r>
      <w:r>
        <w:t xml:space="preserve">|——|————-|———-|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TUG</w:t>
      </w:r>
      <w:r>
        <w:t xml:space="preserve"> </w:t>
      </w:r>
      <w:r>
        <w:t xml:space="preserve">(Timed Up and Go) | Opstaan, 3m lopen, terugkomen, zitten | &gt;12 sec = risico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4-stap balanstest</w:t>
      </w:r>
      <w:r>
        <w:t xml:space="preserve"> </w:t>
      </w:r>
      <w:r>
        <w:t xml:space="preserve">| Verschillende standposities; toenemende moeilijkheid | &lt;10 sec op tandemstand = risico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Looppatroon</w:t>
      </w:r>
      <w:r>
        <w:t xml:space="preserve"> </w:t>
      </w:r>
      <w:r>
        <w:t xml:space="preserve">(observatie) | Cadans, staplengte, breedte, armzwaai | Klinisch oordeel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Functionele reach test</w:t>
      </w:r>
      <w:r>
        <w:t xml:space="preserve"> </w:t>
      </w:r>
      <w:r>
        <w:t xml:space="preserve">| Hoe ver kan patiënt reiken? | &lt;20 cm = risico |</w:t>
      </w:r>
    </w:p>
    <w:bookmarkEnd w:id="152"/>
    <w:bookmarkStart w:id="153" w:name="X00bc7dfaf151193eff4badb553271c90fe56173"/>
    <w:p>
      <w:pPr>
        <w:pStyle w:val="Heading3"/>
      </w:pPr>
      <w:r>
        <w:t xml:space="preserve">Module 4 — Valpreventie: multifactorieel programma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3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Interventie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Reductie valrisico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Kracht- en balanstraining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 (Cochrane-review)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23–35% reductie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Tai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30–40% reductie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Otago oefenprogramma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reductie; ook thuis uitvoerbaar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Medicatiereview</w:t>
            </w:r>
            <w:r>
              <w:t xml:space="preserve"> </w:t>
            </w:r>
            <w:r>
              <w:t xml:space="preserve">(staken valrisicomiddelen)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 reductie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Vitamine D-suppletie</w:t>
            </w:r>
            <w:r>
              <w:t xml:space="preserve"> </w:t>
            </w:r>
            <w:r>
              <w:t xml:space="preserve">(bij deficiëntie)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20–30% reductie bij deficiënte ouderen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Visuscorrectie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Zeker bij eenzijdige cataracter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Thuisomgevingsaanpassing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Leuningen, verlichting, verwijderen 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Hartritmeaandoening behandelen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Pacemakerimplantatie bij SSS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Heupbeschermers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Beperkt (compliance laag)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Reductie heupfractuurrisico bij vallen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Voedingsinteventie (eiwit + Ca2+)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Spierkrachtbehoud</w:t>
            </w:r>
          </w:p>
        </w:tc>
      </w:tr>
    </w:tbl>
    <w:p>
      <w:pPr>
        <w:pStyle w:val="BodyText"/>
      </w:pPr>
      <w:r>
        <w:rPr>
          <w:bCs/>
          <w:b/>
        </w:rPr>
        <w:t xml:space="preserve">Duur en intensiteit bewegingsprogramma:</w:t>
      </w:r>
      <w:r>
        <w:t xml:space="preserve"> </w:t>
      </w:r>
      <w:r>
        <w:t xml:space="preserve">- Minimaal</w:t>
      </w:r>
      <w:r>
        <w:t xml:space="preserve"> </w:t>
      </w:r>
      <w:r>
        <w:rPr>
          <w:bCs/>
          <w:b/>
        </w:rPr>
        <w:t xml:space="preserve">50 uur oefentherapie</w:t>
      </w:r>
      <w:r>
        <w:t xml:space="preserve"> </w:t>
      </w:r>
      <w:r>
        <w:t xml:space="preserve">over &gt;3 maanden om significant effect te bereiken</w:t>
      </w:r>
      <w:r>
        <w:t xml:space="preserve"> </w:t>
      </w:r>
      <w:r>
        <w:t xml:space="preserve">- Voorkeur: gecombineerd balans + kracht; ≥3 sessies/week</w:t>
      </w:r>
    </w:p>
    <w:bookmarkEnd w:id="153"/>
    <w:bookmarkStart w:id="154" w:name="module-5-rol-kno-arts-in-valpreventie"/>
    <w:p>
      <w:pPr>
        <w:pStyle w:val="Heading3"/>
      </w:pPr>
      <w:r>
        <w:t xml:space="preserve">Module 5 — Rol KNO-arts in valpreventie</w:t>
      </w:r>
    </w:p>
    <w:p>
      <w:pPr>
        <w:numPr>
          <w:ilvl w:val="0"/>
          <w:numId w:val="1042"/>
        </w:numPr>
        <w:pStyle w:val="Compact"/>
      </w:pPr>
      <w:r>
        <w:t xml:space="preserve">Diagnostiek en behandeling vestibulair disfunctioneren (BPPD, presbyvestibulopathie)</w:t>
      </w:r>
    </w:p>
    <w:p>
      <w:pPr>
        <w:numPr>
          <w:ilvl w:val="0"/>
          <w:numId w:val="1042"/>
        </w:numPr>
        <w:pStyle w:val="Compact"/>
      </w:pPr>
      <w:r>
        <w:t xml:space="preserve">Verwijzing vestibulaire revalidatie (fysiotherapeut met specialisatie)</w:t>
      </w:r>
    </w:p>
    <w:p>
      <w:pPr>
        <w:numPr>
          <w:ilvl w:val="0"/>
          <w:numId w:val="1042"/>
        </w:numPr>
        <w:pStyle w:val="Compact"/>
      </w:pPr>
      <w:r>
        <w:t xml:space="preserve">Medicamenteus: vermijden vestibulosuppressiva als chronische therapie</w:t>
      </w:r>
    </w:p>
    <w:p>
      <w:pPr>
        <w:numPr>
          <w:ilvl w:val="0"/>
          <w:numId w:val="1042"/>
        </w:numPr>
        <w:pStyle w:val="Compact"/>
      </w:pPr>
      <w:r>
        <w:t xml:space="preserve">Multidisciplinaire samenwerking: huisarts, geriater, fysiotherapeut, optometrist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4" w:name="slaapgeneeskunde"/>
    <w:p>
      <w:pPr>
        <w:pStyle w:val="Heading1"/>
      </w:pPr>
      <w:r>
        <w:t xml:space="preserve">SLAAPGENEESKUNDE</w:t>
      </w:r>
    </w:p>
    <w:p>
      <w:r>
        <w:pict>
          <v:rect style="width:0;height:1.5pt" o:hralign="center" o:hrstd="t" o:hr="t"/>
        </w:pict>
      </w:r>
    </w:p>
    <w:bookmarkStart w:id="163" w:name="X89f4115fb8a6876b15958abde69a4e5155268bf"/>
    <w:p>
      <w:pPr>
        <w:pStyle w:val="Heading2"/>
      </w:pPr>
      <w:r>
        <w:t xml:space="preserve">23. Obstructief slaapapneu (OSA) bij volwassenen</w:t>
      </w:r>
    </w:p>
    <w:bookmarkStart w:id="157" w:name="module-1-definitie-epidemiologie-5"/>
    <w:p>
      <w:pPr>
        <w:pStyle w:val="Heading3"/>
      </w:pPr>
      <w:r>
        <w:t xml:space="preserve">Module 1 — Definitie &amp; epidemiologie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Obstructief slaapapneu</w:t>
      </w:r>
      <w:r>
        <w:t xml:space="preserve">: herhaalde gedeeltelijke (hypopneu) of volledige (apneu) obstructie van de bovenste luchtwegen tijdens de slaap, leidend tot slaapfragmentatie en/of desaturaties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Apneu</w:t>
      </w:r>
      <w:r>
        <w:t xml:space="preserve">: ≥10 sec volledige blokkade ademstroom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Hypopneu</w:t>
      </w:r>
      <w:r>
        <w:t xml:space="preserve">: ≥30% afname ademstroom + ≥3% desaturatie of EEG-arousal, gedurende ≥10 sec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AHI</w:t>
      </w:r>
      <w:r>
        <w:t xml:space="preserve">: aantal apneu’s + hypopneu’s per uur slaap</w:t>
      </w:r>
    </w:p>
    <w:p>
      <w:pPr>
        <w:numPr>
          <w:ilvl w:val="0"/>
          <w:numId w:val="1043"/>
        </w:numPr>
        <w:pStyle w:val="Compact"/>
      </w:pPr>
      <w:r>
        <w:t xml:space="preserve">Prevalentie matig-ernstig OSA (AHI ≥15): mannen ~10%, vrouwen ~3%; toename met obesitas en leeftijd</w:t>
      </w:r>
    </w:p>
    <w:bookmarkEnd w:id="157"/>
    <w:bookmarkStart w:id="158" w:name="module-2-classificatie"/>
    <w:p>
      <w:pPr>
        <w:pStyle w:val="Heading3"/>
      </w:pPr>
      <w:r>
        <w:t xml:space="preserve">Module 2 — Classificatie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</w:tbl>
    <w:p>
      <w:pPr>
        <w:pStyle w:val="BodyText"/>
      </w:pPr>
      <w:r>
        <w:rPr>
          <w:bCs/>
          <w:b/>
        </w:rPr>
        <w:t xml:space="preserve">Diagnose vereist:</w:t>
      </w:r>
      <w:r>
        <w:t xml:space="preserve"> </w:t>
      </w:r>
      <w:r>
        <w:t xml:space="preserve">- AHI ≥5 + symptomen (slaperigheid, snurken, apneu’s, insomnia, nachtelijk ontwaken, nycturie, hoofdpijn ochtend)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ÓF</w:t>
      </w:r>
      <w:r>
        <w:t xml:space="preserve"> </w:t>
      </w:r>
      <w:r>
        <w:t xml:space="preserve">AHI ≥15 ongeacht symptomen</w:t>
      </w:r>
    </w:p>
    <w:bookmarkEnd w:id="158"/>
    <w:bookmarkStart w:id="159" w:name="module-3-klinische-presentatie-1"/>
    <w:p>
      <w:pPr>
        <w:pStyle w:val="Heading3"/>
      </w:pPr>
      <w:r>
        <w:t xml:space="preserve">Module 3 — Klinische presentatie</w:t>
      </w:r>
    </w:p>
    <w:p>
      <w:pPr>
        <w:pStyle w:val="FirstParagraph"/>
      </w:pPr>
      <w:r>
        <w:rPr>
          <w:bCs/>
          <w:b/>
        </w:rPr>
        <w:t xml:space="preserve">Nacht:</w:t>
      </w:r>
      <w:r>
        <w:t xml:space="preserve"> </w:t>
      </w:r>
      <w:r>
        <w:t xml:space="preserve">- Luid, frequent snurken (partner getuige)</w:t>
      </w:r>
      <w:r>
        <w:t xml:space="preserve"> </w:t>
      </w:r>
      <w:r>
        <w:t xml:space="preserve">- Apneu-perioden (partner observeert)</w:t>
      </w:r>
      <w:r>
        <w:t xml:space="preserve"> </w:t>
      </w:r>
      <w:r>
        <w:t xml:space="preserve">- Rusteloze slaap, frequent wekken</w:t>
      </w:r>
      <w:r>
        <w:t xml:space="preserve"> </w:t>
      </w:r>
      <w:r>
        <w:t xml:space="preserve">- Nycturie</w:t>
      </w:r>
      <w:r>
        <w:t xml:space="preserve"> </w:t>
      </w:r>
      <w:r>
        <w:t xml:space="preserve">- Nachtelijk zweten, reflux</w:t>
      </w:r>
    </w:p>
    <w:p>
      <w:pPr>
        <w:pStyle w:val="BodyText"/>
      </w:pPr>
      <w:r>
        <w:rPr>
          <w:bCs/>
          <w:b/>
        </w:rPr>
        <w:t xml:space="preserve">Dag: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Excessieve slaperigheid overdag</w:t>
      </w:r>
      <w:r>
        <w:t xml:space="preserve"> </w:t>
      </w:r>
      <w:r>
        <w:t xml:space="preserve">(Excessive Daytime Sleepiness, EDS):</w:t>
      </w:r>
      <w:r>
        <w:t xml:space="preserve"> </w:t>
      </w:r>
      <w:r>
        <w:rPr>
          <w:bCs/>
          <w:b/>
        </w:rPr>
        <w:t xml:space="preserve">ESS ≥10</w:t>
      </w:r>
      <w:r>
        <w:t xml:space="preserve"> </w:t>
      </w:r>
      <w:r>
        <w:t xml:space="preserve">= klinisch relevant</w:t>
      </w:r>
      <w:r>
        <w:t xml:space="preserve"> </w:t>
      </w:r>
      <w:r>
        <w:t xml:space="preserve">- Ochtendhoofpijn (CO2-retentie)</w:t>
      </w:r>
      <w:r>
        <w:t xml:space="preserve"> </w:t>
      </w:r>
      <w:r>
        <w:t xml:space="preserve">- Cognitieve klachten: geheugen, concentratie</w:t>
      </w:r>
      <w:r>
        <w:t xml:space="preserve"> </w:t>
      </w:r>
      <w:r>
        <w:t xml:space="preserve">- Depressie, prikkelbaarheid</w:t>
      </w:r>
      <w:r>
        <w:t xml:space="preserve"> </w:t>
      </w:r>
      <w:r>
        <w:t xml:space="preserve">- Verminderde libido, seksuele disfunctie</w:t>
      </w:r>
    </w:p>
    <w:p>
      <w:pPr>
        <w:pStyle w:val="BodyText"/>
      </w:pPr>
      <w:r>
        <w:rPr>
          <w:bCs/>
          <w:b/>
        </w:rPr>
        <w:t xml:space="preserve">Epworth Sleepiness Scale (ESS):</w:t>
      </w:r>
      <w:r>
        <w:t xml:space="preserve"> </w:t>
      </w:r>
      <w:r>
        <w:t xml:space="preserve">- 8 situaties; 0–3 per situatie; totaal 0–24</w:t>
      </w:r>
      <w:r>
        <w:t xml:space="preserve"> </w:t>
      </w:r>
      <w:r>
        <w:t xml:space="preserve">- ≥10: overmatige slaperigheid; ≥16: ernstig; ≥18: gevaarlijk (niet autorijden!)</w:t>
      </w:r>
    </w:p>
    <w:bookmarkEnd w:id="159"/>
    <w:bookmarkStart w:id="160" w:name="module-4-diagnostiek-3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Polysomnografie (PSG) — goudstandaard:</w:t>
      </w:r>
      <w:r>
        <w:t xml:space="preserve"> </w:t>
      </w:r>
      <w:r>
        <w:t xml:space="preserve">- Volledige slaapstudie in laboratorium</w:t>
      </w:r>
      <w:r>
        <w:t xml:space="preserve"> </w:t>
      </w:r>
      <w:r>
        <w:t xml:space="preserve">- Parameters: EEG, EOG, EMG (kaak+been), ademstroom (druk+thermistor), thorax+abdominale bewegingen, SpO2, ECG, snurken, positiemeting, videoregistratie</w:t>
      </w:r>
      <w:r>
        <w:t xml:space="preserve"> </w:t>
      </w:r>
      <w:r>
        <w:t xml:space="preserve">- Slaapstadiaindeling: N1, N2, N3, REM</w:t>
      </w:r>
      <w:r>
        <w:t xml:space="preserve"> </w:t>
      </w:r>
      <w:r>
        <w:t xml:space="preserve">- Indicaties PSG: bij hoge comorbiditeit, diagnostische twijfel, verdenking centrale apneu, behandelevaluatie chirurgie, titratie (CPAP, BiPAP)</w:t>
      </w:r>
    </w:p>
    <w:p>
      <w:pPr>
        <w:pStyle w:val="BodyText"/>
      </w:pPr>
      <w:r>
        <w:rPr>
          <w:bCs/>
          <w:b/>
        </w:rPr>
        <w:t xml:space="preserve">HSAT (Home Sleep Apnea Test, type 2–4):</w:t>
      </w:r>
      <w:r>
        <w:t xml:space="preserve"> </w:t>
      </w:r>
      <w:r>
        <w:t xml:space="preserve">- Ambulante meting; type 2: volledige PSG zonder EEG; type 3: ademstroom + saturatie + ECG/hartfrequentie; type 4: alleen SpO2</w:t>
      </w:r>
      <w:r>
        <w:t xml:space="preserve"> </w:t>
      </w:r>
      <w:r>
        <w:t xml:space="preserve">- Geïndiceerd bij: hoge pre-testkans voor OSA, geen ernstige comorbiditeit, geen verdenking centrale apneu</w:t>
      </w:r>
      <w:r>
        <w:t xml:space="preserve"> </w:t>
      </w:r>
      <w:r>
        <w:t xml:space="preserve">- Nadeel: geen slaapstadiaindeling; AHI kan onderschat worden (gedeeld door opnametijd niet slaaptijd)</w:t>
      </w:r>
    </w:p>
    <w:p>
      <w:pPr>
        <w:pStyle w:val="BodyText"/>
      </w:pPr>
      <w:r>
        <w:rPr>
          <w:bCs/>
          <w:b/>
        </w:rPr>
        <w:t xml:space="preserve">KNO-onderzoek:</w:t>
      </w:r>
      <w:r>
        <w:t xml:space="preserve"> </w:t>
      </w:r>
      <w:r>
        <w:t xml:space="preserve">- Gewicht, lengte, BMI, halsomvang (&gt;43 cm mannen, &gt;41 cm vrouwen = risico)</w:t>
      </w:r>
      <w:r>
        <w:t xml:space="preserve"> </w:t>
      </w:r>
      <w:r>
        <w:t xml:space="preserve">- Nasoscopie: septumdeviatie, conchahypertrofie, poliepen</w:t>
      </w:r>
      <w:r>
        <w:t xml:space="preserve"> </w:t>
      </w:r>
      <w:r>
        <w:t xml:space="preserve">- Orofaryngoscopie: Mallampati-klasse (I–IV), tonsilgrootte (0–4+), palatum hoogte, uvula</w:t>
      </w:r>
      <w:r>
        <w:t xml:space="preserve"> </w:t>
      </w:r>
      <w:r>
        <w:t xml:space="preserve">- Retropalatale en retrolinguaal niveau beoordelen</w:t>
      </w:r>
    </w:p>
    <w:p>
      <w:pPr>
        <w:pStyle w:val="BodyText"/>
      </w:pPr>
      <w:r>
        <w:rPr>
          <w:bCs/>
          <w:b/>
        </w:rPr>
        <w:t xml:space="preserve">DISE (Drug-Induced Sleep Endoscopy):</w:t>
      </w:r>
      <w:r>
        <w:t xml:space="preserve"> </w:t>
      </w:r>
      <w:r>
        <w:t xml:space="preserve">- Sedatie met propofol of midazolam/fentanyl (TARGET-controlled infusion)</w:t>
      </w:r>
      <w:r>
        <w:t xml:space="preserve"> </w:t>
      </w:r>
      <w:r>
        <w:t xml:space="preserve">- Flexibele laryngoscopie bij gesedeerde patiënt met spontane ademhaling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VOTE-classificatie</w:t>
      </w:r>
      <w:r>
        <w:t xml:space="preserve">: Velum, Oropharynx (laterale wanden), Tongue base, Epiglottis</w:t>
      </w:r>
      <w:r>
        <w:t xml:space="preserve"> </w:t>
      </w:r>
      <w:r>
        <w:t xml:space="preserve">- Graden obstructie: 0 (geen), 1 (partieel), 2 (compleet)</w:t>
      </w:r>
      <w:r>
        <w:t xml:space="preserve"> </w:t>
      </w:r>
      <w:r>
        <w:t xml:space="preserve">- Patrooon: circumferentieel (rond), voor-achter, lateraal</w:t>
      </w:r>
      <w:r>
        <w:t xml:space="preserve"> </w:t>
      </w:r>
      <w:r>
        <w:t xml:space="preserve">- Indicatie: pre-chirurgisch (MRA, hypoglossus-stimulatie, UPPP) om niveau en patroon obstructie te bepalen; exclusiecriteria cirumferentiële collaps voor hypoglossus-stimulatie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OSA:</w:t>
      </w:r>
      <w:r>
        <w:t xml:space="preserve"> </w:t>
      </w:r>
      <w:r>
        <w:t xml:space="preserve">- ESS ≥18 + beroepschauffeur → rijverbod; melding CBR</w:t>
      </w:r>
      <w:r>
        <w:t xml:space="preserve"> </w:t>
      </w:r>
      <w:r>
        <w:t xml:space="preserve">- Centrale apneu’s dominant (Cheyne-Stokes) → hartfalen, CVA uitsluiten</w:t>
      </w:r>
      <w:r>
        <w:t xml:space="preserve"> </w:t>
      </w:r>
      <w:r>
        <w:t xml:space="preserve">- Zuiver obstructieve apneu’s zonder snurken bij slanke jonge vrouw → verdenking UARS of centrale oorzaak</w:t>
      </w:r>
      <w:r>
        <w:t xml:space="preserve"> </w:t>
      </w:r>
      <w:r>
        <w:t xml:space="preserve">- Desaturaties onder 80% frequent → ernstige cardiorespiratoire comorbiditeit</w:t>
      </w:r>
    </w:p>
    <w:bookmarkEnd w:id="160"/>
    <w:bookmarkStart w:id="161" w:name="module-5-behandeling-2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Niet-farmacologische basismaatregelen (altijd):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Gewichtsreductie</w:t>
      </w:r>
      <w:r>
        <w:t xml:space="preserve">: bij BMI &gt;30; 10% gewichtsafname kan AHI halveren; chirurgische bariatrie bij morbide obesitas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Alcoholbeperking</w:t>
      </w:r>
      <w:r>
        <w:t xml:space="preserve"> </w:t>
      </w:r>
      <w:r>
        <w:t xml:space="preserve">(sedateert larynxspierspanning), geen alcohol &lt;3 uur voor slaap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Slaapmedicatie beperken</w:t>
      </w:r>
      <w:r>
        <w:t xml:space="preserve"> </w:t>
      </w:r>
      <w:r>
        <w:t xml:space="preserve">(benzodiazepines, sederende antihistaminica)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Slaaphygiëne</w:t>
      </w:r>
      <w:r>
        <w:t xml:space="preserve">: regelmatige slaaptijden, niet te warm slaapkamer</w:t>
      </w:r>
      <w:r>
        <w:t xml:space="preserve"> </w:t>
      </w:r>
      <w:r>
        <w:t xml:space="preserve">- Behandeling allergische rhinitis / neusverstopping (ondersteunend)</w:t>
      </w:r>
    </w:p>
    <w:p>
      <w:pPr>
        <w:pStyle w:val="BodyText"/>
      </w:pPr>
      <w:r>
        <w:rPr>
          <w:bCs/>
          <w:b/>
        </w:rPr>
        <w:t xml:space="preserve">CPAP (Continuous Positive Airway Pressure):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Meest effectieve behandeling</w:t>
      </w:r>
      <w:r>
        <w:t xml:space="preserve">; eerste keus bij matig-ernstig OSA</w:t>
      </w:r>
      <w:r>
        <w:t xml:space="preserve"> </w:t>
      </w:r>
      <w:r>
        <w:t xml:space="preserve">- Pneumatische spalking bovenste luchtwegen; elimineert apneu’s en hypopneu’s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Titratie</w:t>
      </w:r>
      <w:r>
        <w:t xml:space="preserve">: auto-CPAP (APAP) thuis of handmatige titratie in lab; streefdruk bepalen</w:t>
      </w:r>
      <w:r>
        <w:t xml:space="preserve"> </w:t>
      </w:r>
      <w:r>
        <w:t xml:space="preserve">- Therapietrouw (compliance): ≥4 uur/nacht bij ≥70% nachten = geaccepteerd; gemiddeld ~50–70%</w:t>
      </w:r>
      <w:r>
        <w:t xml:space="preserve"> </w:t>
      </w:r>
      <w:r>
        <w:t xml:space="preserve">- Bijwerkingen: masker-ongemak, mond-droogheid, aerofagie, claustrofobie → maskerkeuze, bevochtiging</w:t>
      </w:r>
      <w:r>
        <w:t xml:space="preserve"> </w:t>
      </w:r>
      <w:r>
        <w:t xml:space="preserve">- Evaluatie: na 1–3 maanden (AHI restant via datauitlezing, compliance, symptomen)</w:t>
      </w:r>
    </w:p>
    <w:p>
      <w:pPr>
        <w:pStyle w:val="BodyText"/>
      </w:pPr>
      <w:r>
        <w:rPr>
          <w:bCs/>
          <w:b/>
        </w:rPr>
        <w:t xml:space="preserve">MRA (Mandibulair Repositie Apparaat):</w:t>
      </w:r>
      <w:r>
        <w:t xml:space="preserve"> </w:t>
      </w:r>
      <w:r>
        <w:t xml:space="preserve">- Ondermandibel naar voren plaatsen: ~10 mm protrusie; vergroot retroglossaal ruimte</w:t>
      </w:r>
      <w:r>
        <w:t xml:space="preserve"> </w:t>
      </w:r>
      <w:r>
        <w:t xml:space="preserve">- Indicaties: mild-matig OSA; CPAP-intolerantie; positioneel OSA</w:t>
      </w:r>
      <w:r>
        <w:t xml:space="preserve"> </w:t>
      </w:r>
      <w:r>
        <w:t xml:space="preserve">- Minder effectief dan CPAP (gemiddeld AHI-reductie 50–60% vs &gt;90% CPAP)</w:t>
      </w:r>
      <w:r>
        <w:t xml:space="preserve"> </w:t>
      </w:r>
      <w:r>
        <w:t xml:space="preserve">- Betere compliance dan CPAP (~70–80%)</w:t>
      </w:r>
      <w:r>
        <w:t xml:space="preserve"> </w:t>
      </w:r>
      <w:r>
        <w:t xml:space="preserve">- Bijwerkingen: tandpijn, kaakpijn, speekselvloed, occlusie-verandering (langdurig)</w:t>
      </w:r>
      <w:r>
        <w:t xml:space="preserve"> </w:t>
      </w:r>
      <w:r>
        <w:t xml:space="preserve">- Aanpassing: stapsgewijs naar maximale comfortabele protrusie; door gespecialiseerd tandarts/orthodontist</w:t>
      </w:r>
      <w:r>
        <w:t xml:space="preserve"> </w:t>
      </w:r>
      <w:r>
        <w:t xml:space="preserve">- Controle na 3 maanden: HSAT met MRA in situ</w:t>
      </w:r>
    </w:p>
    <w:p>
      <w:pPr>
        <w:pStyle w:val="BodyText"/>
      </w:pPr>
      <w:r>
        <w:rPr>
          <w:bCs/>
          <w:b/>
        </w:rPr>
        <w:t xml:space="preserve">Positietherapie:</w:t>
      </w:r>
      <w:r>
        <w:t xml:space="preserve"> </w:t>
      </w:r>
      <w:r>
        <w:t xml:space="preserve">- Indicatie: positioneel OSA (AHI rug &gt;2× AHI niet-rug)</w:t>
      </w:r>
      <w:r>
        <w:t xml:space="preserve"> </w:t>
      </w:r>
      <w:r>
        <w:t xml:space="preserve">- Methoden: positievibrator (NightBalance), rugkussen, tennisbal-trui</w:t>
      </w:r>
      <w:r>
        <w:t xml:space="preserve"> </w:t>
      </w:r>
      <w:r>
        <w:t xml:space="preserve">- Effectiviteit: goed bij strikt positionele patiënten</w:t>
      </w:r>
    </w:p>
    <w:p>
      <w:pPr>
        <w:pStyle w:val="BodyText"/>
      </w:pPr>
      <w:r>
        <w:rPr>
          <w:bCs/>
          <w:b/>
        </w:rPr>
        <w:t xml:space="preserve">Chirurgische behandeling: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03"/>
        <w:gridCol w:w="1896"/>
        <w:gridCol w:w="1227"/>
        <w:gridCol w:w="3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Niveau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 (AHI &lt;20 + &gt;50% reductie)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Tonsillectomie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Orofarynx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Tonsilhypertrofie als dominante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bij grote tonsils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UPPP</w:t>
            </w:r>
            <w:r>
              <w:t xml:space="preserve"> </w:t>
            </w:r>
            <w:r>
              <w:t xml:space="preserve">(Uvulopalatopharyngoplastiek)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Retropalataal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Velopharyngeale obstructie; Mallampati I–II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~40–50%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Expansion Sphincter Pharyngoplasty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Retropalataal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Laterale wand-collaps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TORS</w:t>
            </w:r>
            <w:r>
              <w:t xml:space="preserve"> </w:t>
            </w:r>
            <w:r>
              <w:t xml:space="preserve">(transoral robotic surgery) / coblatie tongbasis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Retrobasale 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Tongue base obstructie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~50–60% gecombineerd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Hyoidsuspensie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Tongbasis/hyoïd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Combinatie met UPPP of 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MMA</w:t>
            </w:r>
            <w:r>
              <w:t xml:space="preserve"> </w:t>
            </w:r>
            <w:r>
              <w:t xml:space="preserve">(maxillomandibulaire voorwaartse osteotomie)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Geheel bovenste luchtweg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 OSA; craniofaciaal; geschikt voor jong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~85–90% (beste chirurgische optie)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Hypoglossus-zenuwstimulatie</w:t>
            </w:r>
            <w:r>
              <w:t xml:space="preserve"> </w:t>
            </w:r>
            <w:r>
              <w:t xml:space="preserve">(Inspire, Nyxoah)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Tongbasis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Selectie: AHI 15–65, BMI &lt;35, geen cirumferentiële collaps op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~70–80% respons (AHI &lt;15)</w:t>
            </w:r>
          </w:p>
        </w:tc>
      </w:tr>
    </w:tbl>
    <w:p>
      <w:pPr>
        <w:pStyle w:val="BodyText"/>
      </w:pPr>
      <w:r>
        <w:rPr>
          <w:bCs/>
          <w:b/>
        </w:rPr>
        <w:t xml:space="preserve">Selectiecriteria hypoglossus-stimulatie (Inspire):</w:t>
      </w:r>
      <w:r>
        <w:t xml:space="preserve"> </w:t>
      </w:r>
      <w:r>
        <w:t xml:space="preserve">- AHI 15–65/uur</w:t>
      </w:r>
      <w:r>
        <w:t xml:space="preserve"> </w:t>
      </w:r>
      <w:r>
        <w:t xml:space="preserve">- BMI ≤35 (32 in sommige protocollen)</w:t>
      </w:r>
      <w:r>
        <w:t xml:space="preserve"> </w:t>
      </w:r>
      <w:r>
        <w:t xml:space="preserve">- Geen of minimale circumferentiële collaps velopharynx op DISE</w:t>
      </w:r>
      <w:r>
        <w:t xml:space="preserve"> </w:t>
      </w:r>
      <w:r>
        <w:t xml:space="preserve">- Leeftijd ≥22 jaar</w:t>
      </w:r>
      <w:r>
        <w:t xml:space="preserve"> </w:t>
      </w:r>
      <w:r>
        <w:t xml:space="preserve">- Falen of intolerantie CPAP</w:t>
      </w:r>
    </w:p>
    <w:p>
      <w:pPr>
        <w:pStyle w:val="BodyText"/>
      </w:pPr>
      <w:r>
        <w:rPr>
          <w:bCs/>
          <w:b/>
        </w:rPr>
        <w:t xml:space="preserve">Behandelduur en follow-up:</w:t>
      </w:r>
      <w:r>
        <w:t xml:space="preserve"> </w:t>
      </w:r>
      <w:r>
        <w:t xml:space="preserve">- CPAP: levenslang bij persisterende OSA; jaarlijkse controle</w:t>
      </w:r>
      <w:r>
        <w:t xml:space="preserve"> </w:t>
      </w:r>
      <w:r>
        <w:t xml:space="preserve">- MRA: levenslang; jaarlijkse controle kliniek + tandarts</w:t>
      </w:r>
      <w:r>
        <w:t xml:space="preserve"> </w:t>
      </w:r>
      <w:r>
        <w:t xml:space="preserve">- Post-chirurgie PSG: na 3–6 maanden om resultaat te objectiveren</w:t>
      </w:r>
      <w:r>
        <w:t xml:space="preserve"> </w:t>
      </w:r>
      <w:r>
        <w:t xml:space="preserve">- Bij gewichtsverandering (&gt;10%): reassessment diagnostiek en behandeling</w:t>
      </w:r>
    </w:p>
    <w:bookmarkEnd w:id="161"/>
    <w:bookmarkStart w:id="162" w:name="module-6-comorbiditeiten-rijgeschiktheid"/>
    <w:p>
      <w:pPr>
        <w:pStyle w:val="Heading3"/>
      </w:pPr>
      <w:r>
        <w:t xml:space="preserve">Module 6 — Comorbiditeiten &amp; rijgeschiktheid</w:t>
      </w:r>
    </w:p>
    <w:p>
      <w:pPr>
        <w:pStyle w:val="FirstParagraph"/>
      </w:pPr>
      <w:r>
        <w:rPr>
          <w:bCs/>
          <w:b/>
        </w:rPr>
        <w:t xml:space="preserve">Comorbiditeiten: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Hypertensie</w:t>
      </w:r>
      <w:r>
        <w:t xml:space="preserve">: aanwezig bij ~50% ernstige OSA; CPAP reduceert bloeddruk ~2–3 mmHg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DM type 2 / insulineresistentie</w:t>
      </w:r>
      <w:r>
        <w:t xml:space="preserve">: bidirectionele relatie; CPAP verbetert insulinegevoeligheid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Cardiovasculair</w:t>
      </w:r>
      <w:r>
        <w:t xml:space="preserve">: atriumfibrilleren (2× verhoogd risico), hartfalen, coronarialijden; CPAP bij AHI ≥15 + AF wordt aanbevolen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Depressie</w:t>
      </w:r>
      <w:r>
        <w:t xml:space="preserve">: significant verband; verbetering stemming na CPAP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Cognitieve achteruitgang</w:t>
      </w:r>
      <w:r>
        <w:t xml:space="preserve">: fragmentatie slaaep → cognitieve klachten; CPAP gedeeltelijk reversibel</w:t>
      </w:r>
    </w:p>
    <w:p>
      <w:pPr>
        <w:pStyle w:val="BodyText"/>
      </w:pPr>
      <w:r>
        <w:rPr>
          <w:bCs/>
          <w:b/>
        </w:rPr>
        <w:t xml:space="preserve">Rijgeschiktheid (CBR-regelgeving NL):</w:t>
      </w:r>
      <w:r>
        <w:t xml:space="preserve"> </w:t>
      </w:r>
      <w:r>
        <w:t xml:space="preserve">- Ernstige slaperigheid overdag + OSA: rijverbod tot adequate behandeling</w:t>
      </w:r>
      <w:r>
        <w:t xml:space="preserve"> </w:t>
      </w:r>
      <w:r>
        <w:t xml:space="preserve">- Na CPAP met bewezen goede compliance + verbetering: rijgeschiktheid kan hersteld worden</w:t>
      </w:r>
      <w:r>
        <w:t xml:space="preserve"> </w:t>
      </w:r>
      <w:r>
        <w:t xml:space="preserve">- Beroepschauffeurs: extra strenge normen; OSA verplicht te melden bij CBR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End w:id="164"/>
    <w:bookmarkStart w:id="188" w:name="pediatrische-kno"/>
    <w:p>
      <w:pPr>
        <w:pStyle w:val="Heading1"/>
      </w:pPr>
      <w:r>
        <w:t xml:space="preserve">PEDIATRISCHE KNO</w:t>
      </w:r>
    </w:p>
    <w:p>
      <w:r>
        <w:pict>
          <v:rect style="width:0;height:1.5pt" o:hralign="center" o:hrstd="t" o:hr="t"/>
        </w:pict>
      </w:r>
    </w:p>
    <w:bookmarkStart w:id="169" w:name="X3a5edc8ca0c82fc52e449b61dfaffd67c0fa9f2"/>
    <w:p>
      <w:pPr>
        <w:pStyle w:val="Heading2"/>
      </w:pPr>
      <w:r>
        <w:t xml:space="preserve">24. Audiologische zorg voor slechthorende kinderen van 0 tot 4 jaar</w:t>
      </w:r>
    </w:p>
    <w:bookmarkStart w:id="165" w:name="module-1-neonatale-gehoorscreening"/>
    <w:p>
      <w:pPr>
        <w:pStyle w:val="Heading3"/>
      </w:pPr>
      <w:r>
        <w:t xml:space="preserve">Module 1 — Neonatale gehoorscreening</w:t>
      </w:r>
    </w:p>
    <w:p>
      <w:pPr>
        <w:pStyle w:val="FirstParagraph"/>
      </w:pPr>
      <w:r>
        <w:rPr>
          <w:bCs/>
          <w:b/>
        </w:rPr>
        <w:t xml:space="preserve">1-3-6 regel (streefdoel):</w:t>
      </w:r>
      <w:r>
        <w:t xml:space="preserve"> </w:t>
      </w:r>
      <w:r>
        <w:t xml:space="preserve">- Screening voltooid binnen</w:t>
      </w:r>
      <w:r>
        <w:t xml:space="preserve"> </w:t>
      </w:r>
      <w:r>
        <w:rPr>
          <w:bCs/>
          <w:b/>
        </w:rPr>
        <w:t xml:space="preserve">1 maand</w:t>
      </w:r>
      <w:r>
        <w:t xml:space="preserve"> </w:t>
      </w:r>
      <w:r>
        <w:t xml:space="preserve">- Diagnostische bevestiging voor</w:t>
      </w:r>
      <w:r>
        <w:t xml:space="preserve"> </w:t>
      </w:r>
      <w:r>
        <w:rPr>
          <w:bCs/>
          <w:b/>
        </w:rPr>
        <w:t xml:space="preserve">3 maanden</w:t>
      </w:r>
      <w:r>
        <w:t xml:space="preserve"> </w:t>
      </w:r>
      <w:r>
        <w:t xml:space="preserve">- Interventie (hoortoestellen/CI) gestart voor</w:t>
      </w:r>
      <w:r>
        <w:t xml:space="preserve"> </w:t>
      </w:r>
      <w:r>
        <w:rPr>
          <w:bCs/>
          <w:b/>
        </w:rPr>
        <w:t xml:space="preserve">6 maanden</w:t>
      </w:r>
    </w:p>
    <w:p>
      <w:pPr>
        <w:pStyle w:val="BodyText"/>
      </w:pPr>
      <w:r>
        <w:rPr>
          <w:bCs/>
          <w:b/>
        </w:rPr>
        <w:t xml:space="preserve">Screeningsalgoritme: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OAE dag 3–5</w:t>
      </w:r>
      <w:r>
        <w:t xml:space="preserve">: test buitenste haarcellen; bij 2× refer → AABR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AABR dag 10–14</w:t>
      </w:r>
      <w:r>
        <w:t xml:space="preserve">: bij refer → verwijzing AC diagnostische ABR</w:t>
      </w:r>
      <w:r>
        <w:t xml:space="preserve"> </w:t>
      </w:r>
      <w:r>
        <w:t xml:space="preserve">3. AC: volledige diagnostiek (zie module 3)</w:t>
      </w:r>
    </w:p>
    <w:p>
      <w:pPr>
        <w:pStyle w:val="BodyText"/>
      </w:pPr>
      <w:r>
        <w:rPr>
          <w:bCs/>
          <w:b/>
        </w:rPr>
        <w:t xml:space="preserve">Valkuil</w:t>
      </w:r>
      <w:r>
        <w:t xml:space="preserve">: OAE-refer bij OME (vernixprop, middenoorvocht) → fout-positief; AABR retrocochleair sensitiever</w:t>
      </w:r>
    </w:p>
    <w:bookmarkEnd w:id="165"/>
    <w:bookmarkStart w:id="166" w:name="module-2-diagnostische-audiologie"/>
    <w:p>
      <w:pPr>
        <w:pStyle w:val="Heading3"/>
      </w:pPr>
      <w:r>
        <w:t xml:space="preserve">Module 2 — Diagnostische audiologie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900"/>
        <w:gridCol w:w="28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Diagnostische ABR</w:t>
            </w:r>
            <w:r>
              <w:t xml:space="preserve"> </w:t>
            </w:r>
            <w:r>
              <w:t xml:space="preserve">(toon-pip 500, 1000, 2000, 4000 Hz + 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Sedatie soms nodig; frequentiespecifiek drempelbepaling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Objectieve audiometrie; frequentiespecifiek; gelijktijdig beide oren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0–6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DPOAE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Haarcelfunctie cochlea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6–18 mnd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VRA</w:t>
            </w:r>
            <w:r>
              <w:t xml:space="preserve"> </w:t>
            </w:r>
            <w:r>
              <w:t xml:space="preserve">(Visual Reinforcement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Conditionering geluid → visuele beloning (animatie); frequentiespecifiek in geluidsveld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mnd–3 jaar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CPA</w:t>
            </w:r>
            <w:r>
              <w:t xml:space="preserve"> </w:t>
            </w:r>
            <w:r>
              <w:t xml:space="preserve">(Conditioned Play Audiometry)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Spelconditionering; blokje leggen op geluid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leeftijden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Tympanometrie (226 Hz volwassenen; 1000 Hz &lt;6 mnd!)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Hz-sonde voor zuigelingen</w:t>
            </w:r>
          </w:p>
        </w:tc>
      </w:tr>
    </w:tbl>
    <w:bookmarkEnd w:id="166"/>
    <w:bookmarkStart w:id="167" w:name="module-3-aanvullende-diagnostiek"/>
    <w:p>
      <w:pPr>
        <w:pStyle w:val="Heading3"/>
      </w:pPr>
      <w:r>
        <w:t xml:space="preserve">Module 3 — Aanvullende diagnostiek</w:t>
      </w:r>
    </w:p>
    <w:p>
      <w:pPr>
        <w:pStyle w:val="FirstParagraph"/>
      </w:pPr>
      <w:r>
        <w:rPr>
          <w:bCs/>
          <w:b/>
        </w:rPr>
        <w:t xml:space="preserve">Altijd bij bevestigd ≥40 dB SNHL: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temporaalbeen</w:t>
      </w:r>
      <w:r>
        <w:t xml:space="preserve"> </w:t>
      </w:r>
      <w:r>
        <w:t xml:space="preserve">(beide oren): cochleaire morfologie (Mondini, EVA/enlarged vestibular aqueduct), ossificatie post-meningitis, facialiskanaal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temporaalbeen/hersenen</w:t>
      </w:r>
      <w:r>
        <w:t xml:space="preserve">: cochleaire zenuw (diameter, aanwezigheid), myelinisatie, CHARGE-kenmerken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Genetisch onderzoek</w:t>
      </w:r>
      <w:r>
        <w:t xml:space="preserve">: GJB2 (connexine 26) sequencing; bij negatief → uitgebreid NGS-panel (200+ genen)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CMV-diagnostiek</w:t>
      </w:r>
      <w:r>
        <w:t xml:space="preserve">: urine/speeksel PCR ≤21 dagen postnataal; daarna Guthrie-kaart retrospectief (bewaard tot 5 jaar)</w:t>
      </w:r>
      <w:r>
        <w:t xml:space="preserve"> </w:t>
      </w:r>
      <w:r>
        <w:t xml:space="preserve">- Congenitale CMV + SNHL:</w:t>
      </w:r>
      <w:r>
        <w:t xml:space="preserve"> </w:t>
      </w:r>
      <w:r>
        <w:rPr>
          <w:bCs/>
          <w:b/>
        </w:rPr>
        <w:t xml:space="preserve">valganciclovir</w:t>
      </w:r>
      <w:r>
        <w:t xml:space="preserve"> </w:t>
      </w:r>
      <w:r>
        <w:t xml:space="preserve">16 mg/kg 2dd gedurende</w:t>
      </w:r>
      <w:r>
        <w:t xml:space="preserve"> </w:t>
      </w:r>
      <w:r>
        <w:rPr>
          <w:bCs/>
          <w:b/>
        </w:rPr>
        <w:t xml:space="preserve">6 maanden</w:t>
      </w:r>
      <w:r>
        <w:t xml:space="preserve"> </w:t>
      </w:r>
      <w:r>
        <w:t xml:space="preserve">→ beperkt verdere gehoorverslechtering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ECG</w:t>
      </w:r>
      <w:r>
        <w:t xml:space="preserve">: uitsluiten Jervell-Lange-Nielsen (verlengd QT → plotse dood!);</w:t>
      </w:r>
      <w:r>
        <w:t xml:space="preserve"> </w:t>
      </w:r>
      <w:r>
        <w:rPr>
          <w:bCs/>
          <w:b/>
        </w:rPr>
        <w:t xml:space="preserve">verplicht bij bilateraal ernstig congenitaal SNHL</w:t>
      </w:r>
      <w:r>
        <w:t xml:space="preserve"> </w:t>
      </w:r>
      <w:r>
        <w:t xml:space="preserve">- Oogheelkundig onderzoek: Usher-syndroom (retinitis pigmentosa pas manifest in 2e decade; electroretinogram)</w:t>
      </w:r>
      <w:r>
        <w:t xml:space="preserve"> </w:t>
      </w:r>
      <w:r>
        <w:t xml:space="preserve">- Schildklierfunctie (TSH, echo): Pendred-syndroom</w:t>
      </w:r>
      <w:r>
        <w:t xml:space="preserve"> </w:t>
      </w:r>
      <w:r>
        <w:t xml:space="preserve">- Urine: Alport (microhematurie)</w:t>
      </w:r>
    </w:p>
    <w:bookmarkEnd w:id="167"/>
    <w:bookmarkStart w:id="168" w:name="module-4-behandeling-vroege-interventie"/>
    <w:p>
      <w:pPr>
        <w:pStyle w:val="Heading3"/>
      </w:pPr>
      <w:r>
        <w:t xml:space="preserve">Module 4 — Behandeling &amp; vroege interventie</w:t>
      </w:r>
    </w:p>
    <w:p>
      <w:pPr>
        <w:pStyle w:val="FirstParagraph"/>
      </w:pPr>
      <w:r>
        <w:rPr>
          <w:bCs/>
          <w:b/>
        </w:rPr>
        <w:t xml:space="preserve">Hoortoestellen:</w:t>
      </w:r>
      <w:r>
        <w:t xml:space="preserve"> </w:t>
      </w:r>
      <w:r>
        <w:t xml:space="preserve">- Start zo snel mogelijk na diagnose; voorkeur &lt;3 maanden</w:t>
      </w:r>
      <w:r>
        <w:t xml:space="preserve"> </w:t>
      </w:r>
      <w:r>
        <w:t xml:space="preserve">- BTE (achter-het-oor): meest geschikt, ook bij kleine baby’s</w:t>
      </w:r>
      <w:r>
        <w:t xml:space="preserve"> </w:t>
      </w:r>
      <w:r>
        <w:t xml:space="preserve">- Real-ear measurement / coupler-meting: aanpassing verificatie</w:t>
      </w:r>
      <w:r>
        <w:t xml:space="preserve"> </w:t>
      </w:r>
      <w:r>
        <w:t xml:space="preserve">- Softband voor BCD bij microtie/atresie</w:t>
      </w:r>
      <w:r>
        <w:t xml:space="preserve"> </w:t>
      </w:r>
      <w:r>
        <w:t xml:space="preserve">- Follow-up: elke 3–6 maanden; audiologische controle groei toestel</w:t>
      </w:r>
    </w:p>
    <w:p>
      <w:pPr>
        <w:pStyle w:val="BodyText"/>
      </w:pPr>
      <w:r>
        <w:rPr>
          <w:bCs/>
          <w:b/>
        </w:rPr>
        <w:t xml:space="preserve">Cochleaire implantatie bij kinderen 0–4 jaar:</w:t>
      </w:r>
      <w:r>
        <w:t xml:space="preserve"> </w:t>
      </w:r>
      <w:r>
        <w:t xml:space="preserve">- Indicatie: PTA4 &gt;80 dB + onvoldoende baat hoortoestel na adequate proef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Optimale leeftijd: 8–12 maanden</w:t>
      </w:r>
      <w:r>
        <w:t xml:space="preserve"> </w:t>
      </w:r>
      <w:r>
        <w:t xml:space="preserve">(kritische periode corticale gehoorsontwikkeling)</w:t>
      </w:r>
      <w:r>
        <w:t xml:space="preserve"> </w:t>
      </w:r>
      <w:r>
        <w:t xml:space="preserve">- Meningitis-ossificatie: urgentie ≤4–6 weken na diagnose (ossificatie volledig na 3 maanden)</w:t>
      </w:r>
      <w:r>
        <w:t xml:space="preserve"> </w:t>
      </w:r>
      <w:r>
        <w:t xml:space="preserve">- Bilateraal CI: simultaan of met kort interval (max 1–2 jaar); bilateraal significant betere uitkomst</w:t>
      </w:r>
    </w:p>
    <w:p>
      <w:pPr>
        <w:pStyle w:val="BodyText"/>
      </w:pPr>
      <w:r>
        <w:rPr>
          <w:bCs/>
          <w:b/>
        </w:rPr>
        <w:t xml:space="preserve">Vroeg-interventie programma:</w:t>
      </w:r>
      <w:r>
        <w:t xml:space="preserve"> </w:t>
      </w:r>
      <w:r>
        <w:t xml:space="preserve">- Logopedische begeleiding: wekelijks thuis (vroegbehandeling) → auditieve training, taalstimulering</w:t>
      </w:r>
      <w:r>
        <w:t xml:space="preserve"> </w:t>
      </w:r>
      <w:r>
        <w:t xml:space="preserve">- Ouderbegeleiding/coaching: centrale rol; ouders als co-therapeuten</w:t>
      </w:r>
      <w:r>
        <w:t xml:space="preserve"> </w:t>
      </w:r>
      <w:r>
        <w:t xml:space="preserve">- Keuze communicatiemodus: gesproken taal, NmG (Nederlands met Gebaren), NGT; ouderlijk recht; professionals adviseren</w:t>
      </w:r>
      <w:r>
        <w:t xml:space="preserve"> </w:t>
      </w:r>
      <w:r>
        <w:t xml:space="preserve">- Dovenontmoeting: contact met dove ouders (NSDSK) kan waardevolle aanvulling zijn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4" w:name="obstructief-slaapapneu-osa-bij-kinderen"/>
    <w:p>
      <w:pPr>
        <w:pStyle w:val="Heading2"/>
      </w:pPr>
      <w:r>
        <w:t xml:space="preserve">25. Obstructief slaapapneu (OSA) bij kinderen</w:t>
      </w:r>
    </w:p>
    <w:bookmarkStart w:id="170" w:name="module-1-epidemiologie-pathofysiologie"/>
    <w:p>
      <w:pPr>
        <w:pStyle w:val="Heading3"/>
      </w:pPr>
      <w:r>
        <w:t xml:space="preserve">Module 1 — Epidemiologie &amp; pathofysiologie</w:t>
      </w:r>
    </w:p>
    <w:p>
      <w:pPr>
        <w:numPr>
          <w:ilvl w:val="0"/>
          <w:numId w:val="1044"/>
        </w:numPr>
        <w:pStyle w:val="Compact"/>
      </w:pPr>
      <w:r>
        <w:t xml:space="preserve">Prevalentie habitueel snurken: ~10–12% van kinderen</w:t>
      </w:r>
    </w:p>
    <w:p>
      <w:pPr>
        <w:numPr>
          <w:ilvl w:val="0"/>
          <w:numId w:val="1044"/>
        </w:numPr>
        <w:pStyle w:val="Compact"/>
      </w:pPr>
      <w:r>
        <w:t xml:space="preserve">OSA bij kinderen: ~1–5%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Voornaamste oorzaak</w:t>
      </w:r>
      <w:r>
        <w:t xml:space="preserve">: adenotonsillair hypertrofie (anders dan volwassenen)</w:t>
      </w:r>
    </w:p>
    <w:p>
      <w:pPr>
        <w:numPr>
          <w:ilvl w:val="0"/>
          <w:numId w:val="1044"/>
        </w:numPr>
        <w:pStyle w:val="Compact"/>
      </w:pPr>
      <w:r>
        <w:t xml:space="preserve">Andere oorzaken: obesitas, craniofaciale afwijkingen (Down, Pierre Robin, Apert, Treacher Collins), neuromusculair</w:t>
      </w:r>
    </w:p>
    <w:bookmarkEnd w:id="170"/>
    <w:bookmarkStart w:id="171" w:name="module-2-klinische-presentatie-1"/>
    <w:p>
      <w:pPr>
        <w:pStyle w:val="Heading3"/>
      </w:pPr>
      <w:r>
        <w:t xml:space="preserve">Module 2 — Klinische presentatie</w:t>
      </w:r>
    </w:p>
    <w:p>
      <w:pPr>
        <w:pStyle w:val="FirstParagraph"/>
      </w:pPr>
      <w:r>
        <w:rPr>
          <w:bCs/>
          <w:b/>
        </w:rPr>
        <w:t xml:space="preserve">Nacht:</w:t>
      </w:r>
      <w:r>
        <w:t xml:space="preserve"> </w:t>
      </w:r>
      <w:r>
        <w:t xml:space="preserve">- Habitueel snurken (&gt;3 nachten/week)</w:t>
      </w:r>
      <w:r>
        <w:t xml:space="preserve"> </w:t>
      </w:r>
      <w:r>
        <w:t xml:space="preserve">- Ademstops (door ouders waargenomen)</w:t>
      </w:r>
      <w:r>
        <w:t xml:space="preserve"> </w:t>
      </w:r>
      <w:r>
        <w:t xml:space="preserve">- Paradoxale thoraco-abdominale ademhaling (inspanningstoename)</w:t>
      </w:r>
      <w:r>
        <w:t xml:space="preserve"> </w:t>
      </w:r>
      <w:r>
        <w:t xml:space="preserve">- Rusteloze slaap, frequent wekken</w:t>
      </w:r>
      <w:r>
        <w:t xml:space="preserve"> </w:t>
      </w:r>
      <w:r>
        <w:t xml:space="preserve">- Nachtelijk zweten</w:t>
      </w:r>
      <w:r>
        <w:t xml:space="preserve"> </w:t>
      </w:r>
      <w:r>
        <w:t xml:space="preserve">- Enuresis nocturna (secundaire, bij eerder droge kinderen)</w:t>
      </w:r>
    </w:p>
    <w:p>
      <w:pPr>
        <w:pStyle w:val="BodyText"/>
      </w:pPr>
      <w:r>
        <w:rPr>
          <w:bCs/>
          <w:b/>
        </w:rPr>
        <w:t xml:space="preserve">Dag (verschilt van volwassenen!):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Hyperactiviteit, ADHD-achtig gedrag</w:t>
      </w:r>
      <w:r>
        <w:t xml:space="preserve"> </w:t>
      </w:r>
      <w:r>
        <w:t xml:space="preserve">(i.t.t. slaperigheid bij volwassenen)</w:t>
      </w:r>
      <w:r>
        <w:t xml:space="preserve"> </w:t>
      </w:r>
      <w:r>
        <w:t xml:space="preserve">- Aandachtstekort, slechte schoolprestaties</w:t>
      </w:r>
      <w:r>
        <w:t xml:space="preserve"> </w:t>
      </w:r>
      <w:r>
        <w:t xml:space="preserve">- Gedragsproblemen, prikkelbaarheid</w:t>
      </w:r>
      <w:r>
        <w:t xml:space="preserve"> </w:t>
      </w:r>
      <w:r>
        <w:t xml:space="preserve">- Mondademhaling, droge mond</w:t>
      </w:r>
      <w:r>
        <w:t xml:space="preserve"> </w:t>
      </w:r>
      <w:r>
        <w:t xml:space="preserve">- Groeiachterstand (verhoogd groeihormoon-metabolisme tijdens slaap verstoord)</w:t>
      </w:r>
    </w:p>
    <w:bookmarkEnd w:id="171"/>
    <w:bookmarkStart w:id="172" w:name="module-3-diagnostiek-7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Klinisch:</w:t>
      </w:r>
      <w:r>
        <w:t xml:space="preserve"> </w:t>
      </w:r>
      <w:r>
        <w:t xml:space="preserve">- Adenoïd: endoscopisch (nasofaryngoscopie), lateral X-ray (A/N ratio &lt;0.8 suggestief voor obstructie)</w:t>
      </w:r>
      <w:r>
        <w:t xml:space="preserve"> </w:t>
      </w:r>
      <w:r>
        <w:t xml:space="preserve">- Tonsils: Brodsky-schaal 0–4+</w:t>
      </w:r>
      <w:r>
        <w:t xml:space="preserve"> </w:t>
      </w:r>
      <w:r>
        <w:t xml:space="preserve">- Mallampati, palatum, kaak</w:t>
      </w:r>
      <w:r>
        <w:t xml:space="preserve"> </w:t>
      </w:r>
      <w:r>
        <w:t xml:space="preserve">- BMI, groeicurve</w:t>
      </w:r>
      <w:r>
        <w:t xml:space="preserve"> </w:t>
      </w:r>
      <w:r>
        <w:t xml:space="preserve">- Craniofaciale kenmerken</w:t>
      </w:r>
      <w:r>
        <w:t xml:space="preserve"> </w:t>
      </w:r>
      <w:r>
        <w:t xml:space="preserve">- Neurologisch (Down-syndroom: extra atlantoaxiale instabiliteit)</w:t>
      </w:r>
    </w:p>
    <w:p>
      <w:pPr>
        <w:pStyle w:val="BodyText"/>
      </w:pPr>
      <w:r>
        <w:rPr>
          <w:bCs/>
          <w:b/>
        </w:rPr>
        <w:t xml:space="preserve">PSG (goudstandaard kinderen):</w:t>
      </w:r>
      <w:r>
        <w:t xml:space="preserve"> </w:t>
      </w:r>
      <w:r>
        <w:t xml:space="preserve">- AHI grenswaarden kinderen: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AHI &gt;1/uur = abnormaal</w:t>
      </w:r>
      <w:r>
        <w:t xml:space="preserve"> </w:t>
      </w:r>
      <w:r>
        <w:t xml:space="preserve">(verschil met volwassenen! waar grens 5/uur)</w:t>
      </w:r>
      <w:r>
        <w:t xml:space="preserve"> </w:t>
      </w:r>
      <w:r>
        <w:t xml:space="preserve">- Mild: AHI 1–5/uur</w:t>
      </w:r>
      <w:r>
        <w:t xml:space="preserve"> </w:t>
      </w:r>
      <w:r>
        <w:t xml:space="preserve">- Matig: AHI 5–10/uur</w:t>
      </w:r>
      <w:r>
        <w:t xml:space="preserve"> </w:t>
      </w:r>
      <w:r>
        <w:t xml:space="preserve">- Ernstig: AHI &gt;10/uur ÓF SpO2-nadir &lt;90%</w:t>
      </w:r>
      <w:r>
        <w:t xml:space="preserve"> </w:t>
      </w:r>
      <w:r>
        <w:t xml:space="preserve">- PSG ook voor behandeling: bij complexe gevallen, Down-syndroom, craniofaciale anomalie, morbide obesitas, jonge kinderen &lt;3 jaar</w:t>
      </w:r>
    </w:p>
    <w:p>
      <w:pPr>
        <w:pStyle w:val="BodyText"/>
      </w:pPr>
      <w:r>
        <w:rPr>
          <w:bCs/>
          <w:b/>
        </w:rPr>
        <w:t xml:space="preserve">Wanneer PSG voor chirurgie:</w:t>
      </w:r>
      <w:r>
        <w:t xml:space="preserve"> </w:t>
      </w:r>
      <w:r>
        <w:t xml:space="preserve">- AHI bepalen als klinisch beeld onduidelijk</w:t>
      </w:r>
      <w:r>
        <w:t xml:space="preserve"> </w:t>
      </w:r>
      <w:r>
        <w:t xml:space="preserve">- Hoog-risico groepen (zie boven): altijd PSG pre-operatief</w:t>
      </w:r>
      <w:r>
        <w:t xml:space="preserve"> </w:t>
      </w:r>
      <w:r>
        <w:t xml:space="preserve">- PSG post-operatief: bij persisterende klachten, hoog pre-operatief AHI, obese kinderen, syndromale kinderen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OSA kinderen:</w:t>
      </w:r>
      <w:r>
        <w:t xml:space="preserve"> </w:t>
      </w:r>
      <w:r>
        <w:t xml:space="preserve">- SpO2-nadir &lt;80% → ernstige OSA; risco pulmonale hypertensie; snelle behandeling</w:t>
      </w:r>
      <w:r>
        <w:t xml:space="preserve"> </w:t>
      </w:r>
      <w:r>
        <w:t xml:space="preserve">- Cor pulmonale (rechterhartbelasting, oedeem) → chronisch ernstig onbehandeld OSA</w:t>
      </w:r>
      <w:r>
        <w:t xml:space="preserve"> </w:t>
      </w:r>
      <w:r>
        <w:t xml:space="preserve">- Neurocognitieve achteruitgang, groeiachterstand</w:t>
      </w:r>
      <w:r>
        <w:t xml:space="preserve"> </w:t>
      </w:r>
      <w:r>
        <w:t xml:space="preserve">- Apneu’s bij neonaat of zuigeling → centrale apneu uitsluiten; polysomnografie</w:t>
      </w:r>
    </w:p>
    <w:bookmarkEnd w:id="172"/>
    <w:bookmarkStart w:id="173" w:name="module-4-behandeling-4"/>
    <w:p>
      <w:pPr>
        <w:pStyle w:val="Heading3"/>
      </w:pPr>
      <w:r>
        <w:t xml:space="preserve">Module 4 — Behandeling</w:t>
      </w:r>
    </w:p>
    <w:p>
      <w:pPr>
        <w:pStyle w:val="FirstParagraph"/>
      </w:pPr>
      <w:r>
        <w:rPr>
          <w:bCs/>
          <w:b/>
        </w:rPr>
        <w:t xml:space="preserve">Adenotonsillectomie (AT):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Eerste keus</w:t>
      </w:r>
      <w:r>
        <w:t xml:space="preserve"> </w:t>
      </w:r>
      <w:r>
        <w:t xml:space="preserve">bij adenotonsillair hypertrofie</w:t>
      </w:r>
      <w:r>
        <w:t xml:space="preserve"> </w:t>
      </w:r>
      <w:r>
        <w:t xml:space="preserve">- Curatie: ~70–80% van kinderen; hogere succeskans bij slechtere OSA pre-operatief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Factoren geassocieerd met resterend OSA</w:t>
      </w:r>
      <w:r>
        <w:t xml:space="preserve">: obesitas, ernstig pre-operatief OSA (AHI &gt;10), Down-syndroom, jonge leeftijd (&lt;3 jaar), craniofaciaal</w:t>
      </w:r>
      <w:r>
        <w:t xml:space="preserve"> </w:t>
      </w:r>
      <w:r>
        <w:t xml:space="preserve">- Adenoïdectomie alleen: onvoldoende bij OSA; altijd inclusief tonsillectomie</w:t>
      </w:r>
      <w:r>
        <w:t xml:space="preserve"> </w:t>
      </w:r>
      <w:r>
        <w:t xml:space="preserve">- Post-operatieve opname: bij kinderen &lt;3 jaar, AHI &gt;10, SpO2 &lt;80% pre-operatief, of bijkomende comorbiditeit</w:t>
      </w:r>
    </w:p>
    <w:p>
      <w:pPr>
        <w:pStyle w:val="BodyText"/>
      </w:pPr>
      <w:r>
        <w:rPr>
          <w:bCs/>
          <w:b/>
        </w:rPr>
        <w:t xml:space="preserve">INCS + montelukast:</w:t>
      </w:r>
      <w:r>
        <w:t xml:space="preserve"> </w:t>
      </w:r>
      <w:r>
        <w:t xml:space="preserve">- Mometason neusdruppels/spray 2dd + montelukast 4 mg 1dd (≥2 jaar)</w:t>
      </w:r>
      <w:r>
        <w:t xml:space="preserve"> </w:t>
      </w:r>
      <w:r>
        <w:t xml:space="preserve">- Indicatie: mild OSA (AHI 1–5), kleine adenoïd/tonsils, als initieel alternatief of bij contra-indicatie chirurgie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Duur</w:t>
      </w:r>
      <w:r>
        <w:t xml:space="preserve">: 3 maanden; re-evaluatie</w:t>
      </w:r>
    </w:p>
    <w:p>
      <w:pPr>
        <w:pStyle w:val="BodyText"/>
      </w:pPr>
      <w:r>
        <w:rPr>
          <w:bCs/>
          <w:b/>
        </w:rPr>
        <w:t xml:space="preserve">CPAP bij kinderen:</w:t>
      </w:r>
      <w:r>
        <w:t xml:space="preserve"> </w:t>
      </w:r>
      <w:r>
        <w:t xml:space="preserve">- Indicatie: bij persistent of residueel OSA na AT; contra-indicatie AT</w:t>
      </w:r>
      <w:r>
        <w:t xml:space="preserve"> </w:t>
      </w:r>
      <w:r>
        <w:t xml:space="preserve">- Speciale kindermaskers en -interfaces; compliance uitdagend</w:t>
      </w:r>
      <w:r>
        <w:t xml:space="preserve"> </w:t>
      </w:r>
      <w:r>
        <w:t xml:space="preserve">- Strak follow-up regime; ouderondersteuning</w:t>
      </w:r>
    </w:p>
    <w:p>
      <w:pPr>
        <w:pStyle w:val="BodyText"/>
      </w:pPr>
      <w:r>
        <w:rPr>
          <w:bCs/>
          <w:b/>
        </w:rPr>
        <w:t xml:space="preserve">Orthodontie/RME (Rapid Maxillary Expansion):</w:t>
      </w:r>
      <w:r>
        <w:t xml:space="preserve"> </w:t>
      </w:r>
      <w:r>
        <w:t xml:space="preserve">- Hoge palatinale boog, smal palatum → verwijding via expansieplaat</w:t>
      </w:r>
      <w:r>
        <w:t xml:space="preserve"> </w:t>
      </w:r>
      <w:r>
        <w:t xml:space="preserve">- Kinderen 6–12 jaar; vergroot nasale luchtweg</w:t>
      </w:r>
      <w:r>
        <w:t xml:space="preserve"> </w:t>
      </w:r>
      <w:r>
        <w:t xml:space="preserve">- Aanvullende behandeling</w:t>
      </w:r>
    </w:p>
    <w:p>
      <w:pPr>
        <w:pStyle w:val="BodyText"/>
      </w:pPr>
      <w:r>
        <w:rPr>
          <w:bCs/>
          <w:b/>
        </w:rPr>
        <w:t xml:space="preserve">Obesitas:</w:t>
      </w:r>
      <w:r>
        <w:t xml:space="preserve"> </w:t>
      </w:r>
      <w:r>
        <w:t xml:space="preserve">- Gewichtsreductie via kinderdiëtist en leefstijlprogramma als aanvulling</w:t>
      </w:r>
    </w:p>
    <w:p>
      <w:pPr>
        <w:pStyle w:val="BodyText"/>
      </w:pPr>
      <w:r>
        <w:rPr>
          <w:bCs/>
          <w:b/>
        </w:rPr>
        <w:t xml:space="preserve">Follow-up:</w:t>
      </w:r>
      <w:r>
        <w:t xml:space="preserve"> </w:t>
      </w:r>
      <w:r>
        <w:t xml:space="preserve">- Klinische re-evaluatie na AT: 6–8 weken (klachten, gewicht, gedrag)</w:t>
      </w:r>
      <w:r>
        <w:t xml:space="preserve"> </w:t>
      </w:r>
      <w:r>
        <w:t xml:space="preserve">- PSG na AT: bij hoog-risico groepen altijd</w:t>
      </w:r>
      <w:r>
        <w:t xml:space="preserve"> </w:t>
      </w:r>
      <w:r>
        <w:t xml:space="preserve">- Lange termijn: audiogram (OME post-AT), groeicurve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9" w:name="X316a6742429cbf1b1b15696489bebf99245eb50"/>
    <w:p>
      <w:pPr>
        <w:pStyle w:val="Heading2"/>
      </w:pPr>
      <w:r>
        <w:t xml:space="preserve">26. Otitis Media bij kinderen in de tweede lijn</w:t>
      </w:r>
    </w:p>
    <w:bookmarkStart w:id="175" w:name="module-1-classificatie-otitis-media"/>
    <w:p>
      <w:pPr>
        <w:pStyle w:val="Heading3"/>
      </w:pPr>
      <w:r>
        <w:t xml:space="preserve">Module 1 — Classificatie otitis media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AOM</w:t>
            </w:r>
            <w:r>
              <w:t xml:space="preserve"> </w:t>
            </w:r>
            <w:r>
              <w:t xml:space="preserve">(acute otitis media)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Acuut ontstaan, tekenen infectie, bevindingen TM (bolvormig/rood/otorroe)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OME</w:t>
            </w:r>
            <w:r>
              <w:t xml:space="preserve"> </w:t>
            </w:r>
            <w:r>
              <w:t xml:space="preserve">(otitis media met effusie = lijmoor/secretoire 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Vocht achter intact TM zonder acute infectieklachten &gt;3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Recidiverende AOM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 episoden in 6 mnd of ≥4 in 12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Chronische otitis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Persisterende TM-perforatie, vaak met otorroe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 aparte richtlijn</w:t>
            </w:r>
          </w:p>
        </w:tc>
      </w:tr>
    </w:tbl>
    <w:bookmarkEnd w:id="175"/>
    <w:bookmarkStart w:id="176" w:name="module-2-acute-otitis-media-aom"/>
    <w:p>
      <w:pPr>
        <w:pStyle w:val="Heading3"/>
      </w:pPr>
      <w:r>
        <w:t xml:space="preserve">Module 2 — Acute Otitis Media (AOM)</w:t>
      </w:r>
    </w:p>
    <w:p>
      <w:pPr>
        <w:pStyle w:val="FirstParagraph"/>
      </w:pPr>
      <w:r>
        <w:rPr>
          <w:bCs/>
          <w:b/>
        </w:rPr>
        <w:t xml:space="preserve">Diagnostische criteria (alle drie vereist):</w:t>
      </w:r>
      <w:r>
        <w:t xml:space="preserve"> </w:t>
      </w:r>
      <w:r>
        <w:t xml:space="preserve">1. Acuut begin (&lt;48 uur) van klachten (oorpijn, koorts, huilen)</w:t>
      </w:r>
      <w:r>
        <w:t xml:space="preserve"> </w:t>
      </w:r>
      <w:r>
        <w:t xml:space="preserve">2. Aanwezigheid middenoorvocht (bolvormig/bombé TM, verminderde TM-mobiliteit, otorroe)</w:t>
      </w:r>
      <w:r>
        <w:t xml:space="preserve"> </w:t>
      </w:r>
      <w:r>
        <w:t xml:space="preserve">3. Tekenen van acute ontsteking (rood/bolvormig TM, otorroe)</w:t>
      </w:r>
    </w:p>
    <w:p>
      <w:pPr>
        <w:pStyle w:val="BodyText"/>
      </w:pPr>
      <w:r>
        <w:rPr>
          <w:bCs/>
          <w:b/>
        </w:rPr>
        <w:t xml:space="preserve">Verwekkers</w:t>
      </w:r>
      <w:r>
        <w:t xml:space="preserve">: S. pneumoniae, H. influenzae (niet-typeerbaar), M. catarrhalis; viraal (RSV, influenza)</w:t>
      </w:r>
    </w:p>
    <w:p>
      <w:pPr>
        <w:pStyle w:val="BodyText"/>
      </w:pPr>
      <w:r>
        <w:rPr>
          <w:bCs/>
          <w:b/>
        </w:rPr>
        <w:t xml:space="preserve">Antibioticabeleid: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760"/>
        <w:gridCol w:w="28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&lt;6 maanden leeftijd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Bilateraal AOM 6 mnd–2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Otorroe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 (+ lokaal ofloxacine druppels)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Ernstig ziek, koorts &gt;39°C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Altijd antibiotica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Immuundeficiëntie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Watchful waiting 48–72 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 jaar, unilateraal,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Zekerheidsrecept meegeven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Falen amoxicilline</w:t>
            </w:r>
            <w:r>
              <w:t xml:space="preserve"> </w:t>
            </w:r>
            <w:r>
              <w:t xml:space="preserve">(48–72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Amoxicilline-clavulanaat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Penicilline-allergie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Azithromycine of cotrimoxazol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Amoxicilline dosis</w:t>
      </w:r>
      <w:r>
        <w:t xml:space="preserve">: 40 mg/kg/dag 3dd (hoge dosis: 80–90 mg/kg/dag bij resistentie-risico)</w:t>
      </w:r>
    </w:p>
    <w:p>
      <w:pPr>
        <w:pStyle w:val="BodyText"/>
      </w:pPr>
      <w:r>
        <w:rPr>
          <w:bCs/>
          <w:b/>
        </w:rPr>
        <w:t xml:space="preserve">Myringotomie bij AOM:</w:t>
      </w:r>
      <w:r>
        <w:t xml:space="preserve"> </w:t>
      </w:r>
      <w:r>
        <w:t xml:space="preserve">- Bij hevige oorpijn niet reagerend op analgetica</w:t>
      </w:r>
      <w:r>
        <w:t xml:space="preserve"> </w:t>
      </w:r>
      <w:r>
        <w:t xml:space="preserve">- Bij complicaties: mastoïditis, facialis-uitval, meningitis</w:t>
      </w:r>
      <w:r>
        <w:t xml:space="preserve"> </w:t>
      </w:r>
      <w:r>
        <w:t xml:space="preserve">- Als bacteriologisch materiaal gewenst</w:t>
      </w:r>
    </w:p>
    <w:bookmarkEnd w:id="176"/>
    <w:bookmarkStart w:id="177" w:name="module-3-otitis-media-met-effusie-ome"/>
    <w:p>
      <w:pPr>
        <w:pStyle w:val="Heading3"/>
      </w:pPr>
      <w:r>
        <w:t xml:space="preserve">Module 3 — Otitis Media met Effusie (OME)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vocht achter intact TM &gt;3 maanden, zonder tekenen AOM.</w:t>
      </w:r>
    </w:p>
    <w:p>
      <w:pPr>
        <w:pStyle w:val="BodyText"/>
      </w:pPr>
      <w:r>
        <w:rPr>
          <w:bCs/>
          <w:b/>
        </w:rPr>
        <w:t xml:space="preserve">Epidemiologie</w:t>
      </w:r>
      <w:r>
        <w:t xml:space="preserve">: 60–80% van kinderen OME voor 4e jaar; spontaan herstel binnen 3 mnd bij 60–80%.</w:t>
      </w:r>
    </w:p>
    <w:p>
      <w:pPr>
        <w:pStyle w:val="BodyText"/>
      </w:pPr>
      <w:r>
        <w:rPr>
          <w:bCs/>
          <w:b/>
        </w:rPr>
        <w:t xml:space="preserve">Diagnostiek:</w:t>
      </w:r>
      <w:r>
        <w:t xml:space="preserve"> </w:t>
      </w:r>
      <w:r>
        <w:t xml:space="preserve">- Otoscopie (pneumatische otoscopie): TM geretralieerd, matter, vloeistofniveau, verminderde mobiliteit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Tympanometrie</w:t>
      </w:r>
      <w:r>
        <w:t xml:space="preserve">: type B-curve (vlak; geen piek) bij effusie; type C (piek &lt;−100 daPa) bij negatieve druk</w:t>
      </w:r>
      <w:r>
        <w:t xml:space="preserve"> </w:t>
      </w:r>
      <w:r>
        <w:t xml:space="preserve">- Audiogram: conductief verlies (gemiddeld 25–30 dB bij OME)</w:t>
      </w:r>
      <w:r>
        <w:t xml:space="preserve"> </w:t>
      </w:r>
      <w:r>
        <w:t xml:space="preserve">- OAE: afwezig bij OME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Watchful waiting 3 maanden</w:t>
      </w:r>
      <w:r>
        <w:t xml:space="preserve"> </w:t>
      </w:r>
      <w:r>
        <w:t xml:space="preserve">(spontaan herstel frequent)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Geen antibiotica</w:t>
      </w:r>
      <w:r>
        <w:t xml:space="preserve"> </w:t>
      </w:r>
      <w:r>
        <w:t xml:space="preserve">als routine bij OME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Autoinflatie</w:t>
      </w:r>
      <w:r>
        <w:t xml:space="preserve"> </w:t>
      </w:r>
      <w:r>
        <w:t xml:space="preserve">(Otovent-ballon): 3× per dag; matige evidence; goedkoop, veilig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INCS</w:t>
      </w:r>
      <w:r>
        <w:t xml:space="preserve"> </w:t>
      </w:r>
      <w:r>
        <w:t xml:space="preserve">(intranasale corticosteroïden): bij comorbide allergie + OME: tijdelijk voordeel</w:t>
      </w:r>
    </w:p>
    <w:p>
      <w:pPr>
        <w:pStyle w:val="BodyText"/>
      </w:pPr>
      <w:r>
        <w:rPr>
          <w:bCs/>
          <w:b/>
        </w:rPr>
        <w:t xml:space="preserve">Indicaties trommelvliesbuisjes (grommets):</w:t>
      </w:r>
      <w:r>
        <w:t xml:space="preserve"> </w:t>
      </w:r>
      <w:r>
        <w:t xml:space="preserve">- OME persisteert</w:t>
      </w:r>
      <w:r>
        <w:t xml:space="preserve"> </w:t>
      </w:r>
      <w:r>
        <w:rPr>
          <w:bCs/>
          <w:b/>
        </w:rPr>
        <w:t xml:space="preserve">&gt;3 maanden</w:t>
      </w:r>
      <w:r>
        <w:t xml:space="preserve"> </w:t>
      </w:r>
      <w:r>
        <w:t xml:space="preserve">ÉN gehoorverlies ≥</w:t>
      </w:r>
      <w:r>
        <w:rPr>
          <w:bCs/>
          <w:b/>
        </w:rPr>
        <w:t xml:space="preserve">25–30 dB</w:t>
      </w:r>
      <w:r>
        <w:t xml:space="preserve"> </w:t>
      </w:r>
      <w:r>
        <w:t xml:space="preserve">- Spraak-/taalontwikkelingsachterstand geassocieerd met OME</w:t>
      </w:r>
      <w:r>
        <w:t xml:space="preserve"> </w:t>
      </w:r>
      <w:r>
        <w:t xml:space="preserve">- Structurele TM-afwijkingen (retractiezak, atelectase)</w:t>
      </w:r>
      <w:r>
        <w:t xml:space="preserve"> </w:t>
      </w:r>
      <w:r>
        <w:t xml:space="preserve">- Balanceer- of gedragsproblemen</w:t>
      </w:r>
      <w:r>
        <w:t xml:space="preserve"> </w:t>
      </w:r>
      <w:r>
        <w:t xml:space="preserve">- Bilaterale OME bij kind met sensorische beperking (visueel, cognitief)</w:t>
      </w:r>
    </w:p>
    <w:p>
      <w:pPr>
        <w:pStyle w:val="BodyText"/>
      </w:pPr>
      <w:r>
        <w:rPr>
          <w:bCs/>
          <w:b/>
        </w:rPr>
        <w:t xml:space="preserve">Soorten buisjes:</w:t>
      </w:r>
      <w:r>
        <w:t xml:space="preserve"> </w:t>
      </w:r>
      <w:r>
        <w:t xml:space="preserve">- Korte-verblijftijd (Shah/Shephard): 6–12 maanden; dan spontaan extrusie; meest gebruikt</w:t>
      </w:r>
      <w:r>
        <w:t xml:space="preserve"> </w:t>
      </w:r>
      <w:r>
        <w:t xml:space="preserve">- Lange-verblijftijd (T-buis/Goode): bij recidiverende OME na extrusie kortetermijnbuis; verhoogd perforatie-risico</w:t>
      </w:r>
    </w:p>
    <w:p>
      <w:pPr>
        <w:pStyle w:val="BodyText"/>
      </w:pPr>
      <w:r>
        <w:rPr>
          <w:bCs/>
          <w:b/>
        </w:rPr>
        <w:t xml:space="preserve">Gecombineerde ingreep</w:t>
      </w:r>
      <w:r>
        <w:t xml:space="preserve">: buisjes + adenoïdectomie bij ≥2 jaar met recidiverende OME of obstructief adenoïd: significant betere uitkomst dan buisjes alleen (adenoïd als reservoiir voor H.influenzae/S.pneumoniae).</w:t>
      </w:r>
    </w:p>
    <w:bookmarkEnd w:id="177"/>
    <w:bookmarkStart w:id="178" w:name="module-4-complicaties-otitis-media"/>
    <w:p>
      <w:pPr>
        <w:pStyle w:val="Heading3"/>
      </w:pPr>
      <w:r>
        <w:t xml:space="preserve">Module 4 — Complicaties otitis media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Complicaties AOM → dringende actie: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95"/>
        <w:gridCol w:w="2096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Behandeling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Mastoïditis acuta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Retroauriculaire zwelling, fluctuatie, oorschelp uitstaan, koorts, ernstige pijn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myringotomie + drainage; bij abces: mastoïdectomie; CT altijd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Petrositis</w:t>
            </w:r>
            <w:r>
              <w:t xml:space="preserve"> </w:t>
            </w:r>
            <w:r>
              <w:t xml:space="preserve">(Gradenigo)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Dipolopsie (N. VI), retroorbitale pijn, otorroe (triade)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Labyrintitis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SNHL + duizeligheid; acuut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corticosteroïden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Meningitis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Koorts, hoofdpijn, meningeale prikkeling, druk fontanel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Spoedneurologie; IV antibiotica; 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Epiduraal/subduraal abces / hersenabces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Neurologische uitval, bewustzijnsverandering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Neurochirurgie; IV antibiotica; CT/MRI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Sinus sigmoideus-trombose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Koorts, hoofdpijn, sepsis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anticoagulantia; mastoïdectomie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Facialis-uitval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VII-parese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antibiotica; myringotomie; mastoïdectomie bij cholesteatoom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Cholesteatoom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Chronische otorroe, conductief verlies, granulaties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Chirurgie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7" w:name="ziekten-van-adenoïd-en-tonsillen-zatt"/>
    <w:p>
      <w:pPr>
        <w:pStyle w:val="Heading2"/>
      </w:pPr>
      <w:r>
        <w:t xml:space="preserve">27. Ziekten van adenoïd en tonsillen (ZATT)</w:t>
      </w:r>
    </w:p>
    <w:bookmarkStart w:id="180" w:name="module-1-anatomie-fysiologie"/>
    <w:p>
      <w:pPr>
        <w:pStyle w:val="Heading3"/>
      </w:pPr>
      <w:r>
        <w:t xml:space="preserve">Module 1 — Anatomie &amp; fysiologie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Waldeyer’s ring</w:t>
      </w:r>
      <w:r>
        <w:t xml:space="preserve">: lymfatische ring van naso- en orofarynx: adenoïd (faringitis), palatinaire tonsillen, linguaaltonsil, tubaire tonsillen</w:t>
      </w:r>
    </w:p>
    <w:p>
      <w:pPr>
        <w:numPr>
          <w:ilvl w:val="0"/>
          <w:numId w:val="1045"/>
        </w:numPr>
        <w:pStyle w:val="Compact"/>
      </w:pPr>
      <w:r>
        <w:t xml:space="preserve">Immunologische functie: antigeen-presentatie, IgA-productie; grootste immunologische activiteit 4–10 jaar; daarna involutie</w:t>
      </w:r>
    </w:p>
    <w:bookmarkEnd w:id="180"/>
    <w:bookmarkStart w:id="181" w:name="Xb349e7051a211c9523890b9f8e5fe9c765d5330"/>
    <w:p>
      <w:pPr>
        <w:pStyle w:val="Heading3"/>
      </w:pPr>
      <w:r>
        <w:t xml:space="preserve">Module 2 — Acute en recidiverende tonsillitis</w:t>
      </w:r>
    </w:p>
    <w:p>
      <w:pPr>
        <w:pStyle w:val="FirstParagraph"/>
      </w:pPr>
      <w:r>
        <w:rPr>
          <w:bCs/>
          <w:b/>
        </w:rPr>
        <w:t xml:space="preserve">Verwekkers</w:t>
      </w:r>
      <w:r>
        <w:t xml:space="preserve">: GABHS (groep-A bètahemolytische streptokokken, S. pyogenes) ~30%; viraal (adenovirus, EBV) ~70%.</w:t>
      </w:r>
    </w:p>
    <w:p>
      <w:pPr>
        <w:pStyle w:val="BodyText"/>
      </w:pPr>
      <w:r>
        <w:rPr>
          <w:bCs/>
          <w:b/>
        </w:rPr>
        <w:t xml:space="preserve">Centor/McIsaac-score</w:t>
      </w:r>
      <w:r>
        <w:t xml:space="preserve"> </w:t>
      </w:r>
      <w:r>
        <w:t xml:space="preserve">(voor antibiotica-beslissing bij keelpijn):</w:t>
      </w:r>
      <w:r>
        <w:t xml:space="preserve"> </w:t>
      </w:r>
      <w:r>
        <w:t xml:space="preserve">| Criterium | Punten |</w:t>
      </w:r>
      <w:r>
        <w:t xml:space="preserve"> </w:t>
      </w:r>
      <w:r>
        <w:t xml:space="preserve">|———–|——–|</w:t>
      </w:r>
      <w:r>
        <w:t xml:space="preserve"> </w:t>
      </w:r>
      <w:r>
        <w:t xml:space="preserve">| Exsudaat op tonsillen | +1 |</w:t>
      </w:r>
      <w:r>
        <w:t xml:space="preserve"> </w:t>
      </w:r>
      <w:r>
        <w:t xml:space="preserve">| Gevoelige anterieure cervicale lymfeklieren | +1 |</w:t>
      </w:r>
      <w:r>
        <w:t xml:space="preserve"> </w:t>
      </w:r>
      <w:r>
        <w:t xml:space="preserve">| Koorts &gt;38°C | +1 |</w:t>
      </w:r>
      <w:r>
        <w:t xml:space="preserve"> </w:t>
      </w:r>
      <w:r>
        <w:t xml:space="preserve">| Geen hoest | +1 |</w:t>
      </w:r>
      <w:r>
        <w:t xml:space="preserve"> </w:t>
      </w:r>
      <w:r>
        <w:t xml:space="preserve">| Leeftijd 3–14 jaar | +1 |</w:t>
      </w:r>
      <w:r>
        <w:t xml:space="preserve"> </w:t>
      </w:r>
      <w:r>
        <w:t xml:space="preserve">| Leeftijd 15–44 jaar | 0 |</w:t>
      </w:r>
      <w:r>
        <w:t xml:space="preserve"> </w:t>
      </w:r>
      <w:r>
        <w:t xml:space="preserve">| Leeftijd ≥45 jaar | −1 |</w:t>
      </w:r>
    </w:p>
    <w:p>
      <w:pPr>
        <w:numPr>
          <w:ilvl w:val="0"/>
          <w:numId w:val="1046"/>
        </w:numPr>
        <w:pStyle w:val="Compact"/>
      </w:pPr>
      <w:r>
        <w:t xml:space="preserve">Score ≥4: direct antibiotica of sneltest</w:t>
      </w:r>
    </w:p>
    <w:p>
      <w:pPr>
        <w:numPr>
          <w:ilvl w:val="0"/>
          <w:numId w:val="1046"/>
        </w:numPr>
        <w:pStyle w:val="Compact"/>
      </w:pPr>
      <w:r>
        <w:t xml:space="preserve">Score 2–3: sneltest (keel-RADT of kweek); antibiotica bij positief</w:t>
      </w:r>
    </w:p>
    <w:p>
      <w:pPr>
        <w:numPr>
          <w:ilvl w:val="0"/>
          <w:numId w:val="1046"/>
        </w:numPr>
        <w:pStyle w:val="Compact"/>
      </w:pPr>
      <w:r>
        <w:t xml:space="preserve">Score 0–1: geen antibiotica; viraal</w:t>
      </w:r>
    </w:p>
    <w:p>
      <w:pPr>
        <w:pStyle w:val="FirstParagraph"/>
      </w:pPr>
      <w:r>
        <w:rPr>
          <w:bCs/>
          <w:b/>
        </w:rPr>
        <w:t xml:space="preserve">Antibiotische behandeling GABHS: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Eerste keus</w:t>
      </w:r>
      <w:r>
        <w:t xml:space="preserve">: fenoxymethylpenicilline (penicilline V) 2× 500 mg/dag (kinderen gewichtsaangepast),</w:t>
      </w:r>
      <w:r>
        <w:t xml:space="preserve"> </w:t>
      </w:r>
      <w:r>
        <w:rPr>
          <w:bCs/>
          <w:b/>
        </w:rPr>
        <w:t xml:space="preserve">10 dagen</w:t>
      </w:r>
      <w:r>
        <w:t xml:space="preserve"> </w:t>
      </w:r>
      <w:r>
        <w:t xml:space="preserve">(niet korter → eradicatie; voorkomen reumatische koorts)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Cave</w:t>
      </w:r>
      <w:r>
        <w:t xml:space="preserve">: bij verdenking mononucleosis infectiosa (EBV):</w:t>
      </w:r>
      <w:r>
        <w:t xml:space="preserve"> </w:t>
      </w:r>
      <w:r>
        <w:rPr>
          <w:bCs/>
          <w:b/>
        </w:rPr>
        <w:t xml:space="preserve">geen amoxicilline/ampicilline</w:t>
      </w:r>
      <w:r>
        <w:t xml:space="preserve"> </w:t>
      </w:r>
      <w:r>
        <w:t xml:space="preserve">→ gegeneraliseerd maculo-papuleus exantheem in &gt;90%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Allergie penicilline</w:t>
      </w:r>
      <w:r>
        <w:t xml:space="preserve">: erythromycine, claritromycine, azithromycine (5 dgn)</w:t>
      </w:r>
    </w:p>
    <w:p>
      <w:pPr>
        <w:pStyle w:val="BodyText"/>
      </w:pPr>
      <w:r>
        <w:rPr>
          <w:bCs/>
          <w:b/>
        </w:rPr>
        <w:t xml:space="preserve">Infectieuze mononucleosis:</w:t>
      </w:r>
      <w:r>
        <w:t xml:space="preserve"> </w:t>
      </w:r>
      <w:r>
        <w:t xml:space="preserve">- EBV-infectie; adolescenten/jonge volwassenen; koorts, faryngitis, lymfadenopathie, moe, splenomegalie</w:t>
      </w:r>
      <w:r>
        <w:t xml:space="preserve"> </w:t>
      </w:r>
      <w:r>
        <w:t xml:space="preserve">- Diagnostiek: mono-test (monospot), EBV IgM/IgG; leverenzymen</w:t>
      </w:r>
      <w:r>
        <w:t xml:space="preserve"> </w:t>
      </w:r>
      <w:r>
        <w:t xml:space="preserve">- Behandeling: rust, analgetica; corticosteroïden bij ernstige obstructie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Miltruptuur</w:t>
      </w:r>
      <w:r>
        <w:t xml:space="preserve">: sporadisch; contactsporten vermijden 3–4 weken</w:t>
      </w:r>
      <w:r>
        <w:t xml:space="preserve"> </w:t>
      </w:r>
      <w:r>
        <w:t xml:space="preserve">- Tracheotomie bij ernstige luchtwegobstructie door massale tonsilhypertrofie</w:t>
      </w:r>
    </w:p>
    <w:bookmarkEnd w:id="181"/>
    <w:bookmarkStart w:id="182" w:name="module-3-tonsillectomie-indicaties"/>
    <w:p>
      <w:pPr>
        <w:pStyle w:val="Heading3"/>
      </w:pPr>
      <w:r>
        <w:t xml:space="preserve">Module 3 — Tonsillectomie-indicaties</w:t>
      </w:r>
    </w:p>
    <w:p>
      <w:pPr>
        <w:pStyle w:val="FirstParagraph"/>
      </w:pPr>
      <w:r>
        <w:rPr>
          <w:bCs/>
          <w:b/>
        </w:rPr>
        <w:t xml:space="preserve">Paradise criteria (recidiverende tonsillitis):</w:t>
      </w:r>
      <w:r>
        <w:t xml:space="preserve"> </w:t>
      </w:r>
      <w:r>
        <w:t xml:space="preserve">- ≥</w:t>
      </w:r>
      <w:r>
        <w:rPr>
          <w:bCs/>
          <w:b/>
        </w:rPr>
        <w:t xml:space="preserve">7</w:t>
      </w:r>
      <w:r>
        <w:t xml:space="preserve"> </w:t>
      </w:r>
      <w:r>
        <w:t xml:space="preserve">episoden in het</w:t>
      </w:r>
      <w:r>
        <w:t xml:space="preserve"> </w:t>
      </w:r>
      <w:r>
        <w:rPr>
          <w:bCs/>
          <w:b/>
        </w:rPr>
        <w:t xml:space="preserve">afgelopen jaar</w:t>
      </w:r>
      <w:r>
        <w:t xml:space="preserve">, ÓF</w:t>
      </w:r>
      <w:r>
        <w:t xml:space="preserve"> </w:t>
      </w:r>
      <w:r>
        <w:t xml:space="preserve">- ≥</w:t>
      </w:r>
      <w:r>
        <w:rPr>
          <w:bCs/>
          <w:b/>
        </w:rPr>
        <w:t xml:space="preserve">5</w:t>
      </w:r>
      <w:r>
        <w:t xml:space="preserve"> </w:t>
      </w:r>
      <w:r>
        <w:t xml:space="preserve">episoden per jaar in de</w:t>
      </w:r>
      <w:r>
        <w:t xml:space="preserve"> </w:t>
      </w:r>
      <w:r>
        <w:rPr>
          <w:bCs/>
          <w:b/>
        </w:rPr>
        <w:t xml:space="preserve">afgelopen 2 jaar</w:t>
      </w:r>
      <w:r>
        <w:t xml:space="preserve">, ÓF</w:t>
      </w:r>
      <w:r>
        <w:t xml:space="preserve"> </w:t>
      </w:r>
      <w:r>
        <w:t xml:space="preserve">- ≥</w:t>
      </w:r>
      <w:r>
        <w:rPr>
          <w:bCs/>
          <w:b/>
        </w:rPr>
        <w:t xml:space="preserve">3</w:t>
      </w:r>
      <w:r>
        <w:t xml:space="preserve"> </w:t>
      </w:r>
      <w:r>
        <w:t xml:space="preserve">episoden per jaar in de</w:t>
      </w:r>
      <w:r>
        <w:t xml:space="preserve"> </w:t>
      </w:r>
      <w:r>
        <w:rPr>
          <w:bCs/>
          <w:b/>
        </w:rPr>
        <w:t xml:space="preserve">afgelopen 3 jaar</w:t>
      </w:r>
      <w:r>
        <w:t xml:space="preserve"> </w:t>
      </w:r>
      <w:r>
        <w:t xml:space="preserve">- Episoden moeten klinisch gedocumenteerd zijn (koorts &gt;38°C, cervicale lymfadenopathie, tonsillair exsudaat, positieve GABHS-test/kweek)</w:t>
      </w:r>
    </w:p>
    <w:p>
      <w:pPr>
        <w:pStyle w:val="BodyText"/>
      </w:pPr>
      <w:r>
        <w:rPr>
          <w:bCs/>
          <w:b/>
        </w:rPr>
        <w:t xml:space="preserve">Aanvullende indicaties tonsillectomie:</w:t>
      </w:r>
      <w:r>
        <w:t xml:space="preserve"> </w:t>
      </w:r>
      <w:r>
        <w:t xml:space="preserve">- Chronische tonsilitis niet reagerend op antibiotica</w:t>
      </w:r>
      <w:r>
        <w:t xml:space="preserve"> </w:t>
      </w:r>
      <w:r>
        <w:t xml:space="preserve">- Peritonsillair abces (recidief of à chaud bij ernstige gevallen)</w:t>
      </w:r>
      <w:r>
        <w:t xml:space="preserve"> </w:t>
      </w:r>
      <w:r>
        <w:t xml:space="preserve">- OSA door tonsilhypertrofie → adenotonsillectomie</w:t>
      </w:r>
      <w:r>
        <w:t xml:space="preserve"> </w:t>
      </w:r>
      <w:r>
        <w:t xml:space="preserve">- Tonsilhypertrofie met slikproblemen of stemverandering</w:t>
      </w:r>
      <w:r>
        <w:t xml:space="preserve"> </w:t>
      </w:r>
      <w:r>
        <w:t xml:space="preserve">- Verdenking maligniteit (asymmetrische tonsil → biopsie/excisie)</w:t>
      </w:r>
      <w:r>
        <w:t xml:space="preserve"> </w:t>
      </w:r>
      <w:r>
        <w:t xml:space="preserve">- PFAPA (zie module 5)</w:t>
      </w:r>
    </w:p>
    <w:bookmarkEnd w:id="182"/>
    <w:bookmarkStart w:id="183" w:name="module-4-peritonsillair-abces-pta"/>
    <w:p>
      <w:pPr>
        <w:pStyle w:val="Heading3"/>
      </w:pPr>
      <w:r>
        <w:t xml:space="preserve">Module 4 — Peritonsillair abces (PTA)</w:t>
      </w:r>
    </w:p>
    <w:p>
      <w:pPr>
        <w:pStyle w:val="FirstParagraph"/>
      </w:pPr>
      <w:r>
        <w:rPr>
          <w:bCs/>
          <w:b/>
        </w:rPr>
        <w:t xml:space="preserve">Kliniek:</w:t>
      </w:r>
      <w:r>
        <w:t xml:space="preserve"> </w:t>
      </w:r>
      <w:r>
        <w:t xml:space="preserve">- Unilaterale keelpijn en pijn bij slikken</w:t>
      </w:r>
      <w:r>
        <w:t xml:space="preserve"> </w:t>
      </w:r>
      <w:r>
        <w:t xml:space="preserve">- Uvula gedeveerd naar contralateraal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Hot potato voice</w:t>
      </w:r>
      <w:r>
        <w:t xml:space="preserve">”</w:t>
      </w:r>
      <w:r>
        <w:t xml:space="preserve"> </w:t>
      </w:r>
      <w:r>
        <w:t xml:space="preserve">(aardappelstem)</w:t>
      </w:r>
      <w:r>
        <w:t xml:space="preserve"> </w:t>
      </w:r>
      <w:r>
        <w:t xml:space="preserve">- Trismus (m. pterygoideus-prikkeling)</w:t>
      </w:r>
      <w:r>
        <w:t xml:space="preserve"> </w:t>
      </w:r>
      <w:r>
        <w:t xml:space="preserve">- Ptyalisme (speekselvloed)</w:t>
      </w:r>
      <w:r>
        <w:t xml:space="preserve"> </w:t>
      </w:r>
      <w:r>
        <w:t xml:space="preserve">- Koorts, ziek-zijn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Punctie-aspiratie</w:t>
      </w:r>
      <w:r>
        <w:t xml:space="preserve">: eenvoudig, herhaalbaar; diagnostisch én therapeutisch; kweek pus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Incisie en drainage</w:t>
      </w:r>
      <w:r>
        <w:t xml:space="preserve">: ruimer; definitiever; poliklinisch of onder sedatie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IV antibiotica</w:t>
      </w:r>
      <w:r>
        <w:t xml:space="preserve">: benzylpenicilline 4× 1 MIE IV → amoxicilline-clavulanaat PO bij ontslag;</w:t>
      </w:r>
      <w:r>
        <w:t xml:space="preserve"> </w:t>
      </w:r>
      <w:r>
        <w:rPr>
          <w:bCs/>
          <w:b/>
        </w:rPr>
        <w:t xml:space="preserve">7–10 dagen totaal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Tonsillectomie à chaud</w:t>
      </w:r>
      <w:r>
        <w:t xml:space="preserve"> </w:t>
      </w:r>
      <w:r>
        <w:t xml:space="preserve">(tijdens acute fase): bij falen punctie/drainage; recidief PTA; EBV-mononucleosis-PTA; verdenking maligniteit</w:t>
      </w:r>
    </w:p>
    <w:p>
      <w:pPr>
        <w:pStyle w:val="BodyText"/>
      </w:pPr>
      <w:r>
        <w:rPr>
          <w:bCs/>
          <w:b/>
        </w:rPr>
        <w:t xml:space="preserve">Recidiefkans na drainage-behandeling</w:t>
      </w:r>
      <w:r>
        <w:t xml:space="preserve">: ~10–15% →</w:t>
      </w:r>
      <w:r>
        <w:t xml:space="preserve"> </w:t>
      </w:r>
      <w:r>
        <w:rPr>
          <w:bCs/>
          <w:b/>
        </w:rPr>
        <w:t xml:space="preserve">intervalltonsillectomie</w:t>
      </w:r>
      <w:r>
        <w:t xml:space="preserve"> </w:t>
      </w:r>
      <w:r>
        <w:t xml:space="preserve">na 6 weken overwegen na 1e PTA (discutabel) of absoluut na 2e PTA.</w:t>
      </w:r>
    </w:p>
    <w:bookmarkEnd w:id="183"/>
    <w:bookmarkStart w:id="184" w:name="module-5-pfapa-syndroom"/>
    <w:p>
      <w:pPr>
        <w:pStyle w:val="Heading3"/>
      </w:pPr>
      <w:r>
        <w:t xml:space="preserve">Module 5 — PFAPA-syndroom</w:t>
      </w:r>
    </w:p>
    <w:p>
      <w:pPr>
        <w:pStyle w:val="FirstParagraph"/>
      </w:pPr>
      <w:r>
        <w:rPr>
          <w:bCs/>
          <w:b/>
        </w:rPr>
        <w:t xml:space="preserve">Definitie</w:t>
      </w:r>
      <w:r>
        <w:t xml:space="preserve">: Periodic Fever, Aphthous stomatitis, Pharyngitis, Adenitis</w:t>
      </w:r>
    </w:p>
    <w:p>
      <w:pPr>
        <w:pStyle w:val="BodyText"/>
      </w:pPr>
      <w:r>
        <w:rPr>
          <w:bCs/>
          <w:b/>
        </w:rPr>
        <w:t xml:space="preserve">Diagnostische criteria:</w:t>
      </w:r>
      <w:r>
        <w:t xml:space="preserve"> </w:t>
      </w:r>
      <w:r>
        <w:t xml:space="preserve">- Regelmatig terugkerende koortsepisoden (cyclus 3–8 weken; zeer regelmatig)</w:t>
      </w:r>
      <w:r>
        <w:t xml:space="preserve"> </w:t>
      </w:r>
      <w:r>
        <w:t xml:space="preserve">- Onset &lt;5 jaar; normale groei en ontwikkeling tussen episoden</w:t>
      </w:r>
      <w:r>
        <w:t xml:space="preserve"> </w:t>
      </w:r>
      <w:r>
        <w:t xml:space="preserve">- ≥1 van: afteuze stomatitis, cervicale lymfadenopathie, faryngitis</w:t>
      </w:r>
      <w:r>
        <w:t xml:space="preserve"> </w:t>
      </w:r>
      <w:r>
        <w:t xml:space="preserve">- Geen infectieuze verwekker</w:t>
      </w:r>
      <w:r>
        <w:t xml:space="preserve"> </w:t>
      </w:r>
      <w:r>
        <w:t xml:space="preserve">- Volledig asymptomatisch tussen episoden</w:t>
      </w:r>
    </w:p>
    <w:p>
      <w:pPr>
        <w:pStyle w:val="BodyText"/>
      </w:pPr>
      <w:r>
        <w:rPr>
          <w:bCs/>
          <w:b/>
        </w:rPr>
        <w:t xml:space="preserve">Behandeling: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Corticosteroïden</w:t>
      </w:r>
      <w:r>
        <w:t xml:space="preserve"> </w:t>
      </w:r>
      <w:r>
        <w:t xml:space="preserve">(1–2 mg/kg prednison eenmalig bij begin episode): abortief; episode breekt af binnen 24–48 uur;</w:t>
      </w:r>
      <w:r>
        <w:t xml:space="preserve"> </w:t>
      </w:r>
      <w:r>
        <w:rPr>
          <w:bCs/>
          <w:b/>
        </w:rPr>
        <w:t xml:space="preserve">recidieflast neemt niet af, interval kan korter worden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Tonsillectomie</w:t>
      </w:r>
      <w:r>
        <w:t xml:space="preserve">: curatief bij &gt;90%; geïndiceerd bij frequente episoden, ernstige impact, lange duur</w:t>
      </w:r>
      <w:r>
        <w:t xml:space="preserve"> </w:t>
      </w:r>
      <w:r>
        <w:t xml:space="preserve">- Cimetidine (H2-antagonist): enige bewijs voor reductie episodenfrequentie (alternatief)</w:t>
      </w:r>
    </w:p>
    <w:p>
      <w:pPr>
        <w:pStyle w:val="BodyText"/>
      </w:pPr>
      <w:r>
        <w:rPr>
          <w:bCs/>
          <w:b/>
        </w:rPr>
        <w:t xml:space="preserve">Differentiaaldiagnose periodiek koorts:</w:t>
      </w:r>
      <w:r>
        <w:t xml:space="preserve"> </w:t>
      </w:r>
      <w:r>
        <w:t xml:space="preserve">- FMF (familiaire mediterrane koorts): MEFV-gen; serositis (peritoneale/pleurale aanvallen); etnisch (Mediterraan)</w:t>
      </w:r>
      <w:r>
        <w:t xml:space="preserve"> </w:t>
      </w:r>
      <w:r>
        <w:t xml:space="preserve">- HIDS (hyperimmunoglobulinemie D): MVK-gen; verhoogd IgD; buikpijn, gewrichtspijn</w:t>
      </w:r>
      <w:r>
        <w:t xml:space="preserve"> </w:t>
      </w:r>
      <w:r>
        <w:t xml:space="preserve">- TRAPS (TNF-receptor associated periodic syndrome): TNFRSF1A-gen; langere aanvallen; serositis</w:t>
      </w:r>
    </w:p>
    <w:bookmarkEnd w:id="184"/>
    <w:bookmarkStart w:id="185" w:name="module-6-adenoïd-adenoïdectomie"/>
    <w:p>
      <w:pPr>
        <w:pStyle w:val="Heading3"/>
      </w:pPr>
      <w:r>
        <w:t xml:space="preserve">Module 6 — Adenoïd &amp; adenoïdectomie</w:t>
      </w:r>
    </w:p>
    <w:p>
      <w:pPr>
        <w:pStyle w:val="FirstParagraph"/>
      </w:pPr>
      <w:r>
        <w:rPr>
          <w:bCs/>
          <w:b/>
        </w:rPr>
        <w:t xml:space="preserve">Indicaties adenoïdectomie:</w:t>
      </w:r>
      <w:r>
        <w:t xml:space="preserve"> </w:t>
      </w:r>
      <w:r>
        <w:t xml:space="preserve">- Nasale obstructie/persistente mondademhaling door adenoïdhypertrofie</w:t>
      </w:r>
      <w:r>
        <w:t xml:space="preserve"> </w:t>
      </w:r>
      <w:r>
        <w:t xml:space="preserve">- Chronische/recidiverende otitis media met effusie (gecombineerd met buisjes bij ≥2 jaar)</w:t>
      </w:r>
      <w:r>
        <w:t xml:space="preserve"> </w:t>
      </w:r>
      <w:r>
        <w:t xml:space="preserve">- Recidiverende AOM (als microbiologisch reservoir)</w:t>
      </w:r>
      <w:r>
        <w:t xml:space="preserve"> </w:t>
      </w:r>
      <w:r>
        <w:t xml:space="preserve">- Bijdrage aan OSA/slaapverstoord ademen</w:t>
      </w:r>
      <w:r>
        <w:t xml:space="preserve"> </w:t>
      </w:r>
      <w:r>
        <w:t xml:space="preserve">- Chronische rhinosinusitis bij kind</w:t>
      </w:r>
    </w:p>
    <w:p>
      <w:pPr>
        <w:pStyle w:val="BodyText"/>
      </w:pPr>
      <w:r>
        <w:rPr>
          <w:bCs/>
          <w:b/>
        </w:rPr>
        <w:t xml:space="preserve">Diagnostiek adenoïd:</w:t>
      </w:r>
      <w:r>
        <w:t xml:space="preserve"> </w:t>
      </w:r>
      <w:r>
        <w:t xml:space="preserve">- Nasale endoscopie (nasofibroscoop): meest betrouwbaar</w:t>
      </w:r>
      <w:r>
        <w:t xml:space="preserve"> </w:t>
      </w:r>
      <w:r>
        <w:t xml:space="preserve">- Lateral X-ray hoofd: A/N-ratio (adenoïd/nasopharynx ratio) &lt;0.8 = significante hypertrofie</w:t>
      </w:r>
      <w:r>
        <w:t xml:space="preserve"> </w:t>
      </w:r>
      <w:r>
        <w:t xml:space="preserve">- Tympanometrie (tubaire dysfunctie bij adenoïdhypertrofie)</w:t>
      </w:r>
    </w:p>
    <w:p>
      <w:pPr>
        <w:pStyle w:val="BodyText"/>
      </w:pPr>
      <w:r>
        <w:rPr>
          <w:bCs/>
          <w:b/>
        </w:rPr>
        <w:t xml:space="preserve">Techniek adenoïdectomie:</w:t>
      </w:r>
      <w:r>
        <w:t xml:space="preserve"> </w:t>
      </w:r>
      <w:r>
        <w:t xml:space="preserve">- Curettage (klassiek): geblindeerde curettage; risico onvolledige verwijdering</w:t>
      </w:r>
      <w:r>
        <w:t xml:space="preserve"> </w:t>
      </w:r>
      <w:r>
        <w:t xml:space="preserve">- Endoscopisch (met coblatie of electrocauterisatie): beter overzicht; minder onvolledige verwijdering</w:t>
      </w:r>
    </w:p>
    <w:bookmarkEnd w:id="185"/>
    <w:bookmarkStart w:id="186" w:name="X4b103f53d0102a222033b284e0eb17a229afb9d"/>
    <w:p>
      <w:pPr>
        <w:pStyle w:val="Heading3"/>
      </w:pPr>
      <w:r>
        <w:t xml:space="preserve">Module 7 — Tonsillectomie: technieken &amp; complicaties</w:t>
      </w:r>
    </w:p>
    <w:p>
      <w:pPr>
        <w:pStyle w:val="FirstParagraph"/>
      </w:pPr>
      <w:r>
        <w:rPr>
          <w:bCs/>
          <w:b/>
        </w:rPr>
        <w:t xml:space="preserve">Technieken:</w:t>
      </w:r>
      <w:r>
        <w:t xml:space="preserve"> </w:t>
      </w:r>
      <w:r>
        <w:t xml:space="preserve">| Techniek | Principe | Voordelen | Nadelen |</w:t>
      </w:r>
      <w:r>
        <w:t xml:space="preserve"> </w:t>
      </w:r>
      <w:r>
        <w:t xml:space="preserve">|———|———|———-|———|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Koude dissectie</w:t>
      </w:r>
      <w:r>
        <w:t xml:space="preserve"> </w:t>
      </w:r>
      <w:r>
        <w:t xml:space="preserve">(cold steel) | Klassieke extracapsulaire excisie | Laag nabloedrisico intra-operatief | Meer bloedverlies dan monopolaire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Elektrochirurgie</w:t>
      </w:r>
      <w:r>
        <w:t xml:space="preserve"> </w:t>
      </w:r>
      <w:r>
        <w:t xml:space="preserve">(mono/bipolair) | Coagulatie + dissectie | Minder bloedverlies per-operatief | Meer postoperatieve pijn (thermisch letsel)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Coblatie</w:t>
      </w:r>
      <w:r>
        <w:t xml:space="preserve"> </w:t>
      </w:r>
      <w:r>
        <w:t xml:space="preserve">| Radiofrequentie-plasma in NaCl; laag thermisch letsel | Minder pijn postoperatief; goede hemostase | Kosten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Tonsillotomie</w:t>
      </w:r>
      <w:r>
        <w:t xml:space="preserve"> </w:t>
      </w:r>
      <w:r>
        <w:t xml:space="preserve">(intracapsulaire T) | Partiële verwijdering (80–90% massa); kapsel intact | Minder pijn, minder bloeding, sneller herstel; geschikt bij obstructieve indicatie | Risico recidief tonsillitis (~5–10%); niet bij recidiverende tonsillitis als indicatie |</w:t>
      </w:r>
    </w:p>
    <w:p>
      <w:pPr>
        <w:pStyle w:val="BodyText"/>
      </w:pPr>
      <w:r>
        <w:rPr>
          <w:bCs/>
          <w:b/>
        </w:rPr>
        <w:t xml:space="preserve">Complicaties:</w:t>
      </w:r>
      <w:r>
        <w:t xml:space="preserve"> </w:t>
      </w:r>
      <w:r>
        <w:t xml:space="preserve">| Complicatie | Timing | Frequentie | Behandeling |</w:t>
      </w:r>
      <w:r>
        <w:t xml:space="preserve"> </w:t>
      </w:r>
      <w:r>
        <w:t xml:space="preserve">|————|——–|———–|————-|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Primaire nabloeding</w:t>
      </w:r>
      <w:r>
        <w:t xml:space="preserve"> </w:t>
      </w:r>
      <w:r>
        <w:t xml:space="preserve">| &lt;24 uur; per-operatief | Zeldzaam (&lt;0.5%) | Revisie OK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Secundaire nabloeding</w:t>
      </w:r>
      <w:r>
        <w:t xml:space="preserve"> </w:t>
      </w:r>
      <w:r>
        <w:t xml:space="preserve">| Dag</w:t>
      </w:r>
      <w:r>
        <w:t xml:space="preserve"> </w:t>
      </w:r>
      <w:r>
        <w:rPr>
          <w:bCs/>
          <w:b/>
        </w:rPr>
        <w:t xml:space="preserve">5–10</w:t>
      </w:r>
      <w:r>
        <w:t xml:space="preserve"> </w:t>
      </w:r>
      <w:r>
        <w:t xml:space="preserve">(loslaten korst) | 0.5–5% | Conservatief (spoelen); bij aanhoudend: revisie narcose; transfusie bij ernstige bloeding |</w:t>
      </w:r>
      <w:r>
        <w:t xml:space="preserve"> </w:t>
      </w:r>
      <w:r>
        <w:t xml:space="preserve">| Pijn | 1–14 dagen | Vrijwel altijd | Paracetamol, ibuprofen; opiaten bij kinderen beperkt (codeïne: gecontra-indiceerd &lt;12 jr!) |</w:t>
      </w:r>
      <w:r>
        <w:t xml:space="preserve"> </w:t>
      </w:r>
      <w:r>
        <w:t xml:space="preserve">| Dehydratie | Vroeg postoperatief | Frequent | Adequate vochtinname bewaken; IV bij noodzaak |</w:t>
      </w:r>
      <w:r>
        <w:t xml:space="preserve"> </w:t>
      </w:r>
      <w:r>
        <w:t xml:space="preserve">| Velopharyngeale insufficiëntie (VPI) | Laat; zeldzaam | &lt;1% | Logopedist; soms chirurgische correctie |</w:t>
      </w:r>
      <w:r>
        <w:t xml:space="preserve"> </w:t>
      </w:r>
      <w:r>
        <w:t xml:space="preserve">| Nasale regurgitatie | Vroeg | Zeldzaam | Doorgaans tijdelijk |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Secundaire nabloeding: patiënt moet direct contact opnemen; niet afwachten!</w:t>
      </w:r>
      <w:r>
        <w:t xml:space="preserve"> </w:t>
      </w:r>
      <w:r>
        <w:t xml:space="preserve">- Elke actieve nabloeding: beoordeling op SEH</w:t>
      </w:r>
      <w:r>
        <w:t xml:space="preserve"> </w:t>
      </w:r>
      <w:r>
        <w:t xml:space="preserve">- Tonsillaire bloeding kan acuut ernstig zijn (grote vaatproximiteit)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End w:id="188"/>
    <w:bookmarkStart w:id="214" w:name="hoofd-halschirurgie"/>
    <w:p>
      <w:pPr>
        <w:pStyle w:val="Heading1"/>
      </w:pPr>
      <w:r>
        <w:t xml:space="preserve">HOOFD-HALSCHIRURGIE</w:t>
      </w:r>
    </w:p>
    <w:p>
      <w:r>
        <w:pict>
          <v:rect style="width:0;height:1.5pt" o:hralign="center" o:hrstd="t" o:hr="t"/>
        </w:pict>
      </w:r>
    </w:p>
    <w:bookmarkStart w:id="195" w:name="hoofd-halsparagangliomen-hhpgl"/>
    <w:p>
      <w:pPr>
        <w:pStyle w:val="Heading2"/>
      </w:pPr>
      <w:r>
        <w:t xml:space="preserve">28. Hoofd-/halsparagangliomen (HHPGL)</w:t>
      </w:r>
    </w:p>
    <w:bookmarkStart w:id="189" w:name="module-1-definitie-classificatie-1"/>
    <w:p>
      <w:pPr>
        <w:pStyle w:val="Heading3"/>
      </w:pPr>
      <w:r>
        <w:t xml:space="preserve">Module 1 — Definitie &amp; classificatie</w:t>
      </w:r>
    </w:p>
    <w:p>
      <w:pPr>
        <w:pStyle w:val="FirstParagraph"/>
      </w:pPr>
      <w:r>
        <w:t xml:space="preserve">Neuro-endocriene tumoren afkomstig van paraganglionair weefsel van het autonome zenuwstelsel; overwegend benigne.</w:t>
      </w:r>
    </w:p>
    <w:p>
      <w:pPr>
        <w:pStyle w:val="BodyText"/>
      </w:pPr>
      <w:r>
        <w:rPr>
          <w:bCs/>
          <w:b/>
        </w:rPr>
        <w:t xml:space="preserve">Lokalisaties in hoofd-hals:</w:t>
      </w:r>
      <w:r>
        <w:t xml:space="preserve"> </w:t>
      </w:r>
      <w:r>
        <w:t xml:space="preserve">| Naam | Lokalisatie | Ontsprong | Craniale zenuwen risico |</w:t>
      </w:r>
      <w:r>
        <w:t xml:space="preserve"> </w:t>
      </w:r>
      <w:r>
        <w:t xml:space="preserve">|——|————|———-|————————|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Carotislichaamsparanglioom (CBT)</w:t>
      </w:r>
      <w:r>
        <w:t xml:space="preserve"> </w:t>
      </w:r>
      <w:r>
        <w:t xml:space="preserve">| Carotisbifurcatie | Glomus caroticum | N. IX, X, XII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jugulare</w:t>
      </w:r>
      <w:r>
        <w:t xml:space="preserve"> </w:t>
      </w:r>
      <w:r>
        <w:t xml:space="preserve">| Foramen jugulare/bulbus jugularis | Ganglion inferior N.IX/X | N. IX, X, XI, XII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vagale</w:t>
      </w:r>
      <w:r>
        <w:t xml:space="preserve"> </w:t>
      </w:r>
      <w:r>
        <w:t xml:space="preserve">| Langs N. vagus | Ganglion inferior N.X | N. X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Glomus tympanicum</w:t>
      </w:r>
      <w:r>
        <w:t xml:space="preserve"> </w:t>
      </w:r>
      <w:r>
        <w:t xml:space="preserve">| Middenoor (promontoir) | Jacobson’s zenuw (N. IX) | N. VII |</w:t>
      </w:r>
    </w:p>
    <w:bookmarkEnd w:id="189"/>
    <w:bookmarkStart w:id="190" w:name="module-2-classificaties"/>
    <w:p>
      <w:pPr>
        <w:pStyle w:val="Heading3"/>
      </w:pPr>
      <w:r>
        <w:t xml:space="preserve">Module 2 — Classificaties</w:t>
      </w:r>
    </w:p>
    <w:p>
      <w:pPr>
        <w:pStyle w:val="FirstParagraph"/>
      </w:pPr>
      <w:r>
        <w:rPr>
          <w:bCs/>
          <w:b/>
        </w:rPr>
        <w:t xml:space="preserve">Shamblin-classificatie (CBT):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</w:t>
      </w:r>
      <w:r>
        <w:t xml:space="preserve">: vrij beweegbaar van carotis; eenvoudige resectie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II</w:t>
      </w:r>
      <w:r>
        <w:t xml:space="preserve">: gedeeltelijk omhullend; matige dissectie nodig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Type III</w:t>
      </w:r>
      <w:r>
        <w:t xml:space="preserve">: volledig omhullend carotis (interna en/of communis); hoge kans op vaatbeschadiging</w:t>
      </w:r>
    </w:p>
    <w:p>
      <w:pPr>
        <w:pStyle w:val="BodyText"/>
      </w:pPr>
      <w:r>
        <w:rPr>
          <w:bCs/>
          <w:b/>
        </w:rPr>
        <w:t xml:space="preserve">Fisch-classificatie (glomus jugulare/tympanicum):</w:t>
      </w:r>
      <w:r>
        <w:t xml:space="preserve"> </w:t>
      </w:r>
      <w:r>
        <w:t xml:space="preserve">| Type | Uitbreiding |</w:t>
      </w:r>
      <w:r>
        <w:t xml:space="preserve"> </w:t>
      </w:r>
      <w:r>
        <w:t xml:space="preserve">|——|————|</w:t>
      </w:r>
      <w:r>
        <w:t xml:space="preserve"> </w:t>
      </w:r>
      <w:r>
        <w:t xml:space="preserve">| A | Glomus tympanicum; beperkt tot middenoor |</w:t>
      </w:r>
      <w:r>
        <w:t xml:space="preserve"> </w:t>
      </w:r>
      <w:r>
        <w:t xml:space="preserve">| B | Tympanomastoidaal; geen botdestructie |</w:t>
      </w:r>
      <w:r>
        <w:t xml:space="preserve"> </w:t>
      </w:r>
      <w:r>
        <w:t xml:space="preserve">| C1 | Infralabyrinthair; beperkte destructie petrous apex |</w:t>
      </w:r>
      <w:r>
        <w:t xml:space="preserve"> </w:t>
      </w:r>
      <w:r>
        <w:t xml:space="preserve">| C2 | Infralabyrinthair; destructie petrous apex tot foramen lacerum |</w:t>
      </w:r>
      <w:r>
        <w:t xml:space="preserve"> </w:t>
      </w:r>
      <w:r>
        <w:t xml:space="preserve">| C3 | Intracraniële uitbreiding; extraduraal |</w:t>
      </w:r>
      <w:r>
        <w:t xml:space="preserve"> </w:t>
      </w:r>
      <w:r>
        <w:t xml:space="preserve">| D1 | Intracranieel; intraduraal; &lt;2 cm |</w:t>
      </w:r>
      <w:r>
        <w:t xml:space="preserve"> </w:t>
      </w:r>
      <w:r>
        <w:t xml:space="preserve">| D2 | Intracranieel; intraduraal; &gt;2 cm |</w:t>
      </w:r>
    </w:p>
    <w:bookmarkEnd w:id="190"/>
    <w:bookmarkStart w:id="191" w:name="module-3-genetica-essentieel"/>
    <w:p>
      <w:pPr>
        <w:pStyle w:val="Heading3"/>
      </w:pPr>
      <w:r>
        <w:t xml:space="preserve">Module 3 — Genetica (essentieel!)</w:t>
      </w:r>
    </w:p>
    <w:p>
      <w:pPr>
        <w:pStyle w:val="FirstParagraph"/>
      </w:pPr>
      <w:r>
        <w:rPr>
          <w:bCs/>
          <w:b/>
        </w:rPr>
        <w:t xml:space="preserve">Hereditaire paragangliomen: ~30–40%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1188"/>
        <w:gridCol w:w="1452"/>
        <w:gridCol w:w="2508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Tumortype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Maligniteitsrisico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Bijzonderheden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Extracranieel (bijnier, abdominaal), ook HH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Agressiefst; extracranieel screenen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Multipele HH-paragangliomen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 (&lt;5%)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Maternale imprinting; alleen via vader overgedragen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HH-paragangliomen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SDHA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Laag-matig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TMEM127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Bijniertumoren, ook HH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Bilaterale bijniertumoren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VHL-syndroom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 (feochromocytoom), CNS hemangioblastoom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 (feochromocytoom), schildklier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Neurofibromatosis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Bijniertumoren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Indicaties genetische diagnostiek:</w:t>
      </w:r>
      <w:r>
        <w:t xml:space="preserve"> </w:t>
      </w:r>
      <w:r>
        <w:t xml:space="preserve">- Alle patiënten &lt;60 jaar</w:t>
      </w:r>
      <w:r>
        <w:t xml:space="preserve"> </w:t>
      </w:r>
      <w:r>
        <w:t xml:space="preserve">- Multipele of bilaterale tumoren (altijd)</w:t>
      </w:r>
      <w:r>
        <w:t xml:space="preserve"> </w:t>
      </w:r>
      <w:r>
        <w:t xml:space="preserve">- Positieve familieaamnese</w:t>
      </w:r>
      <w:r>
        <w:t xml:space="preserve"> </w:t>
      </w:r>
      <w:r>
        <w:t xml:space="preserve">- Extracraniële lokalisatie of maligniteit</w:t>
      </w:r>
    </w:p>
    <w:p>
      <w:pPr>
        <w:pStyle w:val="BodyText"/>
      </w:pPr>
      <w:r>
        <w:rPr>
          <w:bCs/>
          <w:b/>
        </w:rPr>
        <w:t xml:space="preserve">Familiescreening</w:t>
      </w:r>
      <w:r>
        <w:t xml:space="preserve">: bij positief resultaat → eerstegraadsfamilieleden screenen met biochemie + beeldvorming.</w:t>
      </w:r>
    </w:p>
    <w:bookmarkEnd w:id="191"/>
    <w:bookmarkStart w:id="192" w:name="module-4-diagnostiek-4"/>
    <w:p>
      <w:pPr>
        <w:pStyle w:val="Heading3"/>
      </w:pPr>
      <w:r>
        <w:t xml:space="preserve">Module 4 — Diagnostiek</w:t>
      </w:r>
    </w:p>
    <w:p>
      <w:pPr>
        <w:pStyle w:val="FirstParagraph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| Modaliteit | Informatie | Wanneer |</w:t>
      </w:r>
      <w:r>
        <w:t xml:space="preserve"> </w:t>
      </w:r>
      <w:r>
        <w:t xml:space="preserve">|———–|———–|———|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MRI</w:t>
      </w:r>
      <w:r>
        <w:t xml:space="preserve"> </w:t>
      </w:r>
      <w:r>
        <w:t xml:space="preserve">|</w:t>
      </w:r>
      <w:r>
        <w:t xml:space="preserve"> </w:t>
      </w:r>
      <w:r>
        <w:t xml:space="preserve">“</w:t>
      </w:r>
      <w:r>
        <w:t xml:space="preserve">Salt-and-pepper</w:t>
      </w:r>
      <w:r>
        <w:t xml:space="preserve">”</w:t>
      </w:r>
      <w:r>
        <w:t xml:space="preserve"> </w:t>
      </w:r>
      <w:r>
        <w:t xml:space="preserve">aspect (flow voids); anatomische relaties; standaard | Altijd; eerste keuze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 hals/schedelbasis</w:t>
      </w:r>
      <w:r>
        <w:t xml:space="preserve"> </w:t>
      </w:r>
      <w:r>
        <w:t xml:space="preserve">| Botdestructie; vasculaire anatomie; pre-operatief | Pre-operatief; bij verdenking uitbreiding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⁶⁸Ga-DOTATATE PET-CT</w:t>
      </w:r>
      <w:r>
        <w:t xml:space="preserve"> </w:t>
      </w:r>
      <w:r>
        <w:t xml:space="preserve">| Somatostatine-receptor imaging; meest sensitief voor totaal-lichaamsstaging; ook follow-up | Staging; bij multipele/hereditaire vormen; verdenking maligniteit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¹²³I-MIBG</w:t>
      </w:r>
      <w:r>
        <w:t xml:space="preserve"> </w:t>
      </w:r>
      <w:r>
        <w:t xml:space="preserve">| Alternatief; minder sensitief voor HH-PGL | Bij ontbreken DOTATATE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DSA</w:t>
      </w:r>
      <w:r>
        <w:t xml:space="preserve"> </w:t>
      </w:r>
      <w:r>
        <w:t xml:space="preserve">(digitale subtractie-angiografie) | Vaatanatomie; pre-operatieve embolisatie | Pre-operatief grote CBT; vasculaire planning |</w:t>
      </w:r>
    </w:p>
    <w:p>
      <w:pPr>
        <w:pStyle w:val="BodyText"/>
      </w:pPr>
      <w:r>
        <w:rPr>
          <w:bCs/>
          <w:b/>
        </w:rPr>
        <w:t xml:space="preserve">Functioneel onderzoek (biochemisch):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Plasma-metanefrinen en -normetanefrinen</w:t>
      </w:r>
      <w:r>
        <w:t xml:space="preserve">: meest sensitief; aanbevolen bij alle paragangliomen</w:t>
      </w:r>
      <w:r>
        <w:t xml:space="preserve"> </w:t>
      </w:r>
      <w:r>
        <w:t xml:space="preserve">- 24-uurs urine catecholamines en metanefrinen: alternatief</w:t>
      </w:r>
      <w:r>
        <w:t xml:space="preserve"> </w:t>
      </w:r>
      <w:r>
        <w:t xml:space="preserve">- Functioneel secreterend (&lt;5% van HH-PGL): cave hypertensieve crisis bij chirurgie → pre-operatieve α-blokkade</w:t>
      </w:r>
    </w:p>
    <w:p>
      <w:pPr>
        <w:pStyle w:val="BodyText"/>
      </w:pPr>
      <w:r>
        <w:rPr>
          <w:bCs/>
          <w:b/>
        </w:rPr>
        <w:t xml:space="preserve">Audiologisch:</w:t>
      </w:r>
      <w:r>
        <w:t xml:space="preserve"> </w:t>
      </w:r>
      <w:r>
        <w:t xml:space="preserve">- Toonaudiogram (SNHL bij glomus jugulare)</w:t>
      </w:r>
      <w:r>
        <w:t xml:space="preserve"> </w:t>
      </w:r>
      <w:r>
        <w:t xml:space="preserve">- Spraakaudiogram</w:t>
      </w:r>
      <w:r>
        <w:t xml:space="preserve"> </w:t>
      </w:r>
      <w:r>
        <w:t xml:space="preserve">- Video-HIT (vestibulaire betrokkenheid)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Alarmsymptomen/red flags bij glomustumor:</w:t>
      </w:r>
      <w:r>
        <w:t xml:space="preserve"> </w:t>
      </w:r>
      <w:r>
        <w:t xml:space="preserve">- Pulsatiele tinnitus + rode massa achter TM → nooit biopteren zonder voorafgaande beeldvorming (catastrophale bloeding bij glomus!)</w:t>
      </w:r>
      <w:r>
        <w:t xml:space="preserve"> </w:t>
      </w:r>
      <w:r>
        <w:t xml:space="preserve">- Progressieve craniale zenuwuitval → uitbreiding glomus jugulare</w:t>
      </w:r>
      <w:r>
        <w:t xml:space="preserve"> </w:t>
      </w:r>
      <w:r>
        <w:t xml:space="preserve">- Hypertensieve crisis + zweten + bleekheid → functioneel secreterend PGL → biochemisch onderzoek spoed</w:t>
      </w:r>
    </w:p>
    <w:bookmarkEnd w:id="192"/>
    <w:bookmarkStart w:id="193" w:name="module-5-behandeling-3"/>
    <w:p>
      <w:pPr>
        <w:pStyle w:val="Heading3"/>
      </w:pPr>
      <w:r>
        <w:t xml:space="preserve">Module 5 — Behandeling</w:t>
      </w:r>
    </w:p>
    <w:p>
      <w:pPr>
        <w:pStyle w:val="FirstParagraph"/>
      </w:pPr>
      <w:r>
        <w:rPr>
          <w:bCs/>
          <w:b/>
        </w:rPr>
        <w:t xml:space="preserve">Carotislichaamsparanglioom: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: voorkeur bij jong (&lt;50–60 jaar); curaatief; risico N. VII, IX, X, XII; herseninfarct</w:t>
      </w:r>
      <w:r>
        <w:t xml:space="preserve"> </w:t>
      </w:r>
      <w:r>
        <w:t xml:space="preserve">- Pre-operatieve embolisatie (24–48 uur vóór chirurgie): bij Shamblin II–III; reduceert bloedverlies</w:t>
      </w:r>
      <w:r>
        <w:t xml:space="preserve"> </w:t>
      </w:r>
      <w:r>
        <w:t xml:space="preserve">- Carotisballon-occlusietest (BOT): bij risico op carotis-opoffering</w:t>
      </w:r>
    </w:p>
    <w:p>
      <w:pPr>
        <w:pStyle w:val="BodyText"/>
      </w:pPr>
      <w:r>
        <w:rPr>
          <w:bCs/>
          <w:b/>
        </w:rPr>
        <w:t xml:space="preserve">Glomus tympanicum: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: transmastoidale of transcanale benadering; goede uitkomsten; kans op genezing hoog</w:t>
      </w:r>
    </w:p>
    <w:p>
      <w:pPr>
        <w:pStyle w:val="BodyText"/>
      </w:pPr>
      <w:r>
        <w:rPr>
          <w:bCs/>
          <w:b/>
        </w:rPr>
        <w:t xml:space="preserve">Glomus jugulare: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Wait-and-scan</w:t>
      </w:r>
      <w:r>
        <w:t xml:space="preserve">: bij ouderen, asymptomatisch, kleine tumor; jaarlijkse MRI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Stereotactische radiochirurgie</w:t>
      </w:r>
      <w:r>
        <w:t xml:space="preserve"> </w:t>
      </w:r>
      <w:r>
        <w:t xml:space="preserve">(Gamma Knife, CyberKnife): groeicontrole ~95%; craniale zenuwuitval minder; voorkeur bij oudere patiënten of hoog chirurgisch risico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Chirurgie</w:t>
      </w:r>
      <w:r>
        <w:t xml:space="preserve"> </w:t>
      </w:r>
      <w:r>
        <w:t xml:space="preserve">(Fisch-benadering A–D): curatief potentieel; hoge morbiditeit (craniale zenuwuitval, CSF-lekkage)</w:t>
      </w:r>
      <w:r>
        <w:t xml:space="preserve"> </w:t>
      </w:r>
      <w:r>
        <w:t xml:space="preserve">- Embolisatie vóór chirurgie: altijd bij grote glomus jugulare</w:t>
      </w:r>
    </w:p>
    <w:p>
      <w:pPr>
        <w:pStyle w:val="BodyText"/>
      </w:pPr>
      <w:r>
        <w:rPr>
          <w:bCs/>
          <w:b/>
        </w:rPr>
        <w:t xml:space="preserve">Glomus vagale:</w:t>
      </w:r>
      <w:r>
        <w:t xml:space="preserve"> </w:t>
      </w:r>
      <w:r>
        <w:t xml:space="preserve">- Wait-and-scan of radiochirurgie (voorkeur): chirurgie geeft N. X-uitval (heesheid, aspiratie) in bijna alle gevallen</w:t>
      </w:r>
      <w:r>
        <w:t xml:space="preserve"> </w:t>
      </w:r>
      <w:r>
        <w:t xml:space="preserve">- Chirurgie bij snelle groei of ernstige compressie</w:t>
      </w:r>
    </w:p>
    <w:p>
      <w:pPr>
        <w:pStyle w:val="BodyText"/>
      </w:pPr>
      <w:r>
        <w:rPr>
          <w:bCs/>
          <w:b/>
        </w:rPr>
        <w:t xml:space="preserve">Multidisciplinair overleg</w:t>
      </w:r>
      <w:r>
        <w:t xml:space="preserve">: KNO, neurochirurgie, vaatchirurgie, interventieradiologie, nucleaire geneeskunde, genetica.</w:t>
      </w:r>
    </w:p>
    <w:bookmarkEnd w:id="193"/>
    <w:bookmarkStart w:id="194" w:name="module-6-follow-up"/>
    <w:p>
      <w:pPr>
        <w:pStyle w:val="Heading3"/>
      </w:pPr>
      <w:r>
        <w:t xml:space="preserve">Module 6 — Follow-up</w:t>
      </w:r>
    </w:p>
    <w:p>
      <w:pPr>
        <w:numPr>
          <w:ilvl w:val="0"/>
          <w:numId w:val="1047"/>
        </w:numPr>
        <w:pStyle w:val="Compact"/>
      </w:pPr>
      <w:r>
        <w:t xml:space="preserve">Beeldvorming: MRI of ⁶⁸Ga-DOTATATE PET-CT 1 jaar na behandeling; daarna 2–5-jaarlijks afhankelijk van respons</w:t>
      </w:r>
    </w:p>
    <w:p>
      <w:pPr>
        <w:numPr>
          <w:ilvl w:val="0"/>
          <w:numId w:val="1047"/>
        </w:numPr>
        <w:pStyle w:val="Compact"/>
      </w:pPr>
      <w:r>
        <w:t xml:space="preserve">Biochemisch: metanefrinen jaarlijks</w:t>
      </w:r>
    </w:p>
    <w:p>
      <w:pPr>
        <w:numPr>
          <w:ilvl w:val="0"/>
          <w:numId w:val="1047"/>
        </w:numPr>
        <w:pStyle w:val="Compact"/>
      </w:pPr>
      <w:r>
        <w:t xml:space="preserve">Audiogram, stemfunctie jaarlijks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1" w:name="hoofd-halstumoren"/>
    <w:p>
      <w:pPr>
        <w:pStyle w:val="Heading2"/>
      </w:pPr>
      <w:r>
        <w:t xml:space="preserve">29. Hoofd-halstumoren</w:t>
      </w:r>
    </w:p>
    <w:bookmarkStart w:id="196" w:name="module-1-diagnostisch-traject"/>
    <w:p>
      <w:pPr>
        <w:pStyle w:val="Heading3"/>
      </w:pPr>
      <w:r>
        <w:t xml:space="preserve">Module 1 — Diagnostisch traject</w:t>
      </w:r>
    </w:p>
    <w:p>
      <w:pPr>
        <w:pStyle w:val="FirstParagraph"/>
      </w:pPr>
      <w:r>
        <w:rPr>
          <w:bCs/>
          <w:b/>
        </w:rPr>
        <w:t xml:space="preserve">Eerste stap bij verdenking:</w:t>
      </w:r>
      <w:r>
        <w:t xml:space="preserve"> </w:t>
      </w:r>
      <w:r>
        <w:t xml:space="preserve">- Anamnese: rookhistorie, alcohol, HPV-risico (seksueel gedrag), gewichtsverlies, duur klachten</w:t>
      </w:r>
      <w:r>
        <w:t xml:space="preserve"> </w:t>
      </w:r>
      <w:r>
        <w:t xml:space="preserve">- KNO-onderzoek: mondholte, orofarynx, hypofarynx (laryngoscoop), hals (lymfeklieren)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Flexibele nasolaryngoscopie</w:t>
      </w:r>
      <w:r>
        <w:t xml:space="preserve">: altijd bij verdenking maligniteit hoofd-hals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Biopsie</w:t>
      </w:r>
      <w:r>
        <w:t xml:space="preserve">: histologische diagnose vóór behandeling</w:t>
      </w:r>
    </w:p>
    <w:p>
      <w:pPr>
        <w:pStyle w:val="BodyText"/>
      </w:pPr>
      <w:r>
        <w:rPr>
          <w:bCs/>
          <w:b/>
        </w:rPr>
        <w:t xml:space="preserve">Beeldvorming: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 hals met contrast + CT thorax</w:t>
      </w:r>
      <w:r>
        <w:t xml:space="preserve">: lymfeklieren hals (grootte, karakter), uitbreiding primaire tumor, longmetastasen/tweede primaire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MRI lokaal</w:t>
      </w:r>
      <w:r>
        <w:t xml:space="preserve">: superieur voor weke-delenuitbreiding, perinerale invasie, tong, mondbodem, schedelbasis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PET-CT (FDG)</w:t>
      </w:r>
      <w:r>
        <w:t xml:space="preserve">: bij N2–N3 klierziekte; recidief; onbekende primaire tumor; respons na (chemo)RT</w:t>
      </w:r>
    </w:p>
    <w:p>
      <w:pPr>
        <w:pStyle w:val="BodyText"/>
      </w:pPr>
      <w:r>
        <w:rPr>
          <w:bCs/>
          <w:b/>
        </w:rPr>
        <w:t xml:space="preserve">Panendoscopie</w:t>
      </w:r>
      <w:r>
        <w:t xml:space="preserve"> </w:t>
      </w:r>
      <w:r>
        <w:t xml:space="preserve">(onder narcose): larynx, hypofarynx, oesofagus ingang, trachea; biopten primaire tumor én tweede primaire uitsluiten.</w:t>
      </w:r>
    </w:p>
    <w:p>
      <w:pPr>
        <w:pStyle w:val="BodyText"/>
      </w:pPr>
      <w:r>
        <w:rPr>
          <w:bCs/>
          <w:b/>
        </w:rPr>
        <w:t xml:space="preserve">Pathologie: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p16-IHC</w:t>
      </w:r>
      <w:r>
        <w:t xml:space="preserve">: surrogaatmarker HPV-positief orofarynxcarcinoom; ≥70% van cellen positief = p16+ = HPV+</w:t>
      </w:r>
      <w:r>
        <w:t xml:space="preserve"> </w:t>
      </w:r>
      <w:r>
        <w:t xml:space="preserve">- HPV-PCR: bevestiging</w:t>
      </w:r>
      <w:r>
        <w:t xml:space="preserve"> </w:t>
      </w:r>
      <w:r>
        <w:t xml:space="preserve">- Moleculaire diagnostiek: toenemend relevant (PD-L1 voor immunotherapie, EGFR, …)</w:t>
      </w:r>
    </w:p>
    <w:bookmarkEnd w:id="196"/>
    <w:bookmarkStart w:id="197" w:name="module-2-staging-tnm-uicc-8e-editie-2017"/>
    <w:p>
      <w:pPr>
        <w:pStyle w:val="Heading3"/>
      </w:pPr>
      <w:r>
        <w:t xml:space="preserve">Module 2 — Staging (TNM UICC 8e editie, 2017)</w:t>
      </w:r>
    </w:p>
    <w:p>
      <w:pPr>
        <w:pStyle w:val="FirstParagraph"/>
      </w:pPr>
      <w:r>
        <w:rPr>
          <w:bCs/>
          <w:b/>
        </w:rPr>
        <w:t xml:space="preserve">Let op</w:t>
      </w:r>
      <w:r>
        <w:t xml:space="preserve">: p16-positief orofarynxcarcinoom heeft</w:t>
      </w:r>
      <w:r>
        <w:t xml:space="preserve"> </w:t>
      </w:r>
      <w:r>
        <w:rPr>
          <w:bCs/>
          <w:b/>
        </w:rPr>
        <w:t xml:space="preserve">eigen separate TNM-classificatie</w:t>
      </w:r>
      <w:r>
        <w:t xml:space="preserve"> </w:t>
      </w:r>
      <w:r>
        <w:t xml:space="preserve">(klinisch en pathologisch) → significant betere prognose.</w:t>
      </w:r>
    </w:p>
    <w:p>
      <w:pPr>
        <w:pStyle w:val="BodyText"/>
      </w:pPr>
      <w:r>
        <w:rPr>
          <w:bCs/>
          <w:b/>
        </w:rPr>
        <w:t xml:space="preserve">Algemene T-stadiëring:</w:t>
      </w:r>
      <w:r>
        <w:t xml:space="preserve"> </w:t>
      </w:r>
      <w:r>
        <w:t xml:space="preserve">- T1: ≤2 cm</w:t>
      </w:r>
      <w:r>
        <w:t xml:space="preserve"> </w:t>
      </w:r>
      <w:r>
        <w:t xml:space="preserve">- T2: 2–4 cm</w:t>
      </w:r>
      <w:r>
        <w:t xml:space="preserve"> </w:t>
      </w:r>
      <w:r>
        <w:t xml:space="preserve">- T3: &gt;4 cm (of lokale uitbreiding afhankelijk van subsite)</w:t>
      </w:r>
      <w:r>
        <w:t xml:space="preserve"> </w:t>
      </w:r>
      <w:r>
        <w:t xml:space="preserve">- T4a: matig gevorderd lokaal (resectabel)</w:t>
      </w:r>
      <w:r>
        <w:t xml:space="preserve"> </w:t>
      </w:r>
      <w:r>
        <w:t xml:space="preserve">- T4b: zeer gevorderd lokaal (inresectabel; schedelbasis, a. carotis)</w:t>
      </w:r>
    </w:p>
    <w:p>
      <w:pPr>
        <w:pStyle w:val="BodyText"/>
      </w:pPr>
      <w:r>
        <w:rPr>
          <w:bCs/>
          <w:b/>
        </w:rPr>
        <w:t xml:space="preserve">N-stadiëring:</w:t>
      </w:r>
      <w:r>
        <w:t xml:space="preserve"> </w:t>
      </w:r>
      <w:r>
        <w:t xml:space="preserve">- N0: geen regionale kliermetastasen</w:t>
      </w:r>
      <w:r>
        <w:t xml:space="preserve"> </w:t>
      </w:r>
      <w:r>
        <w:t xml:space="preserve">- N1: ipsilateraal, 1 klier ≤3 cm</w:t>
      </w:r>
      <w:r>
        <w:t xml:space="preserve"> </w:t>
      </w:r>
      <w:r>
        <w:t xml:space="preserve">- N2a: ipsilateraal, 1 klier 3–6 cm</w:t>
      </w:r>
      <w:r>
        <w:t xml:space="preserve"> </w:t>
      </w:r>
      <w:r>
        <w:t xml:space="preserve">- N2b: ipsilateraal, meerdere klieren ≤6 cm</w:t>
      </w:r>
      <w:r>
        <w:t xml:space="preserve"> </w:t>
      </w:r>
      <w:r>
        <w:t xml:space="preserve">- N2c: bilateraal of contralateraal ≤6 cm</w:t>
      </w:r>
      <w:r>
        <w:t xml:space="preserve"> </w:t>
      </w:r>
      <w:r>
        <w:t xml:space="preserve">- N3: klier &gt;6 cm (N3a) of extranodale extensie (N3b)</w:t>
      </w:r>
    </w:p>
    <w:bookmarkEnd w:id="197"/>
    <w:bookmarkStart w:id="198" w:name="module-3-behandeling-per-subsite"/>
    <w:p>
      <w:pPr>
        <w:pStyle w:val="Heading3"/>
      </w:pPr>
      <w:r>
        <w:t xml:space="preserve">Module 3 — Behandeling per subsite</w:t>
      </w:r>
    </w:p>
    <w:p>
      <w:pPr>
        <w:pStyle w:val="FirstParagraph"/>
      </w:pPr>
      <w:r>
        <w:rPr>
          <w:bCs/>
          <w:b/>
        </w:rPr>
        <w:t xml:space="preserve">Larynxcarcinoom:</w:t>
      </w:r>
      <w:r>
        <w:t xml:space="preserve"> </w:t>
      </w:r>
      <w:r>
        <w:t xml:space="preserve">| Stadium | Behandeling | Toelichting |</w:t>
      </w:r>
      <w:r>
        <w:t xml:space="preserve"> </w:t>
      </w:r>
      <w:r>
        <w:t xml:space="preserve">|———|————|————-|</w:t>
      </w:r>
      <w:r>
        <w:t xml:space="preserve"> </w:t>
      </w:r>
      <w:r>
        <w:t xml:space="preserve">| T1–2 N0 glottis | RT of TLM (CO2-laser) | Voorkeur functie-behoud; gelijkwaardige lokale controle |</w:t>
      </w:r>
      <w:r>
        <w:t xml:space="preserve"> </w:t>
      </w:r>
      <w:r>
        <w:t xml:space="preserve">| T3 N0 | (Chemo)RT (larynxbehoud) | Inductiechemotherapie + RT = equivalent aan laryngectomie voor larynxbehoud |</w:t>
      </w:r>
      <w:r>
        <w:t xml:space="preserve"> </w:t>
      </w:r>
      <w:r>
        <w:t xml:space="preserve">| T4a of N+ | Totale laryngectomie + HKD + adjuvante (C)RT | Postoperatieve CRT bij R1/ECE/N2+ |</w:t>
      </w:r>
      <w:r>
        <w:t xml:space="preserve"> </w:t>
      </w:r>
      <w:r>
        <w:t xml:space="preserve">| T4b | Definitieve CRT of palliatief | Vaak inresectabel |</w:t>
      </w:r>
    </w:p>
    <w:p>
      <w:pPr>
        <w:pStyle w:val="BodyText"/>
      </w:pPr>
      <w:r>
        <w:rPr>
          <w:bCs/>
          <w:b/>
        </w:rPr>
        <w:t xml:space="preserve">Orofarynxcarcinoom:</w:t>
      </w:r>
      <w:r>
        <w:t xml:space="preserve"> </w:t>
      </w:r>
      <w:r>
        <w:t xml:space="preserve">- HPV+ (p16+): betere prognose; deëscalatiestudies lopend (minder toxische RT-schema’s)</w:t>
      </w:r>
      <w:r>
        <w:t xml:space="preserve"> </w:t>
      </w:r>
      <w:r>
        <w:t xml:space="preserve">- HPV− (p16−): slechtere prognose; agressiever behandeling</w:t>
      </w:r>
      <w:r>
        <w:t xml:space="preserve"> </w:t>
      </w:r>
      <w:r>
        <w:t xml:space="preserve">- Vroeg (T1–2 N0–1): RT of TORS/TLM</w:t>
      </w:r>
      <w:r>
        <w:t xml:space="preserve"> </w:t>
      </w:r>
      <w:r>
        <w:t xml:space="preserve">- Gevorderd (T3–4 of N2–3): concomitante CRT (cisplatine 100 mg/m² 3-wekelijks of wekelijks 40 mg/m²)</w:t>
      </w:r>
    </w:p>
    <w:p>
      <w:pPr>
        <w:pStyle w:val="BodyText"/>
      </w:pPr>
      <w:r>
        <w:rPr>
          <w:bCs/>
          <w:b/>
        </w:rPr>
        <w:t xml:space="preserve">Mondholtecarcinoom:</w:t>
      </w:r>
      <w:r>
        <w:t xml:space="preserve"> </w:t>
      </w:r>
      <w:r>
        <w:t xml:space="preserve">- Chirurgie als primaire behandeling (RT minder gevoelig)</w:t>
      </w:r>
      <w:r>
        <w:t xml:space="preserve"> </w:t>
      </w:r>
      <w:r>
        <w:t xml:space="preserve">- Resectie primaire tumor +</w:t>
      </w:r>
      <w:r>
        <w:t xml:space="preserve"> </w:t>
      </w:r>
      <w:r>
        <w:rPr>
          <w:bCs/>
          <w:b/>
        </w:rPr>
        <w:t xml:space="preserve">electieve halsklierdissectie</w:t>
      </w:r>
      <w:r>
        <w:t xml:space="preserve"> </w:t>
      </w:r>
      <w:r>
        <w:t xml:space="preserve">(cN0 hoog-risico: T2+ of &gt;4 mm diepte invasie)</w:t>
      </w:r>
      <w:r>
        <w:t xml:space="preserve"> </w:t>
      </w:r>
      <w:r>
        <w:t xml:space="preserve">- Adjuvante RT: bij positieve marge, diepe invasie, N+</w:t>
      </w:r>
      <w:r>
        <w:t xml:space="preserve"> </w:t>
      </w:r>
      <w:r>
        <w:t xml:space="preserve">- Adjuvante CRT: bij R1-marge of extranodale extensie (ECE)</w:t>
      </w:r>
    </w:p>
    <w:p>
      <w:pPr>
        <w:pStyle w:val="BodyText"/>
      </w:pPr>
      <w:r>
        <w:rPr>
          <w:bCs/>
          <w:b/>
        </w:rPr>
        <w:t xml:space="preserve">Hypofarynxcarcinoom:</w:t>
      </w:r>
      <w:r>
        <w:t xml:space="preserve"> </w:t>
      </w:r>
      <w:r>
        <w:t xml:space="preserve">- Slechte prognose (vaak laat ontdekt)</w:t>
      </w:r>
      <w:r>
        <w:t xml:space="preserve"> </w:t>
      </w:r>
      <w:r>
        <w:t xml:space="preserve">- Laryngofaryngectomie + vrije lap (jejunum of ALT) + adjuvante (C)RT</w:t>
      </w:r>
      <w:r>
        <w:t xml:space="preserve"> </w:t>
      </w:r>
      <w:r>
        <w:t xml:space="preserve">- Of definitieve CRT (larynxbehoud indien mogelijk)</w:t>
      </w:r>
    </w:p>
    <w:bookmarkEnd w:id="198"/>
    <w:bookmarkStart w:id="199" w:name="module-4-halsklierdissectie-hkd"/>
    <w:p>
      <w:pPr>
        <w:pStyle w:val="Heading3"/>
      </w:pPr>
      <w:r>
        <w:t xml:space="preserve">Module 4 — Halsklierdissectie (HKD)</w:t>
      </w:r>
    </w:p>
    <w:p>
      <w:pPr>
        <w:pStyle w:val="FirstParagraph"/>
      </w:pPr>
      <w:r>
        <w:rPr>
          <w:bCs/>
          <w:b/>
        </w:rPr>
        <w:t xml:space="preserve">Levels:</w:t>
      </w:r>
      <w:r>
        <w:t xml:space="preserve"> </w:t>
      </w:r>
      <w:r>
        <w:t xml:space="preserve">- I: submentaal (Ia) + submandibularis (Ib)</w:t>
      </w:r>
      <w:r>
        <w:t xml:space="preserve"> </w:t>
      </w:r>
      <w:r>
        <w:t xml:space="preserve">- II: bovenste jugulaire (IIa + IIb naast n. XI)</w:t>
      </w:r>
      <w:r>
        <w:t xml:space="preserve"> </w:t>
      </w:r>
      <w:r>
        <w:t xml:space="preserve">- III: middelste jugulaire</w:t>
      </w:r>
      <w:r>
        <w:t xml:space="preserve"> </w:t>
      </w:r>
      <w:r>
        <w:t xml:space="preserve">- IV: onderste jugulaire</w:t>
      </w:r>
      <w:r>
        <w:t xml:space="preserve"> </w:t>
      </w:r>
      <w:r>
        <w:t xml:space="preserve">- V: posterieur driehoek (Va craniaal, Vb caudaal)</w:t>
      </w:r>
      <w:r>
        <w:t xml:space="preserve"> </w:t>
      </w:r>
      <w:r>
        <w:t xml:space="preserve">- VI: centraal compartiment (prelaryngeaal, pretracheaal, paratracheaal)</w:t>
      </w:r>
    </w:p>
    <w:p>
      <w:pPr>
        <w:pStyle w:val="BodyText"/>
      </w:pPr>
      <w:r>
        <w:rPr>
          <w:bCs/>
          <w:b/>
        </w:rPr>
        <w:t xml:space="preserve">Typen HKD: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Selectieve HKD</w:t>
      </w:r>
      <w:r>
        <w:t xml:space="preserve">: subset van levels; bijv. I–III (mondholte), II–IV (larynx/hypofarynx)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Modified radicale HKD</w:t>
      </w:r>
      <w:r>
        <w:t xml:space="preserve">: levels I–V; spaart n. XI en/of V. jugularis en/of m. sternocleidomastoideus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Radicale HKD</w:t>
      </w:r>
      <w:r>
        <w:t xml:space="preserve">: alle structuren verwijderd inclusief n. XI, V. jugularis, m. SCM</w:t>
      </w:r>
    </w:p>
    <w:p>
      <w:pPr>
        <w:pStyle w:val="BodyText"/>
      </w:pPr>
      <w:r>
        <w:rPr>
          <w:bCs/>
          <w:b/>
        </w:rPr>
        <w:t xml:space="preserve">Sentinelklierbiopsie (SLNB) mondholte/orofarynx:</w:t>
      </w:r>
      <w:r>
        <w:t xml:space="preserve"> </w:t>
      </w:r>
      <w:r>
        <w:t xml:space="preserve">- Indicatie: cN0, T1–T2</w:t>
      </w:r>
      <w:r>
        <w:t xml:space="preserve"> </w:t>
      </w:r>
      <w:r>
        <w:t xml:space="preserve">- Techniek: 99mTc-colloïd + patent blue injectie in/rond tumor; intra-operatief gammasonde</w:t>
      </w:r>
      <w:r>
        <w:t xml:space="preserve"> </w:t>
      </w:r>
      <w:r>
        <w:t xml:space="preserve">- Pathologie: seriële H&amp;E + IHC coupes</w:t>
      </w:r>
      <w:r>
        <w:t xml:space="preserve"> </w:t>
      </w:r>
      <w:r>
        <w:t xml:space="preserve">- Voordeel: vermijden electieve HKD bij pN0; minder morbiditeit</w:t>
      </w:r>
    </w:p>
    <w:bookmarkEnd w:id="199"/>
    <w:bookmarkStart w:id="200" w:name="module-5-complicaties-behandeling"/>
    <w:p>
      <w:pPr>
        <w:pStyle w:val="Heading3"/>
      </w:pPr>
      <w:r>
        <w:t xml:space="preserve">Module 5 — Complicaties behandeling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RT-acute</w:t>
      </w:r>
      <w:r>
        <w:t xml:space="preserve">: mucositis, xerostomie, odynofagie, huidreactie, otitis media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RT-chronisch</w:t>
      </w:r>
      <w:r>
        <w:t xml:space="preserve">: fibrose, trismus, xerostomie (permanent bij parotisirradiatie), lymfoedeem, hypothyreoïdie, osteoradionecrose mandibula, carotisstenose (later)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Chemotherapie</w:t>
      </w:r>
      <w:r>
        <w:t xml:space="preserve">: nefrotoxiciteit (cisplatine), ototoxiciteit, neurotoxiciteit, beenmergdepressie, misselijkheid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Chirurgie</w:t>
      </w:r>
      <w:r>
        <w:t xml:space="preserve">: nabloeding, infectie, fisteling, zenuwuitval (N. VII, XI, XII, X), schouderparese na HKD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7" w:name="leidraad-benigne-speekselkliertumoren"/>
    <w:p>
      <w:pPr>
        <w:pStyle w:val="Heading2"/>
      </w:pPr>
      <w:r>
        <w:t xml:space="preserve">30. Leidraad Benigne Speekselkliertumoren</w:t>
      </w:r>
    </w:p>
    <w:bookmarkStart w:id="202" w:name="module-1-epidemiologie-verdeling"/>
    <w:p>
      <w:pPr>
        <w:pStyle w:val="Heading3"/>
      </w:pPr>
      <w:r>
        <w:t xml:space="preserve">Module 1 — Epidemiologie &amp; verdeling</w:t>
      </w:r>
    </w:p>
    <w:p>
      <w:pPr>
        <w:numPr>
          <w:ilvl w:val="0"/>
          <w:numId w:val="1049"/>
        </w:numPr>
        <w:pStyle w:val="Compact"/>
      </w:pPr>
      <w:r>
        <w:t xml:space="preserve">80% van alle speekselkliertumoren: glandula parotis</w:t>
      </w:r>
    </w:p>
    <w:p>
      <w:pPr>
        <w:numPr>
          <w:ilvl w:val="0"/>
          <w:numId w:val="1049"/>
        </w:numPr>
        <w:pStyle w:val="Compact"/>
      </w:pPr>
      <w:r>
        <w:t xml:space="preserve">80% van parotistumoren: benigne</w:t>
      </w:r>
    </w:p>
    <w:p>
      <w:pPr>
        <w:numPr>
          <w:ilvl w:val="0"/>
          <w:numId w:val="1049"/>
        </w:numPr>
        <w:pStyle w:val="Compact"/>
      </w:pPr>
      <w:r>
        <w:t xml:space="preserve">Glandula submandibularis: 55% benigne</w:t>
      </w:r>
    </w:p>
    <w:p>
      <w:pPr>
        <w:numPr>
          <w:ilvl w:val="0"/>
          <w:numId w:val="1049"/>
        </w:numPr>
        <w:pStyle w:val="Compact"/>
      </w:pPr>
      <w:r>
        <w:t xml:space="preserve">Glandula sublingualis: zeldzaam; &gt;80% maligne bij tumor!</w:t>
      </w:r>
    </w:p>
    <w:bookmarkEnd w:id="202"/>
    <w:bookmarkStart w:id="203" w:name="module-2-benigne-tumoren"/>
    <w:p>
      <w:pPr>
        <w:pStyle w:val="Heading3"/>
      </w:pPr>
      <w:r>
        <w:t xml:space="preserve">Module 2 — Benigne tumoren</w:t>
      </w:r>
    </w:p>
    <w:p>
      <w:pPr>
        <w:pStyle w:val="FirstParagraph"/>
      </w:pPr>
      <w:r>
        <w:rPr>
          <w:bCs/>
          <w:b/>
        </w:rPr>
        <w:t xml:space="preserve">Pleomorf adenoom (gemengde tumor):</w:t>
      </w:r>
      <w:r>
        <w:t xml:space="preserve"> </w:t>
      </w:r>
      <w:r>
        <w:t xml:space="preserve">- Meest voorkomend; 60–70% van parotistumoren</w:t>
      </w:r>
      <w:r>
        <w:t xml:space="preserve"> </w:t>
      </w:r>
      <w:r>
        <w:t xml:space="preserve">- Alle leeftijden; geleidelijke groei; jarenlang beloop</w:t>
      </w:r>
      <w:r>
        <w:t xml:space="preserve"> </w:t>
      </w:r>
      <w:r>
        <w:t xml:space="preserve">- Histologie: epitheliaal + myoepitheliaal + stromaal (chondroïd/mucoid)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Onvolledige kapsel</w:t>
      </w:r>
      <w:r>
        <w:t xml:space="preserve"> </w:t>
      </w:r>
      <w:r>
        <w:t xml:space="preserve">met uitstulpingen → recidief bij onvoldoende marge (spilling!)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Maligne transformatie</w:t>
      </w:r>
      <w:r>
        <w:t xml:space="preserve"> </w:t>
      </w:r>
      <w:r>
        <w:t xml:space="preserve">(carcinoma ex-PA): 1–7% bij &gt;15 jaar onbehandeld; aanwijzingen: snelle groei, pijn, facialis-uitval</w:t>
      </w:r>
    </w:p>
    <w:p>
      <w:pPr>
        <w:pStyle w:val="BodyText"/>
      </w:pPr>
      <w:r>
        <w:rPr>
          <w:bCs/>
          <w:b/>
        </w:rPr>
        <w:t xml:space="preserve">Warthin-tumor (cystadenoma lymphomatosum):</w:t>
      </w:r>
      <w:r>
        <w:t xml:space="preserve"> </w:t>
      </w:r>
      <w:r>
        <w:t xml:space="preserve">- 5–10% van parotistumoren; staartparotis</w:t>
      </w:r>
      <w:r>
        <w:t xml:space="preserve"> </w:t>
      </w:r>
      <w:r>
        <w:t xml:space="preserve">- Mannen &gt;60 jaar; sterk geassocieerd met</w:t>
      </w:r>
      <w:r>
        <w:t xml:space="preserve"> </w:t>
      </w:r>
      <w:r>
        <w:rPr>
          <w:bCs/>
          <w:b/>
        </w:rPr>
        <w:t xml:space="preserve">roken</w:t>
      </w:r>
      <w:r>
        <w:t xml:space="preserve"> </w:t>
      </w:r>
      <w:r>
        <w:t xml:space="preserve">- Bilateraal in ~10%; multifocaal mogelijk</w:t>
      </w:r>
      <w:r>
        <w:t xml:space="preserve"> </w:t>
      </w:r>
      <w:r>
        <w:t xml:space="preserve">- Geen maligne potentieel</w:t>
      </w:r>
      <w:r>
        <w:t xml:space="preserve"> </w:t>
      </w:r>
      <w:r>
        <w:t xml:space="preserve">- Scintigrafie: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hot spot</w:t>
      </w:r>
      <w:r>
        <w:rPr>
          <w:bCs/>
          <w:b/>
        </w:rPr>
        <w:t xml:space="preserve">”</w:t>
      </w:r>
      <w:r>
        <w:t xml:space="preserve"> </w:t>
      </w:r>
      <w:r>
        <w:t xml:space="preserve">(technetium-pertechnetaat-opname)</w:t>
      </w:r>
    </w:p>
    <w:p>
      <w:pPr>
        <w:pStyle w:val="BodyText"/>
      </w:pPr>
      <w:r>
        <w:rPr>
          <w:bCs/>
          <w:b/>
        </w:rPr>
        <w:t xml:space="preserve">Overige benigne tumoren:</w:t>
      </w:r>
      <w:r>
        <w:t xml:space="preserve"> </w:t>
      </w:r>
      <w:r>
        <w:t xml:space="preserve">- Basaalcel adenoom, myoepithelioom, oncocytoom (allen zeldzaam)</w:t>
      </w:r>
    </w:p>
    <w:bookmarkEnd w:id="203"/>
    <w:bookmarkStart w:id="204" w:name="module-3-diagnostiek-8"/>
    <w:p>
      <w:pPr>
        <w:pStyle w:val="Heading3"/>
      </w:pPr>
      <w:r>
        <w:t xml:space="preserve">Module 3 — Diagnostiek</w:t>
      </w:r>
    </w:p>
    <w:p>
      <w:pPr>
        <w:pStyle w:val="FirstParagraph"/>
      </w:pPr>
      <w:r>
        <w:rPr>
          <w:bCs/>
          <w:b/>
        </w:rPr>
        <w:t xml:space="preserve">Echografie:</w:t>
      </w:r>
      <w:r>
        <w:t xml:space="preserve"> </w:t>
      </w:r>
      <w:r>
        <w:t xml:space="preserve">- Eerste beeldvorming van keuze</w:t>
      </w:r>
      <w:r>
        <w:t xml:space="preserve"> </w:t>
      </w:r>
      <w:r>
        <w:t xml:space="preserve">- Beoordeling: lokalisatie, grootte, echostructuur, vascularisatie (Doppler), relatie n. facialis (oppervlakkig vs diep van zygomaticus)</w:t>
      </w:r>
      <w:r>
        <w:t xml:space="preserve"> </w:t>
      </w:r>
      <w:r>
        <w:t xml:space="preserve">- Geleiding voor FNA</w:t>
      </w:r>
    </w:p>
    <w:p>
      <w:pPr>
        <w:pStyle w:val="BodyText"/>
      </w:pPr>
      <w:r>
        <w:rPr>
          <w:bCs/>
          <w:b/>
        </w:rPr>
        <w:t xml:space="preserve">MRI:</w:t>
      </w:r>
      <w:r>
        <w:t xml:space="preserve"> </w:t>
      </w:r>
      <w:r>
        <w:t xml:space="preserve">- Superieur voor anatomische relaties en weefselkarakter</w:t>
      </w:r>
      <w:r>
        <w:t xml:space="preserve"> </w:t>
      </w:r>
      <w:r>
        <w:t xml:space="preserve">- PA: heterogeen, hoog signaal T2 (door myxoïd stroma); goed omschreven</w:t>
      </w:r>
      <w:r>
        <w:t xml:space="preserve"> </w:t>
      </w:r>
      <w:r>
        <w:t xml:space="preserve">- Warthin: cystisch + solied; lage T2; soms bilateraal</w:t>
      </w:r>
      <w:r>
        <w:t xml:space="preserve"> </w:t>
      </w:r>
      <w:r>
        <w:t xml:space="preserve">- Cave: maligniteit: laag T2-signaal, infiltratieve groei, facialis-uitval aanwijzingen</w:t>
      </w:r>
    </w:p>
    <w:p>
      <w:pPr>
        <w:pStyle w:val="BodyText"/>
      </w:pPr>
      <w:r>
        <w:rPr>
          <w:bCs/>
          <w:b/>
        </w:rPr>
        <w:t xml:space="preserve">FNA (cytologie):</w:t>
      </w:r>
      <w:r>
        <w:t xml:space="preserve"> </w:t>
      </w:r>
      <w:r>
        <w:t xml:space="preserve">- Gevoeligheid 80–90%; specificiteit 95%</w:t>
      </w:r>
      <w:r>
        <w:t xml:space="preserve"> </w:t>
      </w:r>
      <w:r>
        <w:t xml:space="preserve">- Beperking: PA kan fout-negatief zijn door heterogeniteit; onvoldoende voor PA vs maligne PA onderscheid</w:t>
      </w:r>
      <w:r>
        <w:t xml:space="preserve"> </w:t>
      </w:r>
      <w:r>
        <w:t xml:space="preserve">- Waarde: uitsluiten maligniteit; klinisch management plannen</w:t>
      </w:r>
    </w:p>
    <w:p>
      <w:pPr>
        <w:pStyle w:val="BodyText"/>
      </w:pPr>
      <w:r>
        <w:rPr>
          <w:bCs/>
          <w:b/>
        </w:rPr>
        <w:t xml:space="preserve">CT:</w:t>
      </w:r>
      <w:r>
        <w:t xml:space="preserve"> </w:t>
      </w:r>
      <w:r>
        <w:t xml:space="preserve">- Bij verdenking maligniteit (botinvasie, grote tumoren), diepe kwab uitbreiding</w:t>
      </w:r>
    </w:p>
    <w:bookmarkEnd w:id="204"/>
    <w:bookmarkStart w:id="205" w:name="module-4-chirurgie"/>
    <w:p>
      <w:pPr>
        <w:pStyle w:val="Heading3"/>
      </w:pPr>
      <w:r>
        <w:t xml:space="preserve">Module 4 — Chirurgie</w:t>
      </w:r>
    </w:p>
    <w:p>
      <w:pPr>
        <w:pStyle w:val="FirstParagraph"/>
      </w:pPr>
      <w:r>
        <w:rPr>
          <w:bCs/>
          <w:b/>
        </w:rPr>
        <w:t xml:space="preserve">Parotis: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Oppervlakkige parotidectomie</w:t>
      </w:r>
      <w:r>
        <w:t xml:space="preserve"> </w:t>
      </w:r>
      <w:r>
        <w:t xml:space="preserve">(laterale kwabresectie): volledige excisie lob lateraal van n. facialis; standaard voor PA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Totale parotidectomie</w:t>
      </w:r>
      <w:r>
        <w:t xml:space="preserve">: bij diepe kwab-betrokkenheid; n. facialis in situ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Extracapsulaire dissectie (ECD)</w:t>
      </w:r>
      <w:r>
        <w:t xml:space="preserve">: kleine, goed-omschreven tumoren (Warthin, kleine PA); kleinere ingreep; oncologisch adequate marges bij selectie</w:t>
      </w:r>
    </w:p>
    <w:p>
      <w:pPr>
        <w:pStyle w:val="BodyText"/>
      </w:pPr>
      <w:r>
        <w:rPr>
          <w:bCs/>
          <w:b/>
        </w:rPr>
        <w:t xml:space="preserve">N. facialis identificatie — drie landmarks: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Tragal pointer</w:t>
      </w:r>
      <w:r>
        <w:t xml:space="preserve">: 1 cm mediaal en anterieur van tragal pointer → hoofdstam n. VII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Mastoid pointer</w:t>
      </w:r>
      <w:r>
        <w:t xml:space="preserve"> </w:t>
      </w:r>
      <w:r>
        <w:t xml:space="preserve">(anterieure rand mastoïd): zenuw 6–8 mm diep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Digastricus posterior buik</w:t>
      </w:r>
      <w:r>
        <w:t xml:space="preserve">: zenuw net superomedaan van digastricus</w:t>
      </w:r>
    </w:p>
    <w:p>
      <w:pPr>
        <w:numPr>
          <w:ilvl w:val="0"/>
          <w:numId w:val="1050"/>
        </w:numPr>
        <w:pStyle w:val="Compact"/>
      </w:pPr>
      <w:r>
        <w:t xml:space="preserve">Neuromonitoring (continuc EMG): verplicht aanbevolen; voorkomt niet per definitie parese maar geeft realtime feedback</w:t>
      </w:r>
    </w:p>
    <w:p>
      <w:pPr>
        <w:numPr>
          <w:ilvl w:val="0"/>
          <w:numId w:val="1050"/>
        </w:numPr>
        <w:pStyle w:val="Compact"/>
      </w:pPr>
      <w:r>
        <w:t xml:space="preserve">Identificeer hoofdstam → opsplitsen in takken → volg elk tak tot resectie-rand</w:t>
      </w:r>
    </w:p>
    <w:p>
      <w:pPr>
        <w:pStyle w:val="FirstParagraph"/>
      </w:pPr>
      <w:r>
        <w:rPr>
          <w:bCs/>
          <w:b/>
        </w:rPr>
        <w:t xml:space="preserve">Glandula submandibularis:</w:t>
      </w:r>
      <w:r>
        <w:t xml:space="preserve"> </w:t>
      </w:r>
      <w:r>
        <w:t xml:space="preserve">- Incisie parallel aan mandibula, 2–3 cm caudaal</w:t>
      </w:r>
      <w:r>
        <w:t xml:space="preserve"> </w:t>
      </w:r>
      <w:r>
        <w:t xml:space="preserve">- Identificeer en bescherm: n. marginalis mandibulae (VII; lateraal van onderpool gland), n. lingualis (mediaal-diep), n. hypoglossus (mediaal-diep)</w:t>
      </w:r>
      <w:r>
        <w:t xml:space="preserve"> </w:t>
      </w:r>
      <w:r>
        <w:t xml:space="preserve">- Ductus Wharton doorsnijden nabij mondbodem</w:t>
      </w:r>
    </w:p>
    <w:bookmarkEnd w:id="205"/>
    <w:bookmarkStart w:id="206" w:name="module-5-complicaties-1"/>
    <w:p>
      <w:pPr>
        <w:pStyle w:val="Heading3"/>
      </w:pPr>
      <w:r>
        <w:t xml:space="preserve">Module 5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2233"/>
        <w:gridCol w:w="16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 tijdelijk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Oogprotectie; wacht spontaan herstel (3–6 mnd)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Facialis-parese permanent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Revalidatie; oogcorrectie; evt. neurochirurgische reconstructie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Frey-syndroom</w:t>
            </w:r>
            <w:r>
              <w:t xml:space="preserve"> </w:t>
            </w:r>
            <w:r>
              <w:t xml:space="preserve">(auriculotemporalis-syndroom)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Maanden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Gustatorisch zweten bij eten;</w:t>
            </w:r>
            <w:r>
              <w:t xml:space="preserve"> </w:t>
            </w:r>
            <w:r>
              <w:rPr>
                <w:bCs/>
                <w:b/>
              </w:rPr>
              <w:t xml:space="preserve">botulinetoxine</w:t>
            </w:r>
            <w:r>
              <w:t xml:space="preserve"> </w:t>
            </w:r>
            <w:r>
              <w:t xml:space="preserve">(effectief 6–12 mnd); SMAS-interpositionering preventief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Speeksellekkage/speekselfistel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Drukverband; conservatief; botulinetoxine parotis (reductie secretie)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Evacuatie bij expansief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&lt;1–5% bij adequate 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Multipele noduli (</w:t>
            </w:r>
            <w:r>
              <w:t xml:space="preserve">“</w:t>
            </w:r>
            <w:r>
              <w:t xml:space="preserve">onion skin</w:t>
            </w:r>
            <w:r>
              <w:t xml:space="preserve">”</w:t>
            </w:r>
            <w:r>
              <w:t xml:space="preserve">); revisie-chirurgie technisch complex; adjuvante 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Carcinoma ex-PA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Jaren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1–7% bij langdurige 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Radicale chirurgie + 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Wond-infectie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End w:id="207"/>
    <w:bookmarkStart w:id="213" w:name="X0f39e872936c817191065464dda23e42a5836ee"/>
    <w:p>
      <w:pPr>
        <w:pStyle w:val="Heading2"/>
      </w:pPr>
      <w:r>
        <w:t xml:space="preserve">31. Nazorg, follow-up en revalidatie bij hoofd-halstumoren</w:t>
      </w:r>
    </w:p>
    <w:bookmarkStart w:id="208" w:name="module-1-follow-up-schema"/>
    <w:p>
      <w:pPr>
        <w:pStyle w:val="Heading3"/>
      </w:pPr>
      <w:r>
        <w:t xml:space="preserve">Module 1 — Follow-up 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Periode na 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</w:t>
            </w:r>
            <w:r>
              <w:t xml:space="preserve"> </w:t>
            </w:r>
            <w:r>
              <w:rPr>
                <w:bCs/>
                <w:b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Jaar 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</w:t>
            </w:r>
            <w:r>
              <w:t xml:space="preserve"> </w:t>
            </w:r>
            <w:r>
              <w:rPr>
                <w:bCs/>
                <w:b/>
              </w:rPr>
              <w:t xml:space="preserve">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 jaar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of ontslag (laag-risico)</w:t>
            </w:r>
          </w:p>
        </w:tc>
      </w:tr>
    </w:tbl>
    <w:p>
      <w:pPr>
        <w:pStyle w:val="BodyText"/>
      </w:pPr>
      <w:r>
        <w:rPr>
          <w:bCs/>
          <w:b/>
        </w:rPr>
        <w:t xml:space="preserve">Doelen follow-up:</w:t>
      </w:r>
      <w:r>
        <w:t xml:space="preserve"> </w:t>
      </w:r>
      <w:r>
        <w:t xml:space="preserve">1. Vroege detectie locoregionaal recidief (meest frequent jaar 1–3)</w:t>
      </w:r>
      <w:r>
        <w:t xml:space="preserve"> </w:t>
      </w:r>
      <w:r>
        <w:t xml:space="preserve">2. Detectie tweede primaire tumor (hoofd-hals, long: rookhistorie!)</w:t>
      </w:r>
      <w:r>
        <w:t xml:space="preserve"> </w:t>
      </w:r>
      <w:r>
        <w:t xml:space="preserve">3. Monitoring bijwerkingen therapie en behandeling complicaties</w:t>
      </w:r>
      <w:r>
        <w:t xml:space="preserve"> </w:t>
      </w:r>
      <w:r>
        <w:t xml:space="preserve">4. Begeleiding revalidatie</w:t>
      </w:r>
      <w:r>
        <w:t xml:space="preserve"> </w:t>
      </w:r>
      <w:r>
        <w:t xml:space="preserve">5. Psychosociale ondersteuning</w:t>
      </w:r>
    </w:p>
    <w:bookmarkEnd w:id="208"/>
    <w:bookmarkStart w:id="209" w:name="module-2-beeldvorming-follow-up"/>
    <w:p>
      <w:pPr>
        <w:pStyle w:val="Heading3"/>
      </w:pPr>
      <w:r>
        <w:t xml:space="preserve">Module 2 — Beeldvorming follow-up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PET-CT</w:t>
      </w:r>
      <w:r>
        <w:t xml:space="preserve">: bij verdenking recidief op klinische gronden; bij respons-evaluatie na CRT (minimaal 12 weken na einde RT); bij onbekende primaire tumor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CT hals</w:t>
      </w:r>
      <w:r>
        <w:t xml:space="preserve">: bij klinische verdenking recidief of lymfekliergroei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MRI lokaal</w:t>
      </w:r>
      <w:r>
        <w:t xml:space="preserve">: bij verdenking lokaal recidief; betere weke-delen beoordeling dan CT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CT thorax</w:t>
      </w:r>
      <w:r>
        <w:t xml:space="preserve">: jaarlijks bij rookhistorie (tweede primaire long); op indicatie</w:t>
      </w:r>
    </w:p>
    <w:bookmarkEnd w:id="209"/>
    <w:bookmarkStart w:id="210" w:name="module-3-revalidatie-per-domein"/>
    <w:p>
      <w:pPr>
        <w:pStyle w:val="Heading3"/>
      </w:pPr>
      <w:r>
        <w:t xml:space="preserve">Module 3 — Revalidatie per domein</w:t>
      </w:r>
    </w:p>
    <w:p>
      <w:pPr>
        <w:pStyle w:val="FirstParagraph"/>
      </w:pPr>
      <w:r>
        <w:rPr>
          <w:bCs/>
          <w:b/>
        </w:rPr>
        <w:t xml:space="preserve">Slikrevalidatie (logopedist + diëtist):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Pre-behandeling</w:t>
      </w:r>
      <w:r>
        <w:t xml:space="preserve">: baseline FEES + VFS; instructie oefeningen al vóór start RT (</w:t>
      </w:r>
      <w:r>
        <w:t xml:space="preserve">“</w:t>
      </w:r>
      <w:r>
        <w:t xml:space="preserve">prehabilitation</w:t>
      </w:r>
      <w:r>
        <w:t xml:space="preserve">”</w:t>
      </w:r>
      <w:r>
        <w:t xml:space="preserve">)</w:t>
      </w:r>
      <w:r>
        <w:t xml:space="preserve"> </w:t>
      </w:r>
      <w:r>
        <w:t xml:space="preserve">- Post-behandeling: FEES/VFS evaluatie; aanpassing consistentie (IDDSI); oefentherapie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Trismus</w:t>
      </w:r>
      <w:r>
        <w:t xml:space="preserve"> </w:t>
      </w:r>
      <w:r>
        <w:t xml:space="preserve">(kaakstijfheid na RT): preventieve jaw-opening oefeningen vóór + tijdens RT; TheraBite-apparaat; strek-oefeningen; doel: ≥35 mm mondopening</w:t>
      </w:r>
      <w:r>
        <w:t xml:space="preserve"> </w:t>
      </w:r>
      <w:r>
        <w:t xml:space="preserve">- PEG: bij aanhoudende onvoldoende inname of ernstige aspiratie; liefst zo snel mogelijk afbouwen als kliniek verbetert</w:t>
      </w:r>
    </w:p>
    <w:p>
      <w:pPr>
        <w:pStyle w:val="BodyText"/>
      </w:pPr>
      <w:r>
        <w:rPr>
          <w:bCs/>
          <w:b/>
        </w:rPr>
        <w:t xml:space="preserve">Spraak- en stemrevalidatie (logopedist):</w:t>
      </w:r>
      <w:r>
        <w:t xml:space="preserve"> </w:t>
      </w:r>
      <w:r>
        <w:t xml:space="preserve">- Na laryngectomie: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Tracheofonatieprothese (TFP)</w:t>
      </w:r>
      <w:r>
        <w:t xml:space="preserve">: meest effectief; directe verbinding trachea–oesofagus; Blom-Singer, Provox; vervanging elke 3–6 maanden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Oesofagusstem</w:t>
      </w:r>
      <w:r>
        <w:t xml:space="preserve">: injectie lucht in oesofagus; moeilijk aanleren; &gt;30% slaagt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Elektrolarynx</w:t>
      </w:r>
      <w:r>
        <w:t xml:space="preserve">: vibrerende staaf op hals; altijd als backup beschikbaar</w:t>
      </w:r>
      <w:r>
        <w:t xml:space="preserve"> </w:t>
      </w:r>
      <w:r>
        <w:t xml:space="preserve">- Na partiële laryngectomie of RT: stemtherapie</w:t>
      </w:r>
    </w:p>
    <w:p>
      <w:pPr>
        <w:pStyle w:val="BodyText"/>
      </w:pPr>
      <w:r>
        <w:rPr>
          <w:bCs/>
          <w:b/>
        </w:rPr>
        <w:t xml:space="preserve">Schouder revalidatie:</w:t>
      </w:r>
      <w:r>
        <w:t xml:space="preserve"> </w:t>
      </w:r>
      <w:r>
        <w:t xml:space="preserve">- Na HKD met N. XI (accessorius)-beschadiging: schouderdalig syndroom (pijn, abductiebeperking, winging scapula)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Fysiotherapie</w:t>
      </w:r>
      <w:r>
        <w:t xml:space="preserve">: starten direct postoperatief; minimaal 3–6 maanden; schouder-, trapezius- en scapula-oefeningen</w:t>
      </w:r>
      <w:r>
        <w:t xml:space="preserve"> </w:t>
      </w:r>
      <w:r>
        <w:t xml:space="preserve">- N. XI-sparende HKD: minder schoudercomplicaties</w:t>
      </w:r>
    </w:p>
    <w:p>
      <w:pPr>
        <w:pStyle w:val="BodyText"/>
      </w:pPr>
      <w:r>
        <w:rPr>
          <w:bCs/>
          <w:b/>
        </w:rPr>
        <w:t xml:space="preserve">Lymfoedeem:</w:t>
      </w:r>
      <w:r>
        <w:t xml:space="preserve"> </w:t>
      </w:r>
      <w:r>
        <w:t xml:space="preserve">- Cervicaal lymfoedeem: frequent na RT + HKD; soms intraoraal (zwelling tong/mondbodem)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Manuele lymfedrainage</w:t>
      </w:r>
      <w:r>
        <w:t xml:space="preserve"> </w:t>
      </w:r>
      <w:r>
        <w:t xml:space="preserve">(gespecialiseerde fysiotherapeut/oedeem-therapeut): dagelijks; compressiemateriaal</w:t>
      </w:r>
      <w:r>
        <w:t xml:space="preserve"> </w:t>
      </w:r>
      <w:r>
        <w:t xml:space="preserve">- Preventie: vroeg starten massagetherapie</w:t>
      </w:r>
    </w:p>
    <w:p>
      <w:pPr>
        <w:pStyle w:val="BodyText"/>
      </w:pPr>
      <w:r>
        <w:rPr>
          <w:bCs/>
          <w:b/>
        </w:rPr>
        <w:t xml:space="preserve">Hypothyreoïdie: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Risico</w:t>
      </w:r>
      <w:r>
        <w:t xml:space="preserve">: na RT van hals (schildklier in stralenveld); na hemithyroïdectomie; na totale thyroïdectomie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Monitoring</w:t>
      </w:r>
      <w:r>
        <w:t xml:space="preserve">:</w:t>
      </w:r>
      <w:r>
        <w:t xml:space="preserve"> </w:t>
      </w:r>
      <w:r>
        <w:rPr>
          <w:bCs/>
          <w:b/>
        </w:rPr>
        <w:t xml:space="preserve">TSH jaarlijks</w:t>
      </w:r>
      <w:r>
        <w:t xml:space="preserve"> </w:t>
      </w:r>
      <w:r>
        <w:t xml:space="preserve">gedurende follow-up; langer bij RT-patiënten (hypothyreoïdie kan tot 10 jaar na RT ontstaan)</w:t>
      </w:r>
      <w:r>
        <w:t xml:space="preserve"> </w:t>
      </w:r>
      <w:r>
        <w:t xml:space="preserve">- Behandeling: levothyroxine; bij schildkliercarcinoom: suppressietherapie</w:t>
      </w:r>
    </w:p>
    <w:p>
      <w:pPr>
        <w:pStyle w:val="BodyText"/>
      </w:pPr>
      <w:r>
        <w:rPr>
          <w:bCs/>
          <w:b/>
        </w:rPr>
        <w:t xml:space="preserve">Ototoxiciteit-bewaking:</w:t>
      </w:r>
      <w:r>
        <w:t xml:space="preserve"> </w:t>
      </w:r>
      <w:r>
        <w:t xml:space="preserve">- Cisplatine: jaarlijks audiogram; hoogfrequente drempelstijging bewaken</w:t>
      </w:r>
      <w:r>
        <w:t xml:space="preserve"> </w:t>
      </w:r>
      <w:r>
        <w:t xml:space="preserve">- Dosisaanpassing of stoppen bij significante verslechtering (≥10 dB)</w:t>
      </w:r>
    </w:p>
    <w:bookmarkEnd w:id="210"/>
    <w:bookmarkStart w:id="211" w:name="module-4-psychosociale-zorg"/>
    <w:p>
      <w:pPr>
        <w:pStyle w:val="Heading3"/>
      </w:pPr>
      <w:r>
        <w:t xml:space="preserve">Module 4 — Psychosociale zorg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Angst en depressie</w:t>
      </w:r>
      <w:r>
        <w:t xml:space="preserve">: hoge prevalentie (~30–50%) bij hoofd-halspatiënten; screening via PHQ-9, GAD-7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Lichaamsbeeldproblemen</w:t>
      </w:r>
      <w:r>
        <w:t xml:space="preserve">: littekens, tracheostoma, veranderd uiterlijk gelaat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Psycholoog/psychiater</w:t>
      </w:r>
      <w:r>
        <w:t xml:space="preserve">: bij klinisch significante klachten; CGT; medicamenteuze behandeling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Maatschappelijk werk</w:t>
      </w:r>
      <w:r>
        <w:t xml:space="preserve">: praktische zaken, financiën, werk-hervatting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Lotgenotencontact</w:t>
      </w:r>
      <w:r>
        <w:t xml:space="preserve">: Hoofd-Hals Nederland (patiëntenvereniging)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Seksuele disfunctie</w:t>
      </w:r>
      <w:r>
        <w:t xml:space="preserve">: bespreken; verwijzen seksologie</w:t>
      </w:r>
    </w:p>
    <w:bookmarkEnd w:id="211"/>
    <w:bookmarkStart w:id="212" w:name="module-5-voeding"/>
    <w:p>
      <w:pPr>
        <w:pStyle w:val="Heading3"/>
      </w:pPr>
      <w:r>
        <w:t xml:space="preserve">Module 5 — Voeding</w:t>
      </w:r>
    </w:p>
    <w:p>
      <w:pPr>
        <w:numPr>
          <w:ilvl w:val="0"/>
          <w:numId w:val="1053"/>
        </w:numPr>
        <w:pStyle w:val="Compact"/>
      </w:pPr>
      <w:r>
        <w:t xml:space="preserve">Diëtist: betrokken vóór, tijdens en na behandeling</w:t>
      </w:r>
    </w:p>
    <w:p>
      <w:pPr>
        <w:numPr>
          <w:ilvl w:val="0"/>
          <w:numId w:val="1053"/>
        </w:numPr>
        <w:pStyle w:val="Compact"/>
      </w:pPr>
      <w:r>
        <w:t xml:space="preserve">Gewichtsverlies &gt;10% pre-behandeling: negatieve prognostische factor</w:t>
      </w:r>
    </w:p>
    <w:p>
      <w:pPr>
        <w:numPr>
          <w:ilvl w:val="0"/>
          <w:numId w:val="1053"/>
        </w:numPr>
        <w:pStyle w:val="Compact"/>
      </w:pPr>
      <w:r>
        <w:t xml:space="preserve">Enterale voeding vóór RT starten als anticipatie op ernstige mucositis</w:t>
      </w:r>
    </w:p>
    <w:p>
      <w:pPr>
        <w:numPr>
          <w:ilvl w:val="0"/>
          <w:numId w:val="1053"/>
        </w:numPr>
        <w:pStyle w:val="Compact"/>
      </w:pPr>
      <w:r>
        <w:t xml:space="preserve">PEG vs NGT: bij verwachte lange periode sondevoeding (&gt;4–6 weken): PEG voorkeur</w:t>
      </w:r>
    </w:p>
    <w:p>
      <w:pPr>
        <w:numPr>
          <w:ilvl w:val="0"/>
          <w:numId w:val="1053"/>
        </w:numPr>
        <w:pStyle w:val="Compact"/>
      </w:pPr>
      <w:r>
        <w:t xml:space="preserve">Monitoring: gewicht elke follow-up visit; MUST-score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End w:id="214"/>
    <w:bookmarkStart w:id="231" w:name="aangezichtschirurgie"/>
    <w:p>
      <w:pPr>
        <w:pStyle w:val="Heading1"/>
      </w:pPr>
      <w:r>
        <w:t xml:space="preserve">AANGEZICHTSCHIRURGIE</w:t>
      </w:r>
    </w:p>
    <w:p>
      <w:r>
        <w:pict>
          <v:rect style="width:0;height:1.5pt" o:hralign="center" o:hrstd="t" o:hr="t"/>
        </w:pict>
      </w:r>
    </w:p>
    <w:bookmarkStart w:id="219" w:name="afstaande-oren"/>
    <w:p>
      <w:pPr>
        <w:pStyle w:val="Heading2"/>
      </w:pPr>
      <w:r>
        <w:t xml:space="preserve">32. Afstaande oren</w:t>
      </w:r>
    </w:p>
    <w:bookmarkStart w:id="215" w:name="module-1-definitie-anatomie"/>
    <w:p>
      <w:pPr>
        <w:pStyle w:val="Heading3"/>
      </w:pPr>
      <w:r>
        <w:t xml:space="preserve">Module 1 — Definitie &amp; anatomie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Cephalo-auriculaire hoek</w:t>
      </w:r>
      <w:r>
        <w:t xml:space="preserve">: hoek tussen mastoïd-vlak en oorschelpvlak; normaal 20–30°;</w:t>
      </w:r>
      <w:r>
        <w:t xml:space="preserve"> </w:t>
      </w:r>
      <w:r>
        <w:rPr>
          <w:bCs/>
          <w:b/>
        </w:rPr>
        <w:t xml:space="preserve">afstaand: &gt;40°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Auriculaire projectie</w:t>
      </w:r>
      <w:r>
        <w:t xml:space="preserve">: afstand helixrand tot mastoïdoppervlak; normaal &lt;18–20 mm;</w:t>
      </w:r>
      <w:r>
        <w:t xml:space="preserve"> </w:t>
      </w:r>
      <w:r>
        <w:rPr>
          <w:bCs/>
          <w:b/>
        </w:rPr>
        <w:t xml:space="preserve">afstaand: &gt;20–22 mm</w:t>
      </w:r>
    </w:p>
    <w:p>
      <w:pPr>
        <w:numPr>
          <w:ilvl w:val="0"/>
          <w:numId w:val="1054"/>
        </w:numPr>
        <w:pStyle w:val="Compact"/>
      </w:pPr>
      <w:r>
        <w:t xml:space="preserve">Prevalentie: ~5% van bevolking; familiair voorkomen</w:t>
      </w:r>
    </w:p>
    <w:p>
      <w:pPr>
        <w:pStyle w:val="FirstParagraph"/>
      </w:pPr>
      <w:r>
        <w:rPr>
          <w:bCs/>
          <w:b/>
        </w:rPr>
        <w:t xml:space="preserve">Anatomische oorzaken: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Anthelix-aplasie/hypoplasie</w:t>
      </w:r>
      <w:r>
        <w:t xml:space="preserve"> </w:t>
      </w:r>
      <w:r>
        <w:t xml:space="preserve">(meest voorkomend ~70%): normaal niet gevormde plooiing van anthelix → oor staat af door gebrek aan tegenkracht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Diepe of uitstaande concha</w:t>
      </w:r>
      <w:r>
        <w:t xml:space="preserve"> </w:t>
      </w:r>
      <w:r>
        <w:t xml:space="preserve">(concha hypertrofie of te grote cephalo-conchal hoek): concha te groot of te prominent → oor naar voren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Combinatie</w:t>
      </w:r>
      <w:r>
        <w:t xml:space="preserve"> </w:t>
      </w:r>
      <w:r>
        <w:t xml:space="preserve">van beide</w:t>
      </w:r>
    </w:p>
    <w:bookmarkEnd w:id="215"/>
    <w:bookmarkStart w:id="216" w:name="module-2-diagnostiek-beoordeling"/>
    <w:p>
      <w:pPr>
        <w:pStyle w:val="Heading3"/>
      </w:pPr>
      <w:r>
        <w:t xml:space="preserve">Module 2 — Diagnostiek &amp; beoordeling</w:t>
      </w:r>
    </w:p>
    <w:p>
      <w:pPr>
        <w:numPr>
          <w:ilvl w:val="0"/>
          <w:numId w:val="1055"/>
        </w:numPr>
        <w:pStyle w:val="Compact"/>
      </w:pPr>
      <w:r>
        <w:t xml:space="preserve">Klinische beoordeling: foto’s van voren, zij en boven (documentatie + symmetrie)</w:t>
      </w:r>
    </w:p>
    <w:p>
      <w:pPr>
        <w:numPr>
          <w:ilvl w:val="0"/>
          <w:numId w:val="1055"/>
        </w:numPr>
        <w:pStyle w:val="Compact"/>
      </w:pPr>
      <w:r>
        <w:t xml:space="preserve">Meting: cephalo-auriculaire hoek en projectie bilateraal</w:t>
      </w:r>
    </w:p>
    <w:p>
      <w:pPr>
        <w:numPr>
          <w:ilvl w:val="0"/>
          <w:numId w:val="1055"/>
        </w:numPr>
        <w:pStyle w:val="Compact"/>
      </w:pPr>
      <w:r>
        <w:t xml:space="preserve">Bepaal dominante anatomische afwijking (anthelix vs concha vs combinatie)</w:t>
      </w:r>
    </w:p>
    <w:p>
      <w:pPr>
        <w:numPr>
          <w:ilvl w:val="0"/>
          <w:numId w:val="1055"/>
        </w:numPr>
        <w:pStyle w:val="Compact"/>
      </w:pPr>
      <w:r>
        <w:t xml:space="preserve">Kraakbeenstijfheid beoordelen (invloed op techniek)</w:t>
      </w:r>
    </w:p>
    <w:p>
      <w:pPr>
        <w:pStyle w:val="FirstParagraph"/>
      </w:pPr>
      <w:r>
        <w:rPr>
          <w:bCs/>
          <w:b/>
        </w:rPr>
        <w:t xml:space="preserve">Leeftijd chirurgie:</w:t>
      </w:r>
      <w:r>
        <w:t xml:space="preserve"> </w:t>
      </w:r>
      <w:r>
        <w:t xml:space="preserve">- Oor bereikt 85–90% van volwassen grootte op</w:t>
      </w:r>
      <w:r>
        <w:t xml:space="preserve"> </w:t>
      </w:r>
      <w:r>
        <w:rPr>
          <w:bCs/>
          <w:b/>
        </w:rPr>
        <w:t xml:space="preserve">5–6 jaar</w:t>
      </w:r>
      <w:r>
        <w:t xml:space="preserve"> </w:t>
      </w:r>
      <w:r>
        <w:t xml:space="preserve">- Vóór schoolleeftijd: sociaal voordeel (pesterijen)</w:t>
      </w:r>
      <w:r>
        <w:t xml:space="preserve"> </w:t>
      </w:r>
      <w:r>
        <w:t xml:space="preserve">- Conservatieve behandeling (speciaal): oor is plastisch eerste 6 weken postnataal (moederlijk oestrogeen); spalk of tape (EarBuddies, bijv.); goede resultaten bij vroeg start; alternatief voor chirurgie bij mild geval</w:t>
      </w:r>
    </w:p>
    <w:bookmarkEnd w:id="216"/>
    <w:bookmarkStart w:id="217" w:name="module-3-chirurgische-technieken-1"/>
    <w:p>
      <w:pPr>
        <w:pStyle w:val="Heading3"/>
      </w:pPr>
      <w:r>
        <w:t xml:space="preserve">Module 3 — Chirurgische technieken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57"/>
        <w:gridCol w:w="2457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Mustardé-hechtingen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Permanente (niet-resorbeerbare) matrashechtingen om anthelix te pliceren; 2–3 rijen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Anthelix-afwijking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Furnas-hechtingen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Concha-mastoïd-hechtingen om concha dichter naar mastoïd te brengen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Diepe concha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technieken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Gecombineerde afwijking (meest frequent)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Kraakbeen-scoring/rasping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Oppervlak kraakbeen verzwakken vóór 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Aanvullend bij stijf kraakbeen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Concha-excisie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Verwijdering deel concharand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Extreme concha-hypertrofie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Operatietechniek details:</w:t>
      </w:r>
      <w:r>
        <w:t xml:space="preserve"> </w:t>
      </w:r>
      <w:r>
        <w:t xml:space="preserve">- Anesthesie: lokaal (volwassenen, oudere kinderen) of algemeen (jonge kinderen)</w:t>
      </w:r>
      <w:r>
        <w:t xml:space="preserve"> </w:t>
      </w:r>
      <w:r>
        <w:t xml:space="preserve">- Incisie: posterieur (achter oorschelp); huidexcisie soms</w:t>
      </w:r>
      <w:r>
        <w:t xml:space="preserve"> </w:t>
      </w:r>
      <w:r>
        <w:t xml:space="preserve">- Mustardé: vaatje naald door kraakbeen anterior → posterior → gehechte plicatie</w:t>
      </w:r>
      <w:r>
        <w:t xml:space="preserve"> </w:t>
      </w:r>
      <w:r>
        <w:t xml:space="preserve">- Furnas: hechting van conchaperichondrium naar mastoïdperiost</w:t>
      </w:r>
      <w:r>
        <w:t xml:space="preserve"> </w:t>
      </w:r>
      <w:r>
        <w:t xml:space="preserve">- Hechtingsmateriaal: niet-resorbeerbaar (prolene, nylon 3-0)</w:t>
      </w:r>
      <w:r>
        <w:t xml:space="preserve"> </w:t>
      </w:r>
      <w:r>
        <w:t xml:space="preserve">- Drukverband: 7–14 dagen; daarna hoofdband ’s nachts (4–6 weken)</w:t>
      </w:r>
    </w:p>
    <w:bookmarkEnd w:id="217"/>
    <w:bookmarkStart w:id="218" w:name="module-4-complicaties"/>
    <w:p>
      <w:pPr>
        <w:pStyle w:val="Heading3"/>
      </w:pPr>
      <w:r>
        <w:t xml:space="preserve">Module 4 — Complicaties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1624"/>
        <w:gridCol w:w="2233"/>
        <w:gridCol w:w="16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Aanpak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Hematoom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 (&lt;48 uur)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Evacueren! Cave kraakbeennecrose en infectie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Infectie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Vroeg–middel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Antibiotica; drainage bij abces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Hypertrofisch litteken/keloid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Siliconengel; corticosteroïdinfiltratie; laser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Overcorrectie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telephone ear deformity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Revisie-chirurgie (loslaten hechtingen)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Zichtbare 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Revise; verwijdering hechting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Pijnlijke hechtingen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Conservatief; verwijdering indien nodig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Recidief</w:t>
            </w:r>
            <w:r>
              <w:t xml:space="preserve"> </w:t>
            </w:r>
            <w:r>
              <w:t xml:space="preserve">(hechtingen losgaan)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Revisie-chirurgie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Accepteren of revisie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Hematoom vroeg postoperatief: altijd evacueren om kraakbeennecrose en cauliflower ear te voorkomen!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4" w:name="plaveiselcelcarcinoom-pcc-van-de-huid"/>
    <w:p>
      <w:pPr>
        <w:pStyle w:val="Heading2"/>
      </w:pPr>
      <w:r>
        <w:t xml:space="preserve">33. Plaveiselcelcarcinoom (PCC) van de huid</w:t>
      </w:r>
    </w:p>
    <w:bookmarkStart w:id="220" w:name="module-1-epidemiologie-risicofactoren"/>
    <w:p>
      <w:pPr>
        <w:pStyle w:val="Heading3"/>
      </w:pPr>
      <w:r>
        <w:t xml:space="preserve">Module 1 — Epidemiologie &amp; risicofactoren</w:t>
      </w:r>
    </w:p>
    <w:p>
      <w:pPr>
        <w:numPr>
          <w:ilvl w:val="0"/>
          <w:numId w:val="1056"/>
        </w:numPr>
        <w:pStyle w:val="Compact"/>
      </w:pPr>
      <w:r>
        <w:t xml:space="preserve">Tweede meest voorkomende huidmaligniteit (na BCC)</w:t>
      </w:r>
    </w:p>
    <w:p>
      <w:pPr>
        <w:numPr>
          <w:ilvl w:val="0"/>
          <w:numId w:val="1056"/>
        </w:numPr>
        <w:pStyle w:val="Compact"/>
      </w:pPr>
      <w:r>
        <w:t xml:space="preserve">Incidentie stijgend: ~25/100.000/jaar</w:t>
      </w:r>
    </w:p>
    <w:p>
      <w:pPr>
        <w:numPr>
          <w:ilvl w:val="0"/>
          <w:numId w:val="1056"/>
        </w:numPr>
        <w:pStyle w:val="Compact"/>
      </w:pPr>
      <w:r>
        <w:t xml:space="preserve">Metastaserisico: ~5% (aanzienlijk hoger bij hoog-risico kenmerken)</w:t>
      </w:r>
    </w:p>
    <w:p>
      <w:pPr>
        <w:pStyle w:val="FirstParagraph"/>
      </w:pPr>
      <w:r>
        <w:rPr>
          <w:bCs/>
          <w:b/>
        </w:rPr>
        <w:t xml:space="preserve">Risicofactoren: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UV-straling</w:t>
      </w:r>
      <w:r>
        <w:t xml:space="preserve">: levenslange cumulatieve blootstelling; buitenwerkenden, hoog UV-gebied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Immunosuppressie</w:t>
      </w:r>
      <w:r>
        <w:t xml:space="preserve">: orgaantransplantatie-patiënten 65–250× verhoogd risico! (tacrolimus, ciclosporine, prednison); SCC meest voorkomende maligniteit na transplantatie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Chronische huidbeschadiging</w:t>
      </w:r>
      <w:r>
        <w:t xml:space="preserve">: brandwondlitteken (Marjolin-ulcus), chronische ulcera, osteomyelitis-fistel, lichen sclerosus, discoid lupus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HPV</w:t>
      </w:r>
      <w:r>
        <w:t xml:space="preserve">: bepaalde high-risk types; perianaal, genitaal, periungaal PCC</w:t>
      </w:r>
      <w:r>
        <w:t xml:space="preserve"> </w:t>
      </w:r>
      <w:r>
        <w:t xml:space="preserve">- Chemicaliën: arsenicum, ioniserende straling</w:t>
      </w:r>
      <w:r>
        <w:t xml:space="preserve"> </w:t>
      </w:r>
      <w:r>
        <w:t xml:space="preserve">- Voorlopers: actinische keratose (AK),</w:t>
      </w:r>
      <w:r>
        <w:t xml:space="preserve"> </w:t>
      </w:r>
      <w:r>
        <w:rPr>
          <w:bCs/>
          <w:b/>
        </w:rPr>
        <w:t xml:space="preserve">Bowen’s ziekte</w:t>
      </w:r>
      <w:r>
        <w:t xml:space="preserve"> </w:t>
      </w:r>
      <w:r>
        <w:t xml:space="preserve">(PCC in situ), Queyrat’s erythroplasie (glans penis)</w:t>
      </w:r>
    </w:p>
    <w:bookmarkEnd w:id="220"/>
    <w:bookmarkStart w:id="221" w:name="Xc64867cb63633432a4f3d322f75bb157b111aa5"/>
    <w:p>
      <w:pPr>
        <w:pStyle w:val="Heading3"/>
      </w:pPr>
      <w:r>
        <w:t xml:space="preserve">Module 2 — Hoog-risico kenmerken (recidief en metastase)</w:t>
      </w:r>
    </w:p>
    <w:p>
      <w:pPr>
        <w:pStyle w:val="BlockText"/>
      </w:pPr>
      <w:r>
        <w:rPr>
          <w:bCs/>
          <w:b/>
        </w:rPr>
        <w:t xml:space="preserve">Hoog-risico PCC: aanwezig bij ≥1 van:</w:t>
      </w:r>
      <w:r>
        <w:t xml:space="preserve"> </w:t>
      </w:r>
      <w:r>
        <w:t xml:space="preserve">- Diameter</w:t>
      </w:r>
      <w:r>
        <w:t xml:space="preserve"> </w:t>
      </w:r>
      <w:r>
        <w:rPr>
          <w:bCs/>
          <w:b/>
        </w:rPr>
        <w:t xml:space="preserve">&gt;2 cm</w:t>
      </w:r>
      <w:r>
        <w:t xml:space="preserve"> </w:t>
      </w:r>
      <w:r>
        <w:t xml:space="preserve">- Diepte</w:t>
      </w:r>
      <w:r>
        <w:t xml:space="preserve"> </w:t>
      </w:r>
      <w:r>
        <w:rPr>
          <w:bCs/>
          <w:b/>
        </w:rPr>
        <w:t xml:space="preserve">&gt;6 mm</w:t>
      </w:r>
      <w:r>
        <w:t xml:space="preserve"> </w:t>
      </w:r>
      <w:r>
        <w:t xml:space="preserve">(Clark V) of invasie in subcutis</w:t>
      </w:r>
      <w:r>
        <w:t xml:space="preserve"> </w:t>
      </w:r>
      <w:r>
        <w:t xml:space="preserve">- Slechte histologische differentiatie (G3–4)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Perineurale invasie</w:t>
      </w:r>
      <w:r>
        <w:t xml:space="preserve"> </w:t>
      </w:r>
      <w:r>
        <w:t xml:space="preserve">(PNI)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Lymfovasculaire invasie</w:t>
      </w:r>
      <w:r>
        <w:t xml:space="preserve"> </w:t>
      </w:r>
      <w:r>
        <w:t xml:space="preserve">- Locatie: lip, oor, neus, genitaal, niet-zonexpositie</w:t>
      </w:r>
      <w:r>
        <w:t xml:space="preserve"> </w:t>
      </w:r>
      <w:r>
        <w:t xml:space="preserve">- Agressief histologisch subtype (desmoplastisch, adenosquameus)</w:t>
      </w:r>
      <w:r>
        <w:t xml:space="preserve"> </w:t>
      </w:r>
      <w:r>
        <w:t xml:space="preserve">- Recidief PCC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Immunosuppressie</w:t>
      </w:r>
      <w:r>
        <w:t xml:space="preserve"> </w:t>
      </w:r>
      <w:r>
        <w:t xml:space="preserve">(transplantatiepatiënten!)</w:t>
      </w:r>
      <w:r>
        <w:t xml:space="preserve"> </w:t>
      </w:r>
      <w:r>
        <w:t xml:space="preserve">- Diameter &gt;1 cm op hoog-risico locatie (oor, lip)</w:t>
      </w:r>
    </w:p>
    <w:bookmarkEnd w:id="221"/>
    <w:bookmarkStart w:id="222" w:name="module-3-diagnostiek-9"/>
    <w:p>
      <w:pPr>
        <w:pStyle w:val="Heading3"/>
      </w:pPr>
      <w:r>
        <w:t xml:space="preserve">Module 3 — Diagnostiek</w:t>
      </w:r>
    </w:p>
    <w:p>
      <w:pPr>
        <w:numPr>
          <w:ilvl w:val="0"/>
          <w:numId w:val="1057"/>
        </w:numPr>
        <w:pStyle w:val="Compact"/>
      </w:pPr>
      <w:r>
        <w:t xml:space="preserve">Klinisch +</w:t>
      </w:r>
      <w:r>
        <w:t xml:space="preserve"> </w:t>
      </w:r>
      <w:r>
        <w:rPr>
          <w:bCs/>
          <w:b/>
        </w:rPr>
        <w:t xml:space="preserve">excisiebiopsie</w:t>
      </w:r>
      <w:r>
        <w:t xml:space="preserve"> </w:t>
      </w:r>
      <w:r>
        <w:t xml:space="preserve">(voorkeur: volledige excisie of incisiebiopsie bij grote tumor)</w:t>
      </w:r>
    </w:p>
    <w:p>
      <w:pPr>
        <w:numPr>
          <w:ilvl w:val="0"/>
          <w:numId w:val="1057"/>
        </w:numPr>
        <w:pStyle w:val="Compact"/>
      </w:pPr>
      <w:r>
        <w:t xml:space="preserve">Histopathologierapport moet vermelden: differentiatiegraad, diepte (mm), perineurale invasie, marges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CT/MRI hoofd-hals</w:t>
      </w:r>
      <w:r>
        <w:t xml:space="preserve">: bij hoog-risico PCC; perineurale invasie; verdenking klierbetrokkenheid</w:t>
      </w:r>
    </w:p>
    <w:p>
      <w:pPr>
        <w:numPr>
          <w:ilvl w:val="0"/>
          <w:numId w:val="1057"/>
        </w:numPr>
        <w:pStyle w:val="Compact"/>
      </w:pPr>
      <w:r>
        <w:t xml:space="preserve">FDG-PET bij N+ of M-verdenking</w:t>
      </w:r>
    </w:p>
    <w:p>
      <w:pPr>
        <w:pStyle w:val="FirstParagraph"/>
      </w:pPr>
      <w:r>
        <w:rPr>
          <w:bCs/>
          <w:b/>
        </w:rPr>
        <w:t xml:space="preserve">Staging (AJCC 8e editie hoofd-hals PCC):</w:t>
      </w:r>
      <w:r>
        <w:t xml:space="preserve"> </w:t>
      </w:r>
      <w:r>
        <w:t xml:space="preserve">- T1: &lt;2 cm, &lt;2 hoog-risicofactoren</w:t>
      </w:r>
      <w:r>
        <w:t xml:space="preserve"> </w:t>
      </w:r>
      <w:r>
        <w:t xml:space="preserve">- T2: ≥2 cm OF ≥2 hoog-risicofactoren maar geen botinvasie</w:t>
      </w:r>
      <w:r>
        <w:t xml:space="preserve"> </w:t>
      </w:r>
      <w:r>
        <w:t xml:space="preserve">- T3: invasie maxilla/mandibula/orbit/schedelbasis</w:t>
      </w:r>
      <w:r>
        <w:t xml:space="preserve"> </w:t>
      </w:r>
      <w:r>
        <w:t xml:space="preserve">- T4: intracranieel; invasie schedelbasis met foramina</w:t>
      </w:r>
    </w:p>
    <w:p>
      <w:pPr>
        <w:pStyle w:val="BlockText"/>
      </w:pPr>
      <w:r>
        <w:t xml:space="preserve">🔴</w:t>
      </w:r>
      <w:r>
        <w:t xml:space="preserve"> </w:t>
      </w:r>
      <w:r>
        <w:rPr>
          <w:bCs/>
          <w:b/>
        </w:rPr>
        <w:t xml:space="preserve">Alarmsymptomen PCC:</w:t>
      </w:r>
      <w:r>
        <w:t xml:space="preserve"> </w:t>
      </w:r>
      <w:r>
        <w:t xml:space="preserve">- Snel groeiende laesie bij transplantatiepatiënt → agressief beleid</w:t>
      </w:r>
      <w:r>
        <w:t xml:space="preserve"> </w:t>
      </w:r>
      <w:r>
        <w:t xml:space="preserve">- Pijn langs zenuwtracé (perineurale invasie!) → uitgebreide beeldvorming</w:t>
      </w:r>
      <w:r>
        <w:t xml:space="preserve"> </w:t>
      </w:r>
      <w:r>
        <w:t xml:space="preserve">- Palpabele regionale lymfeklieren → CT-staging; klierdissectie</w:t>
      </w:r>
      <w:r>
        <w:t xml:space="preserve"> </w:t>
      </w:r>
      <w:r>
        <w:t xml:space="preserve">- Ulceratie in oud litteken → Marjolin-ulcus; biopsie altijd</w:t>
      </w:r>
    </w:p>
    <w:bookmarkEnd w:id="222"/>
    <w:bookmarkStart w:id="223" w:name="module-4-behandeling-5"/>
    <w:p>
      <w:pPr>
        <w:pStyle w:val="Heading3"/>
      </w:pPr>
      <w:r>
        <w:t xml:space="preserve">Module 4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2"/>
        <w:gridCol w:w="2292"/>
        <w:gridCol w:w="1458"/>
        <w:gridCol w:w="18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Modaliteit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 alle PCC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Laag-risico: 4–6 mm; hoog-risico: 10 mm of meer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~90–95% laag-risico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locaties (oor, neus, lip), recidief, perineurale invasie, grootte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marginale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~97–99%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Niet-resectabel; palliatief; adjuvant (PNI, N+, R1); oudere patiënten die niet kunnen opereren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~80–90% vroeg stadium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hoog-risico cN0; aangroeiend 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Electieve HKD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cN0 hoog-risico; alternatief voor SLNB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I–III (parotisregio)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Therapeutisch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Cemiplimab</w:t>
            </w:r>
            <w:r>
              <w:t xml:space="preserve"> </w:t>
            </w:r>
            <w:r>
              <w:t xml:space="preserve">(Libtayo, PD-1)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niet-resectabel of gemetastaseerd PCC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of 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ORR ~50%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Pembrolizumab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Alternatief PD-1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Adjuvante RT indicaties:</w:t>
      </w:r>
      <w:r>
        <w:t xml:space="preserve"> </w:t>
      </w:r>
      <w:r>
        <w:t xml:space="preserve">- Perineurale invasie (PNI)</w:t>
      </w:r>
      <w:r>
        <w:t xml:space="preserve"> </w:t>
      </w:r>
      <w:r>
        <w:t xml:space="preserve">- Positieve/nauwe marges na maximale chirurgie</w:t>
      </w:r>
      <w:r>
        <w:t xml:space="preserve"> </w:t>
      </w:r>
      <w:r>
        <w:t xml:space="preserve">- Meerdere positieve klieren of extranodale extensie</w:t>
      </w:r>
    </w:p>
    <w:p>
      <w:pPr>
        <w:pStyle w:val="BodyText"/>
      </w:pPr>
      <w:r>
        <w:rPr>
          <w:bCs/>
          <w:b/>
        </w:rPr>
        <w:t xml:space="preserve">Follow-up PCC:</w:t>
      </w:r>
      <w:r>
        <w:t xml:space="preserve"> </w:t>
      </w:r>
      <w:r>
        <w:t xml:space="preserve">- Jaar 1–2: elke 3 maanden</w:t>
      </w:r>
      <w:r>
        <w:t xml:space="preserve"> </w:t>
      </w:r>
      <w:r>
        <w:t xml:space="preserve">- Jaar 3–5: elke 6 maanden</w:t>
      </w:r>
      <w:r>
        <w:t xml:space="preserve"> </w:t>
      </w:r>
      <w:r>
        <w:t xml:space="preserve">- Na 5 jaar: jaarlijks; langdurig bij immunosuppressie (levenslang verhoogd risico)</w:t>
      </w:r>
      <w:r>
        <w:t xml:space="preserve"> </w:t>
      </w:r>
      <w:r>
        <w:t xml:space="preserve">- Zelfonderzoek huid instrueren; totale huidinspectie bij elk bezoek</w:t>
      </w:r>
      <w:r>
        <w:t xml:space="preserve"> </w:t>
      </w:r>
      <w:r>
        <w:t xml:space="preserve">- Bescherming UV (leefstijl, zonnebrand SPF50+, beschermende kleding)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30" w:name="basaalcelcarcinoom-bcc"/>
    <w:p>
      <w:pPr>
        <w:pStyle w:val="Heading2"/>
      </w:pPr>
      <w:r>
        <w:t xml:space="preserve">34. Basaalcelcarcinoom (BCC)</w:t>
      </w:r>
    </w:p>
    <w:bookmarkStart w:id="225" w:name="module-1-epidemiologie"/>
    <w:p>
      <w:pPr>
        <w:pStyle w:val="Heading3"/>
      </w:pPr>
      <w:r>
        <w:t xml:space="preserve">Module 1 — Epidemiologie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Meest voorkomende maligniteit bij mensen</w:t>
      </w:r>
      <w:r>
        <w:t xml:space="preserve"> </w:t>
      </w:r>
      <w:r>
        <w:t xml:space="preserve">(alle typen kanker)</w:t>
      </w:r>
    </w:p>
    <w:p>
      <w:pPr>
        <w:numPr>
          <w:ilvl w:val="0"/>
          <w:numId w:val="1058"/>
        </w:numPr>
        <w:pStyle w:val="Compact"/>
      </w:pPr>
      <w:r>
        <w:t xml:space="preserve">Incidentie: ~100/100.000/jaar in Nederland; stijgend</w:t>
      </w:r>
    </w:p>
    <w:p>
      <w:pPr>
        <w:numPr>
          <w:ilvl w:val="0"/>
          <w:numId w:val="1058"/>
        </w:numPr>
        <w:pStyle w:val="Compact"/>
      </w:pPr>
      <w:r>
        <w:t xml:space="preserve">Metastaserisico: &lt;0.1% (uitzonderlijk zeldzaam)</w:t>
      </w:r>
    </w:p>
    <w:p>
      <w:pPr>
        <w:numPr>
          <w:ilvl w:val="0"/>
          <w:numId w:val="1058"/>
        </w:numPr>
        <w:pStyle w:val="Compact"/>
      </w:pPr>
      <w:r>
        <w:t xml:space="preserve">Toch significante morbiditeit door lokale invasie (orbit, neus, oor, schedelbasis)</w:t>
      </w:r>
    </w:p>
    <w:p>
      <w:pPr>
        <w:numPr>
          <w:ilvl w:val="0"/>
          <w:numId w:val="1058"/>
        </w:numPr>
        <w:pStyle w:val="Compact"/>
      </w:pPr>
      <w:r>
        <w:t xml:space="preserve">UV-straling voornaamste oorzaak; ioniserende straling; arsenicum; immunosuppressie</w:t>
      </w:r>
    </w:p>
    <w:p>
      <w:pPr>
        <w:pStyle w:val="FirstParagraph"/>
      </w:pPr>
      <w:r>
        <w:rPr>
          <w:bCs/>
          <w:b/>
        </w:rPr>
        <w:t xml:space="preserve">Genetisch syndroom: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Gorlin-syndroom</w:t>
      </w:r>
      <w:r>
        <w:t xml:space="preserve"> </w:t>
      </w:r>
      <w:r>
        <w:t xml:space="preserve">(basaalcel-naevussyndroom): PTCH1-mutatie; multipele BCC’s op jonge leeftijd (&lt;30 jaar); odontogene keratocysten; lamellair calcificatie falx cerebri; bifrontale bossing; ribafwijkingen; medulloblastoom</w:t>
      </w:r>
    </w:p>
    <w:bookmarkEnd w:id="225"/>
    <w:bookmarkStart w:id="226" w:name="module-2-histologische-subtypen"/>
    <w:p>
      <w:pPr>
        <w:pStyle w:val="Heading3"/>
      </w:pPr>
      <w:r>
        <w:t xml:space="preserve">Module 2 — Histologische subtypen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1893"/>
        <w:gridCol w:w="1549"/>
        <w:gridCol w:w="2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Kliniek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Prognose/Risico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Perelmoerglans, telangiëctasieën, roze/huidkleurig nodulus; duidelijk begrensd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Laag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Superficieel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Rode, scherp begrensde macula/plaque; romp en extremiteiten; meerder foci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Laag-matig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Morpheaform/sclerodermiform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Littekenachtige witte/geelachtige plaque; slecht begrensd; sluipende groei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Infiltratief/micronodullair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Geen duidelijke massa; histologisch: strands/nesten; klinisch onderschat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Basosquameus</w:t>
            </w:r>
            <w:r>
              <w:t xml:space="preserve"> </w:t>
            </w:r>
            <w:r>
              <w:t xml:space="preserve">(metatypisch)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BCC + PCC-kenmerken; ulcererend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Hoog risico; metastase</w:t>
            </w:r>
          </w:p>
        </w:tc>
      </w:tr>
    </w:tbl>
    <w:bookmarkEnd w:id="226"/>
    <w:bookmarkStart w:id="227" w:name="module-3-hoog-risico-kenmerken"/>
    <w:p>
      <w:pPr>
        <w:pStyle w:val="Heading3"/>
      </w:pPr>
      <w:r>
        <w:t xml:space="preserve">Module 3 — Hoog-risico kenmerken</w:t>
      </w:r>
    </w:p>
    <w:p>
      <w:pPr>
        <w:pStyle w:val="FirstParagraph"/>
      </w:pPr>
      <w:r>
        <w:rPr>
          <w:bCs/>
          <w:b/>
        </w:rPr>
        <w:t xml:space="preserve">H-zone (maskerzone centraal gelaat)</w:t>
      </w:r>
      <w:r>
        <w:t xml:space="preserve"> </w:t>
      </w:r>
      <w:r>
        <w:t xml:space="preserve">— hogere recidiefkans:</w:t>
      </w:r>
      <w:r>
        <w:t xml:space="preserve"> </w:t>
      </w:r>
      <w:r>
        <w:t xml:space="preserve">- Centraal gelaat (neus, nasolabiale plooi, kin, periorbitaal, perioraal)</w:t>
      </w:r>
      <w:r>
        <w:t xml:space="preserve"> </w:t>
      </w:r>
      <w:r>
        <w:t xml:space="preserve">- Oor en preauriculaire regio</w:t>
      </w:r>
      <w:r>
        <w:t xml:space="preserve"> </w:t>
      </w:r>
      <w:r>
        <w:t xml:space="preserve">- Slapen</w:t>
      </w:r>
    </w:p>
    <w:p>
      <w:pPr>
        <w:pStyle w:val="BodyText"/>
      </w:pPr>
      <w:r>
        <w:rPr>
          <w:bCs/>
          <w:b/>
        </w:rPr>
        <w:t xml:space="preserve">Hoog-risico BCC (≥1 van):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H-zone lokalisatie</w:t>
      </w:r>
      <w:r>
        <w:t xml:space="preserve"> </w:t>
      </w:r>
      <w:r>
        <w:t xml:space="preserve">- Diameter</w:t>
      </w:r>
      <w:r>
        <w:t xml:space="preserve"> </w:t>
      </w:r>
      <w:r>
        <w:rPr>
          <w:bCs/>
          <w:b/>
        </w:rPr>
        <w:t xml:space="preserve">&gt;2 cm</w:t>
      </w:r>
      <w:r>
        <w:t xml:space="preserve"> </w:t>
      </w:r>
      <w:r>
        <w:t xml:space="preserve">(laag-risico locatie) of</w:t>
      </w:r>
      <w:r>
        <w:t xml:space="preserve"> </w:t>
      </w:r>
      <w:r>
        <w:rPr>
          <w:bCs/>
          <w:b/>
        </w:rPr>
        <w:t xml:space="preserve">&gt;1 cm</w:t>
      </w:r>
      <w:r>
        <w:t xml:space="preserve"> </w:t>
      </w:r>
      <w:r>
        <w:t xml:space="preserve">(hoog-risico locatie)</w:t>
      </w:r>
      <w:r>
        <w:t xml:space="preserve"> </w:t>
      </w:r>
      <w:r>
        <w:t xml:space="preserve">- Histologisch agressief subtype (morpheaform, infiltratief, basosquameus)</w:t>
      </w:r>
      <w:r>
        <w:t xml:space="preserve"> </w:t>
      </w:r>
      <w:r>
        <w:t xml:space="preserve">- Perineurale invasie</w:t>
      </w:r>
      <w:r>
        <w:t xml:space="preserve"> </w:t>
      </w:r>
      <w:r>
        <w:t xml:space="preserve">- Recidief BCC</w:t>
      </w:r>
      <w:r>
        <w:t xml:space="preserve"> </w:t>
      </w:r>
      <w:r>
        <w:t xml:space="preserve">- Immuunsuppressie (transplantatiepatiënt)</w:t>
      </w:r>
      <w:r>
        <w:t xml:space="preserve"> </w:t>
      </w:r>
      <w:r>
        <w:t xml:space="preserve">- Slecht begrensde laesie klinisch</w:t>
      </w:r>
    </w:p>
    <w:bookmarkEnd w:id="227"/>
    <w:bookmarkStart w:id="228" w:name="module-4-behandeling-6"/>
    <w:p>
      <w:pPr>
        <w:pStyle w:val="Heading3"/>
      </w:pPr>
      <w:r>
        <w:t xml:space="preserve">Module 4 — Behandeling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49"/>
        <w:gridCol w:w="1893"/>
        <w:gridCol w:w="2926"/>
        <w:gridCol w:w="15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 / 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Genezing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Chirurgische excisie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Laag-risico:</w:t>
            </w:r>
            <w:r>
              <w:t xml:space="preserve"> </w:t>
            </w:r>
            <w:r>
              <w:rPr>
                <w:bCs/>
                <w:b/>
              </w:rPr>
              <w:t xml:space="preserve">3–4 mm</w:t>
            </w:r>
            <w:r>
              <w:t xml:space="preserve">; hoog-risico:</w:t>
            </w:r>
            <w:r>
              <w:t xml:space="preserve"> </w:t>
            </w:r>
            <w:r>
              <w:rPr>
                <w:bCs/>
                <w:b/>
              </w:rPr>
              <w:t xml:space="preserve">5–10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 laag-risico; lager hoog-risico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Mohs micrografische chirurgie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H-zone; hoog-risico; recidief; groot; morfieform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marginale controle per laag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Radiotherapie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Niet-resectabel; ouderen; cosmetisch gevoelig; adjuvant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40–66 Gy fractioneel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Curettage + elektrocoagulatie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Laag-risico, niet op H-zone, superficieel/nodulair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cycli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Imiquimod 5%</w:t>
            </w:r>
            <w:r>
              <w:t xml:space="preserve"> </w:t>
            </w:r>
            <w:r>
              <w:t xml:space="preserve">crème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laag-risico; niet H-zone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dgn/week, 6 weken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superficieel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PDT</w:t>
            </w:r>
            <w:r>
              <w:t xml:space="preserve"> </w:t>
            </w:r>
            <w:r>
              <w:t xml:space="preserve">(fotodynamische therapie, 5-ALA)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Superficieel BCC; meerdere laesies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sessies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~80% superficieel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Vismodegib</w:t>
            </w:r>
            <w:r>
              <w:t xml:space="preserve"> </w:t>
            </w:r>
            <w:r>
              <w:t xml:space="preserve">(Erivedge, Hedgehog-remmer)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Lokaal gevorderd niet-resectabel of gemetastaseerd BCC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mg 1dd oraal; continu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~60%, CR ~30%; bijwerkingen: spierkrampen, alopecieen, dysgeusie; teratogeen!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Sonidegib</w:t>
            </w:r>
            <w:r>
              <w:t xml:space="preserve"> </w:t>
            </w:r>
            <w:r>
              <w:t xml:space="preserve">(Odomzo)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alternatief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mg 1dd oraal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Vergelijkbaar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Vismodegib praktisch:</w:t>
      </w:r>
      <w:r>
        <w:t xml:space="preserve"> </w:t>
      </w:r>
      <w:r>
        <w:t xml:space="preserve">- Indicatie: lokaal gevorderd (niet resectabel of resectie leidt tot ernstige morbiditeit) of gemetastaseerd BCC</w:t>
      </w:r>
      <w:r>
        <w:t xml:space="preserve"> </w:t>
      </w:r>
      <w:r>
        <w:t xml:space="preserve">- Bijwerkingen (frequent): spierkrampen (~65%), alopecieen (~65%), gewichtsverlies, dysgeusie, moeheid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Teratogeen!</w:t>
      </w:r>
      <w:r>
        <w:t xml:space="preserve">: adequate anticonceptie verplicht (mannen én vrouwen)</w:t>
      </w:r>
      <w:r>
        <w:t xml:space="preserve"> </w:t>
      </w:r>
      <w:r>
        <w:t xml:space="preserve">- Behandelduur: tot progressie of onacceptabele toxiciteit</w:t>
      </w:r>
      <w:r>
        <w:t xml:space="preserve"> </w:t>
      </w:r>
      <w:r>
        <w:t xml:space="preserve">- Resistentie-problematiek: SMO-mutaties; eventueel switch sonidegib</w:t>
      </w:r>
    </w:p>
    <w:p>
      <w:pPr>
        <w:pStyle w:val="BodyText"/>
      </w:pPr>
      <w:r>
        <w:rPr>
          <w:bCs/>
          <w:b/>
        </w:rPr>
        <w:t xml:space="preserve">Mohs micrografische chirurgie:</w:t>
      </w:r>
      <w:r>
        <w:t xml:space="preserve"> </w:t>
      </w:r>
      <w:r>
        <w:t xml:space="preserve">- Stapsgewijze verwijdering met intra-operatieve volledige marginale histologie (alle randen)</w:t>
      </w:r>
      <w:r>
        <w:t xml:space="preserve"> </w:t>
      </w:r>
      <w:r>
        <w:t xml:space="preserve">- Per laag: coupes gesneden van de gehele randen → bij positief: volgende laag ter plaatse</w:t>
      </w:r>
      <w:r>
        <w:t xml:space="preserve"> </w:t>
      </w:r>
      <w:r>
        <w:t xml:space="preserve">- Voordelen: maximale weefselsparing + laagste recidiefkans</w:t>
      </w:r>
      <w:r>
        <w:t xml:space="preserve"> </w:t>
      </w:r>
      <w:r>
        <w:t xml:space="preserve">- Gespecialiseerd centrum; langdurige procedure (halve dag)</w:t>
      </w:r>
    </w:p>
    <w:bookmarkEnd w:id="228"/>
    <w:bookmarkStart w:id="229" w:name="module-5-follow-up-bcc"/>
    <w:p>
      <w:pPr>
        <w:pStyle w:val="Heading3"/>
      </w:pPr>
      <w:r>
        <w:t xml:space="preserve">Module 5 — Follow-up BCC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Laag-risico</w:t>
      </w:r>
      <w:r>
        <w:t xml:space="preserve">: 1 jaar follow-up; instralen zelfonderzoek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Hoog-risico</w:t>
      </w:r>
      <w:r>
        <w:t xml:space="preserve">: 5 jaar; soms langer</w:t>
      </w:r>
    </w:p>
    <w:p>
      <w:pPr>
        <w:numPr>
          <w:ilvl w:val="0"/>
          <w:numId w:val="1059"/>
        </w:numPr>
        <w:pStyle w:val="Compact"/>
      </w:pPr>
      <w:r>
        <w:t xml:space="preserve">Risico op nieuwe BCC elke 5 jaar: ~30–50% van patiënten met eerder BCC</w:t>
      </w:r>
    </w:p>
    <w:p>
      <w:pPr>
        <w:numPr>
          <w:ilvl w:val="0"/>
          <w:numId w:val="1059"/>
        </w:numPr>
        <w:pStyle w:val="Compact"/>
      </w:pPr>
      <w:r>
        <w:t xml:space="preserve">UV-bescherming: SPF50+, beschermende kleding, zonmijding 11:00–15:00</w:t>
      </w:r>
    </w:p>
    <w:p>
      <w:pPr>
        <w:numPr>
          <w:ilvl w:val="0"/>
          <w:numId w:val="1059"/>
        </w:numPr>
        <w:pStyle w:val="Compact"/>
      </w:pPr>
      <w:r>
        <w:t xml:space="preserve">Vitamine D-suppletie bij zonmijding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End w:id="231"/>
    <w:bookmarkStart w:id="232" w:name="snel-naslagwerk-kerngetallen-criteria"/>
    <w:p>
      <w:pPr>
        <w:pStyle w:val="Heading1"/>
      </w:pPr>
      <w:r>
        <w:t xml:space="preserve">SNEL-NASLAGWERK: KERNGETALLEN &amp; CRITERIA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Onderwerp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Waarde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PTA4 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≤25 dB 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Hoortoestel indicatie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≥35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volwassene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&gt;70 dB + MS &lt;50% in stilte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CI-indicatie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PTA4 &gt;80 dB + onvoldoende baat 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optimale leeftijd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&lt;12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standaard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≤45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BCD BC-grens Osia/actief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≤55 dB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 SNHL definitie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 dB in ≥3 freq 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SNHL prednison dosis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mg/kg/dag max 60 mg, 10 dgn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Bell’s palsy prednison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Binnen 72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ENOG drempel decompressie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 degeneratie + geen EMG-activiteit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definitie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CRS biologicals drempel eosinofielen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&gt;250/μL bloedeosinofielen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Immunotherapie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SCIT observatietijd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5–15/uur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matig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AHI ernstig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&gt;30/uur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kinderen abnormaal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AHI &gt;1/uur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 Inspire selectie AHI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15–65/uur; BMI ≤35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 slaperigheid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aanval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 – 12 uur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posterior nystagmus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Upbeat torsioneel; latentie 2–10 sec; &lt;60 sec; uitdooft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BPPD horizontaal geotropisch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Aangedane kant = sterkste nystagmus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1-3-6 regel neonatale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Diagnose &lt;1 mnd; HT &lt;3 mnd; revalidatie &lt;6 mnd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CMV-diagnostiek grens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≤21 dagen postnataal (urine/speeksel)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Valganciclovir CMV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(1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 tonsillitis-episoden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Paradise criteria (2 jaar)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≥5/jaar × 2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OME buisjes duur wachten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&gt;3 maanden + ≥25–30 dB verlies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Tonsillectomie nabloeding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 5–10; 0.5–5%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Codeïne kinderen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Gecontra-indiceerd &lt;12 jaar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PTA criteria NOE bewijs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 + ⁶⁷Ga/FDG-PET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 ciprofloxacine duur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Minimaal 6–8 weken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HHPGL SDHB maligniteit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HHPGL genetisch &lt;60 jaar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Altijd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Ga-DOTATATE PET-CT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 sensitief voor paragangliomen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BCC marge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 laag-risico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marge hoog-risico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Cephalo-auriculaire hoek afstaand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&gt;40°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Auriculaire projectie afstaand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&gt;20–22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Menière betahistine dosis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48–144 mg/dag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PFAPA corticosteroïden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Abortief; cyclus-interval neemt niet 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PFAPA tonsillectomie curatie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HHT follow-up jaar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Elke 3 maanden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HHT TSH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Jaarlijks na RT hals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 maligne transformatie risico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1–7% bij &gt;15 jaar onbehandeld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Septumhematoom behandeling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Spoedinterventie: drainage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L-strut minimale breedte septum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mm dorsaal + 10 mm caudaal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Samenvatting op basis van NVKNO-richtlijnen (kno.nl). Datum: mei 2026. Raadpleeg altijd de actuele brontekst voor definitieve aanbevelingen.</w:t>
      </w:r>
    </w:p>
    <w:bookmarkEnd w:id="232"/>
    <w:sect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0" w:before="0" w:line="260" w:lineRule="exact"/>
      <w:ind w:left="850"/>
    </w:pPr>
    <w:rPr>
      <w:rFonts w:ascii="Calibri" w:hAnsi="Calibri"/>
      <w:b w:val="0"/>
      <w:i w:val="0"/>
      <w:color w:val="000000"/>
      <w:sz w:val="20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Calibri" w:hAnsi="Calibri"/>
      <w:b w:val="0"/>
      <w:i w:val="0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hAnsi="Calibri"/>
      <w:b w:val="0"/>
      <w:i w:val="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400"/>
      <w:outlineLvl w:val="0"/>
    </w:pPr>
    <w:rPr>
      <w:rFonts w:ascii="Calibri" w:asciiTheme="majorHAnsi" w:cstheme="majorBidi" w:eastAsiaTheme="majorEastAsia" w:hAnsi="Calibri" w:hAnsiTheme="majorHAnsi"/>
      <w:b/>
      <w:bCs/>
      <w:i w:val="0"/>
      <w:caps/>
      <w:color w:val="1F497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outlineLvl w:val="1"/>
    </w:pPr>
    <w:rPr>
      <w:rFonts w:ascii="Calibri" w:asciiTheme="majorHAnsi" w:cstheme="majorBidi" w:eastAsiaTheme="majorEastAsia" w:hAnsi="Calibri" w:hAnsiTheme="majorHAnsi"/>
      <w:b/>
      <w:bCs/>
      <w:i w:val="0"/>
      <w:color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404040"/>
      <w:sz w:val="20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2026-05-12T07:14:45Z</dcterms:created>
  <dcterms:modified xsi:type="dcterms:W3CDTF">2026-05-12T07:14:45Z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