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adresacji sieci</w:t>
      </w:r>
    </w:p>
    <w:p>
      <w:pPr>
        <w:pStyle w:val="Subtitle"/>
      </w:pPr>
      <w:r>
        <w:t>Przyklad T4</w:t>
      </w:r>
    </w:p>
    <w:p>
      <w:r>
        <w:t>Status planu: KOMPLETNY. Dokument przedstawia lokalizacje, budynki, segmenty i rezerwacje. Wynik niekompletny zawiera wyłącznie udane przydziały; przed wdrożeniem popraw błędy wymienione w walidacji.</w:t>
      </w:r>
    </w:p>
    <w:p>
      <w:pPr>
        <w:pStyle w:val="Heading1"/>
      </w:pPr>
      <w:r>
        <w:t>Założenia</w:t>
      </w:r>
    </w:p>
    <w:p>
      <w:pPr>
        <w:keepNext/>
      </w:pPr>
      <w:r>
        <w:t>Pula IPv4: 10.20.0.0/20. Prefiks IPv6: brak. Rodzaj IPv6: doc. Hosty nie obejmują osobnych bram i rezerwy statycznej. Zapas hostów jest zaokrąglany w górę. P2P i loopback mają osobne reguły.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252"/>
        <w:gridCol w:w="3118"/>
        <w:gridCol w:w="4252"/>
        <w:gridCol w:w="3288"/>
      </w:tblGrid>
      <w:tr>
        <w:trPr>
          <w:cantSplit/>
          <w:tblHeader/>
        </w:trPr>
        <w:tc>
          <w:tcPr>
            <w:tcW w:type="dxa" w:w="425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Ustawienie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Wartość</w:t>
            </w:r>
          </w:p>
        </w:tc>
        <w:tc>
          <w:tcPr>
            <w:tcW w:type="dxa" w:w="425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Ustawienie</w:t>
            </w:r>
          </w:p>
        </w:tc>
        <w:tc>
          <w:tcPr>
            <w:tcW w:type="dxa" w:w="328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Wartość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growth_pct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gateway</w:t>
            </w:r>
          </w:p>
        </w:tc>
        <w:tc>
          <w:tcPr>
            <w:tcW w:type="dxa" w:w="328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none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gateway_addrs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p2p_prefix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31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v6_site_prefix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48</w:t>
            </w:r>
          </w:p>
        </w:tc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v6_building_prefix</w:t>
            </w:r>
          </w:p>
        </w:tc>
        <w:tc>
          <w:tcPr>
            <w:tcW w:type="dxa" w:w="328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56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v6_infra_prefix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56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v6_growth_pct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100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v6_subnet_strategy</w:t>
            </w:r>
          </w:p>
        </w:tc>
        <w:tc>
          <w:tcPr>
            <w:tcW w:type="dxa" w:w="311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sequential</w:t>
            </w:r>
          </w:p>
        </w:tc>
        <w:tc>
          <w:tcPr>
            <w:tcW w:type="dxa" w:w="425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v6_gateway_mode</w:t>
            </w:r>
          </w:p>
        </w:tc>
        <w:tc>
          <w:tcPr>
            <w:tcW w:type="dxa" w:w="328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global</w:t>
            </w:r>
          </w:p>
        </w:tc>
      </w:tr>
      <w:tr>
        <w:trPr>
          <w:cantSplit/>
        </w:trPr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v6_link_local_gateway</w:t>
            </w:r>
          </w:p>
        </w:tc>
        <w:tc>
          <w:tcPr>
            <w:tcW w:type="dxa" w:w="311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fe80::1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v6_ra_mode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slaac</w:t>
            </w:r>
          </w:p>
        </w:tc>
      </w:tr>
    </w:tbl>
    <w:p>
      <w:pPr>
        <w:spacing w:after="40"/>
      </w:pPr>
    </w:p>
    <w:p>
      <w:pPr>
        <w:pStyle w:val="Heading1"/>
      </w:pPr>
      <w:r>
        <w:t>Lokalizacja Lokalizacja</w:t>
      </w:r>
    </w:p>
    <w:p>
      <w:r>
        <w:t>IPv4: 10.20.0.0/20 · IPv6: —</w:t>
      </w:r>
    </w:p>
    <w:p>
      <w:pPr>
        <w:pStyle w:val="Heading2"/>
      </w:pPr>
      <w:r>
        <w:t>Budynek Budynek A</w:t>
      </w:r>
    </w:p>
    <w:p>
      <w:pPr>
        <w:keepNext/>
      </w:pPr>
      <w:r>
        <w:t>IPv4: 10.20.0.0/23 · IPv6: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361"/>
        <w:gridCol w:w="2835"/>
        <w:gridCol w:w="2438"/>
        <w:gridCol w:w="583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 i VLAN</w:t>
            </w:r>
          </w:p>
        </w:tc>
        <w:tc>
          <w:tcPr>
            <w:tcW w:type="dxa" w:w="1361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Hosty / zapas</w:t>
            </w:r>
          </w:p>
        </w:tc>
        <w:tc>
          <w:tcPr>
            <w:tcW w:type="dxa" w:w="2835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IPv4 i maska</w:t>
            </w:r>
          </w:p>
        </w:tc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IPv4</w:t>
            </w:r>
          </w:p>
        </w:tc>
        <w:tc>
          <w:tcPr>
            <w:tcW w:type="dxa" w:w="583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Statyczne / DHCP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WiFi-goscie</w:t>
              <w:br/>
              <w:t>VLAN —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200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10.20.0.0/24</w:t>
              <w:br/>
              <w:t>255.255.255.0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10.20.0.1–10.20.0.254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Biuro</w:t>
              <w:br/>
              <w:t>VLAN — · lan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60 / 0%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10.20.1.0/26</w:t>
              <w:br/>
              <w:t>255.255.255.192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10.20.1.1–10.20.1.62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VoIP</w:t>
              <w:br/>
              <w:t>VLAN —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45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10.20.1.64/26</w:t>
              <w:br/>
              <w:t>255.255.255.192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10.20.1.65–10.20.1.126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Szkolenia</w:t>
              <w:br/>
              <w:t>VLAN — · lan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28 / 0%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10.20.1.128/27</w:t>
              <w:br/>
              <w:t>255.255.255.224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10.20.1.129–10.20.1.158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Kamery</w:t>
              <w:br/>
              <w:t>VLAN —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10.20.1.160/27</w:t>
              <w:br/>
              <w:t>255.255.255.224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10.20.1.161–10.20.1.190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Serwery</w:t>
              <w:br/>
              <w:t>VLAN — · lan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12 / 0%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10.20.1.192/28</w:t>
              <w:br/>
              <w:t>255.255.255.240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10.20.1.193–10.20.1.206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Zarzadzanie</w:t>
              <w:br/>
              <w:t>VLAN — · mgmt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10.20.1.208/28</w:t>
              <w:br/>
              <w:t>255.255.255.240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10.20.1.209–10.20.1.222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Link-R1-SW1</w:t>
              <w:br/>
              <w:t>VLAN — · p2p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 / 0%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10.20.1.224/31</w:t>
              <w:br/>
              <w:t>255.255.255.254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Link-R1-SW2</w:t>
              <w:br/>
              <w:t>VLAN — · p2p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10.20.1.226/31</w:t>
              <w:br/>
              <w:t>255.255.255.254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Loopback-R1</w:t>
              <w:br/>
              <w:t>VLAN — · loopback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0 / 0%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10.20.1.228/32</w:t>
              <w:br/>
              <w:t>255.255.255.255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—</w:t>
            </w:r>
          </w:p>
        </w:tc>
      </w:tr>
    </w:tbl>
    <w:p>
      <w:pPr>
        <w:keepNext/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402"/>
        <w:gridCol w:w="3402"/>
        <w:gridCol w:w="566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IPv6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 RA</w:t>
            </w:r>
          </w:p>
        </w:tc>
        <w:tc>
          <w:tcPr>
            <w:tcW w:type="dxa" w:w="566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Końce i reverse DNS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WiFi-goscie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Biuro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VoIP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Szkolenia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Kamery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Serwery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Zarzadzanie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Link-R1-SW1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Link-R1-SW2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Loopback-R1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Budynek Budynek B</w:t>
      </w:r>
    </w:p>
    <w:p>
      <w:pPr>
        <w:keepNext/>
      </w:pPr>
      <w:r>
        <w:t>IPv4: 10.20.2.0/24 · IPv6: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361"/>
        <w:gridCol w:w="2835"/>
        <w:gridCol w:w="2438"/>
        <w:gridCol w:w="583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 i VLAN</w:t>
            </w:r>
          </w:p>
        </w:tc>
        <w:tc>
          <w:tcPr>
            <w:tcW w:type="dxa" w:w="1361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Hosty / zapas</w:t>
            </w:r>
          </w:p>
        </w:tc>
        <w:tc>
          <w:tcPr>
            <w:tcW w:type="dxa" w:w="2835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IPv4 i maska</w:t>
            </w:r>
          </w:p>
        </w:tc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IPv4</w:t>
            </w:r>
          </w:p>
        </w:tc>
        <w:tc>
          <w:tcPr>
            <w:tcW w:type="dxa" w:w="583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Statyczne / DHCP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Sala</w:t>
              <w:br/>
              <w:t>VLAN —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100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10.20.2.0/25</w:t>
              <w:br/>
              <w:t>255.255.255.128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10.20.2.1–10.20.2.126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Biuro</w:t>
              <w:br/>
              <w:t>VLAN — · lan</w:t>
            </w:r>
          </w:p>
        </w:tc>
        <w:tc>
          <w:tcPr>
            <w:tcW w:type="dxa" w:w="1361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40 / 0%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10.20.2.128/26</w:t>
              <w:br/>
              <w:t>255.255.255.192</w:t>
            </w:r>
          </w:p>
        </w:tc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10.20.2.129–10.20.2.190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AV</w:t>
              <w:br/>
              <w:t>VLAN —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20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10.20.2.192/27</w:t>
              <w:br/>
              <w:t>255.255.255.224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10.20.2.193–10.20.2.222</w:t>
            </w:r>
          </w:p>
        </w:tc>
      </w:tr>
    </w:tbl>
    <w:p>
      <w:pPr>
        <w:keepNext/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402"/>
        <w:gridCol w:w="3402"/>
        <w:gridCol w:w="566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IPv6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 RA</w:t>
            </w:r>
          </w:p>
        </w:tc>
        <w:tc>
          <w:tcPr>
            <w:tcW w:type="dxa" w:w="566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Końce i reverse DNS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Sala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Biuro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FFFFF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AV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</w:pPr>
      <w:r>
        <w:t>Budynek Budynek C</w:t>
      </w:r>
    </w:p>
    <w:p>
      <w:pPr>
        <w:keepNext/>
      </w:pPr>
      <w:r>
        <w:t>IPv4: 10.20.3.0/27 · IPv6: 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1361"/>
        <w:gridCol w:w="2835"/>
        <w:gridCol w:w="2438"/>
        <w:gridCol w:w="583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 i VLAN</w:t>
            </w:r>
          </w:p>
        </w:tc>
        <w:tc>
          <w:tcPr>
            <w:tcW w:type="dxa" w:w="1361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Hosty / zapas</w:t>
            </w:r>
          </w:p>
        </w:tc>
        <w:tc>
          <w:tcPr>
            <w:tcW w:type="dxa" w:w="2835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IPv4 i maska</w:t>
            </w:r>
          </w:p>
        </w:tc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IPv4</w:t>
            </w:r>
          </w:p>
        </w:tc>
        <w:tc>
          <w:tcPr>
            <w:tcW w:type="dxa" w:w="583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Statyczne / DHCP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Plebania</w:t>
              <w:br/>
              <w:t>VLAN — · lan</w:t>
            </w:r>
          </w:p>
        </w:tc>
        <w:tc>
          <w:tcPr>
            <w:tcW w:type="dxa" w:w="1361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30 / 0%</w:t>
            </w:r>
          </w:p>
        </w:tc>
        <w:tc>
          <w:tcPr>
            <w:tcW w:type="dxa" w:w="2835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10.20.3.0/27</w:t>
              <w:br/>
              <w:t>255.255.255.224</w:t>
            </w:r>
          </w:p>
        </w:tc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83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Statyczne: —</w:t>
              <w:br/>
              <w:t>DHCP: 10.20.3.1–10.20.3.30</w:t>
            </w:r>
          </w:p>
        </w:tc>
      </w:tr>
    </w:tbl>
    <w:p>
      <w:pPr>
        <w:keepNext/>
        <w:spacing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402"/>
        <w:gridCol w:w="3402"/>
        <w:gridCol w:w="5669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Segment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IPv6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Brama i RA</w:t>
            </w:r>
          </w:p>
        </w:tc>
        <w:tc>
          <w:tcPr>
            <w:tcW w:type="dxa" w:w="5669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Końce i reverse DNS</w:t>
            </w:r>
          </w:p>
        </w:tc>
      </w:tr>
      <w:tr>
        <w:trPr>
          <w:cantSplit/>
        </w:trPr>
        <w:tc>
          <w:tcPr>
            <w:tcW w:type="dxa" w:w="2438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Plebania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  <w:tc>
          <w:tcPr>
            <w:tcW w:type="dxa" w:w="5669"/>
            <w:vAlign w:val="center"/>
            <w:shd w:fill="F0F5F7"/>
          </w:tcPr>
          <w:p>
            <w:pPr>
              <w:spacing w:after="100" w:before="100"/>
            </w:pPr>
            <w:r>
              <w:rPr>
                <w:b w:val="0"/>
                <w:color w:val="000000"/>
                <w:sz w:val="20"/>
              </w:rPr>
              <w:t>—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Infrastruktura IPv6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38"/>
        <w:gridCol w:w="3118"/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243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Lokalizacja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Blok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Rezerwa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P2P</w:t>
            </w:r>
          </w:p>
        </w:tc>
        <w:tc>
          <w:tcPr>
            <w:tcW w:type="dxa" w:w="3118"/>
            <w:vAlign w:val="center"/>
            <w:shd w:fill="173B49"/>
          </w:tcPr>
          <w:p>
            <w:pPr>
              <w:spacing w:after="100" w:before="100"/>
            </w:pPr>
            <w:r>
              <w:rPr>
                <w:b/>
                <w:color w:val="FFFFFF"/>
                <w:sz w:val="20"/>
              </w:rPr>
              <w:t>Loopback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Wolne bloki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535"/>
        <w:gridCol w:w="3402"/>
        <w:gridCol w:w="6973"/>
      </w:tblGrid>
      <w:tr>
        <w:trPr>
          <w:cantSplit/>
          <w:tblHeader/>
        </w:trPr>
        <w:tc>
          <w:tcPr>
            <w:tcW w:type="dxa" w:w="4535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Rodzic</w:t>
            </w:r>
          </w:p>
        </w:tc>
        <w:tc>
          <w:tcPr>
            <w:tcW w:type="dxa" w:w="3402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Rodzaj puli</w:t>
            </w:r>
          </w:p>
        </w:tc>
        <w:tc>
          <w:tcPr>
            <w:tcW w:type="dxa" w:w="6973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CIDR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10.20.3.32/27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10.20.3.64/26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10.20.3.128/25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10.20.4.0/22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10.20.8.0/21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10.20.1.229/32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10.20.1.230/31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A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10.20.1.232/29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A</w:t>
            </w:r>
          </w:p>
        </w:tc>
        <w:tc>
          <w:tcPr>
            <w:tcW w:type="dxa" w:w="340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10.20.1.240/28</w:t>
            </w:r>
          </w:p>
        </w:tc>
      </w:tr>
      <w:tr>
        <w:trPr>
          <w:cantSplit/>
        </w:trPr>
        <w:tc>
          <w:tcPr>
            <w:tcW w:type="dxa" w:w="4535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B</w:t>
            </w:r>
          </w:p>
        </w:tc>
        <w:tc>
          <w:tcPr>
            <w:tcW w:type="dxa" w:w="340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IPv4</w:t>
            </w:r>
          </w:p>
        </w:tc>
        <w:tc>
          <w:tcPr>
            <w:tcW w:type="dxa" w:w="6973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10.20.2.224/27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Walidacja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17"/>
        <w:gridCol w:w="2551"/>
        <w:gridCol w:w="10942"/>
      </w:tblGrid>
      <w:tr>
        <w:trPr>
          <w:cantSplit/>
          <w:tblHeader/>
        </w:trPr>
        <w:tc>
          <w:tcPr>
            <w:tcW w:type="dxa" w:w="1417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Poziom</w:t>
            </w:r>
          </w:p>
        </w:tc>
        <w:tc>
          <w:tcPr>
            <w:tcW w:type="dxa" w:w="2551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10942"/>
            <w:vAlign w:val="center"/>
            <w:shd w:fill="173B49"/>
          </w:tcPr>
          <w:p>
            <w:pPr>
              <w:spacing w:after="40" w:before="40"/>
            </w:pPr>
            <w:r>
              <w:rPr>
                <w:b/>
                <w:color w:val="FFFFFF"/>
                <w:sz w:val="19"/>
              </w:rPr>
              <w:t>Komunikat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Przyklad T4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[projekt]: Wolne miejsce w puli i jego ciągłość. wolne adresy: 0; największy wolny prefiks: n/d; ciągłość: n/d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[summary_route] [site: Lokalizacja]: Blok sumaryczny rodzica. sieć: 10.20.0.0/20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Lokalizacja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[site: Lokalizacja]: Wolne miejsce w puli i jego ciągłość. wolne adresy: 3296; największy wolny prefiks: /21; ciągłość: 64/103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A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[summary_route] [a: Budynek A]: Blok sumaryczny rodzica. sieć: 10.20.0.0/23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A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[a: Budynek A]: Wolne miejsce w puli i jego ciągłość. wolne adresy: 27; największy wolny prefiks: /28; ciągłość: 16/27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Biuro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OSTRZEŻENIE [high_segment_utilization] [a-1: Biuro]: Zapotrzebowanie przekracza 85% pojemności segmentu. wymagane użyteczne: 60; pojemność użyteczna: 62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Szkolenia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OSTRZEŻENIE [high_segment_utilization] [a-3: Szkolenia]: Zapotrzebowanie przekracza 85% pojemności segmentu. wymagane użyteczne: 28; pojemność użyteczna: 30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Serwery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OSTRZEŻENIE [high_segment_utilization] [a-5: Serwery]: Zapotrzebowanie przekracza 85% pojemności segmentu. wymagane użyteczne: 12; pojemność użyteczna: 14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B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[summary_route] [b: Budynek B]: Blok sumaryczny rodzica. sieć: 10.20.2.0/24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B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[b: Budynek B]: Wolne miejsce w puli i jego ciągłość. wolne adresy: 32; największy wolny prefiks: /27; ciągłość: 1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C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[summary_route] [c: Budynek C]: Blok sumaryczny rodzica. sieć: 10.20.3.0/27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</w:t>
            </w:r>
          </w:p>
        </w:tc>
        <w:tc>
          <w:tcPr>
            <w:tcW w:type="dxa" w:w="2551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Budynek C</w:t>
            </w:r>
          </w:p>
        </w:tc>
        <w:tc>
          <w:tcPr>
            <w:tcW w:type="dxa" w:w="10942"/>
            <w:vAlign w:val="center"/>
            <w:shd w:fill="FFFFFF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INFO [pool_fragmentation] [c: Budynek C]: Wolne miejsce w puli i jego ciągłość. wolne adresy: 0; największy wolny prefiks: n/d; ciągłość: n/d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warning</w:t>
            </w:r>
          </w:p>
        </w:tc>
        <w:tc>
          <w:tcPr>
            <w:tcW w:type="dxa" w:w="2551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Plebania</w:t>
            </w:r>
          </w:p>
        </w:tc>
        <w:tc>
          <w:tcPr>
            <w:tcW w:type="dxa" w:w="10942"/>
            <w:vAlign w:val="center"/>
            <w:shd w:fill="F0F5F7"/>
          </w:tcPr>
          <w:p>
            <w:pPr>
              <w:spacing w:after="40" w:before="40"/>
            </w:pPr>
            <w:r>
              <w:rPr>
                <w:b w:val="0"/>
                <w:color w:val="000000"/>
                <w:sz w:val="19"/>
              </w:rPr>
              <w:t>OSTRZEŻENIE [high_segment_utilization] [c-0: Plebania]: Zapotrzebowanie przekracza 85% pojemności segmentu. wymagane użyteczne: 30; pojemność użyteczna: 30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6838" w:h="11906" w:orient="landscape"/>
      <w:pgMar w:top="850" w:right="964" w:bottom="1134" w:left="964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Address Plan · KOMPLETNY · strona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Przyklad T4</dc:title>
  <dc:subject/>
  <dc:creator>Address Plan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