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0E7C7A"/>
          <w:sz w:val="30"/>
          <w:szCs w:val="30"/>
        </w:rPr>
        <w:t xml:space="preserve">E.45   </w:t>
      </w:r>
      <w:r>
        <w:rPr>
          <w:rFonts w:ascii="Calibri" w:cs="Calibri" w:eastAsia="Calibri" w:hAnsi="Calibri"/>
          <w:b/>
          <w:bCs/>
          <w:color w:val="1F2328"/>
          <w:sz w:val="30"/>
          <w:szCs w:val="30"/>
        </w:rPr>
        <w:t xml:space="preserve">Instrukcja BHP prac na wysokości (ogólna)</w:t>
      </w:r>
    </w:p>
    <w:p>
      <w:pPr>
        <w:spacing w:after="40"/>
      </w:pPr>
      <w:r>
        <w:rPr>
          <w:rFonts w:ascii="Calibri" w:cs="Calibri" w:eastAsia="Calibri" w:hAnsi="Calibri"/>
          <w:i/>
          <w:iCs/>
          <w:color w:val="545B66"/>
          <w:sz w:val="20"/>
          <w:szCs w:val="20"/>
        </w:rPr>
        <w:t xml:space="preserve">Zasady ogólne obowiązujące przy każdej pracy wykonywanej na wysokości co najmniej 1,0 m nad poziomem podłogi lub terenu — niezależnie od konkretnego rodzaju stanowiska (rusztowanie, drabina, dach — patrz dokumenty E.46–E.48)</w:t>
      </w:r>
    </w:p>
    <w:p>
      <w:pPr>
        <w:spacing w:after="200"/>
      </w:pPr>
      <w:r>
        <w:rPr>
          <w:rFonts w:ascii="Calibri" w:cs="Calibri" w:eastAsia="Calibri" w:hAnsi="Calibri"/>
          <w:i/>
          <w:iCs/>
          <w:color w:val="545B66"/>
          <w:sz w:val="17"/>
          <w:szCs w:val="17"/>
        </w:rPr>
        <w:t xml:space="preserve">Podstawa prawna: §§ 105–107 Rozporządzenia MPiPS z 26.09.1997 r.; Rozporządzenie Ministra Infrastruktury z 6.02.2003 r. ws. bhp podczas wykonywania robót budowlanych</w:t>
      </w:r>
    </w:p>
    <w:p>
      <w:pPr>
        <w:pBdr>
          <w:bottom w:val="single" w:color="0E7C7A" w:sz="16" w:space="1"/>
        </w:pBdr>
        <w:spacing w:after="240"/>
      </w:pPr>
      <w:r>
        <w:rPr>
          <w:sz w:val="2"/>
          <w:szCs w:val="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Numer dokumentu:</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INS-BHP-045</w:t>
            </w:r>
          </w:p>
        </w:tc>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Wersja:</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1.0</w:t>
            </w:r>
          </w:p>
        </w:tc>
      </w:tr>
      <w:tr>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Data wydania:</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
            </w:r>
          </w:p>
        </w:tc>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Strony:</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 / —</w:t>
            </w:r>
          </w:p>
        </w:tc>
      </w:tr>
      <w:tr>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Opracował:</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Specjalista ds. bhp</w:t>
            </w:r>
          </w:p>
        </w:tc>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Zatwierdził:</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Pracodawca</w:t>
            </w:r>
          </w:p>
        </w:tc>
      </w:tr>
      <w:tr>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Zastępuje:</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Wydanie pierwsze</w:t>
            </w:r>
          </w:p>
        </w:tc>
        <w:tc>
          <w:tcPr>
            <w:tcW w:type="pct" w:w="25%"/>
            <w:tcBorders>
              <w:top w:val="single" w:color="D4D7DB" w:sz="4"/>
              <w:left w:val="single" w:color="D4D7DB" w:sz="4"/>
              <w:bottom w:val="single" w:color="D4D7DB" w:sz="4"/>
              <w:right w:val="single" w:color="D4D7DB" w:sz="4"/>
            </w:tcBorders>
            <w:shd w:fill="F5F6F7" w:val="clear"/>
            <w:tcMar>
              <w:top w:type="dxa" w:w="80"/>
              <w:left w:type="dxa" w:w="100"/>
              <w:bottom w:type="dxa" w:w="80"/>
              <w:right w:type="dxa" w:w="100"/>
            </w:tcMar>
          </w:tcPr>
          <w:p>
            <w:r>
              <w:rPr>
                <w:rFonts w:ascii="Calibri" w:cs="Calibri" w:eastAsia="Calibri" w:hAnsi="Calibri"/>
                <w:b/>
                <w:bCs/>
                <w:color w:val="545B66"/>
                <w:sz w:val="18"/>
                <w:szCs w:val="18"/>
              </w:rPr>
              <w:t xml:space="preserve">Następny przegląd:</w:t>
            </w:r>
          </w:p>
        </w:tc>
        <w:tc>
          <w:tcPr>
            <w:tcW w:type="pct" w:w="25%"/>
            <w:tcBorders>
              <w:top w:val="single" w:color="D4D7DB" w:sz="4"/>
              <w:left w:val="single" w:color="D4D7DB" w:sz="4"/>
              <w:bottom w:val="single" w:color="D4D7DB" w:sz="4"/>
              <w:right w:val="single" w:color="D4D7DB" w:sz="4"/>
            </w:tcBorders>
            <w:tcMar>
              <w:top w:type="dxa" w:w="80"/>
              <w:left w:type="dxa" w:w="100"/>
              <w:bottom w:type="dxa" w:w="80"/>
              <w:right w:type="dxa" w:w="100"/>
            </w:tcMar>
          </w:tcPr>
          <w:p>
            <w:r>
              <w:rPr>
                <w:rFonts w:ascii="Calibri" w:cs="Calibri" w:eastAsia="Calibri" w:hAnsi="Calibri"/>
                <w:color w:val="1F2328"/>
                <w:sz w:val="19"/>
                <w:szCs w:val="19"/>
              </w:rPr>
              <w:t xml:space="preserve"/>
            </w:r>
          </w:p>
        </w:tc>
      </w:tr>
    </w:tbl>
    <w:p>
      <w:pPr>
        <w:spacing w:after="100" w:before="200"/>
      </w:pPr>
    </w:p>
    <w:tbl>
      <w:tblPr>
        <w:tblW w:type="pct" w:w="100%"/>
        <w:tblBorders>
          <w:top w:val="none"/>
          <w:left w:val="none"/>
          <w:bottom w:val="none"/>
          <w:right w:val="none"/>
          <w:insideH w:val="none"/>
          <w:insideV w:val="none"/>
        </w:tblBorders>
      </w:tblPr>
      <w:tblGrid>
        <w:gridCol w:w="100"/>
      </w:tblGrid>
      <w:tr>
        <w:tc>
          <w:tcPr>
            <w:tcW w:type="pct" w:w="100%"/>
            <w:tcBorders>
              <w:top w:val="single" w:color="FBE1E1" w:sz="4"/>
              <w:left w:val="single" w:color="C0392B" w:sz="28"/>
              <w:bottom w:val="single" w:color="FBE1E1" w:sz="4"/>
              <w:right w:val="single" w:color="FBE1E1" w:sz="4"/>
            </w:tcBorders>
            <w:shd w:fill="FBE1E1" w:val="clear"/>
            <w:tcMar>
              <w:top w:type="dxa" w:w="140"/>
              <w:left w:type="dxa" w:w="180"/>
              <w:bottom w:type="dxa" w:w="140"/>
              <w:right w:type="dxa" w:w="180"/>
            </w:tcMar>
          </w:tcPr>
          <w:p>
            <w:r>
              <w:rPr>
                <w:rFonts w:ascii="Calibri" w:cs="Calibri" w:eastAsia="Calibri" w:hAnsi="Calibri"/>
                <w:color w:val="1F2328"/>
                <w:sz w:val="20"/>
                <w:szCs w:val="20"/>
              </w:rPr>
              <w:t xml:space="preserve">Upadek z wysokości jest jedną z głównych przyczyn wypadków śmiertelnych przy pracy w Polsce. Praca na wysokości zalicza się do prac szczególnie niebezpiecznych i wymaga szczególnego nadzoru — bez wyjątków i bez pośpiechu.</w:t>
            </w:r>
          </w:p>
        </w:tc>
      </w:tr>
    </w:tbl>
    <w:p>
      <w:pPr>
        <w:spacing w:before="200"/>
      </w:pPr>
    </w:p>
    <w:p>
      <w:pPr>
        <w:pBdr>
          <w:left w:val="single" w:color="0E7C7A" w:sz="24" w:space="6"/>
        </w:pBdr>
        <w:spacing w:after="120" w:before="260"/>
        <w:ind w:left="60"/>
      </w:pPr>
      <w:r>
        <w:rPr>
          <w:rFonts w:ascii="Calibri" w:cs="Calibri" w:eastAsia="Calibri" w:hAnsi="Calibri"/>
          <w:b/>
          <w:bCs/>
          <w:color w:val="1F2328"/>
          <w:sz w:val="23"/>
          <w:szCs w:val="23"/>
        </w:rPr>
        <w:t xml:space="preserve">1. Zakres instrukcji</w:t>
      </w:r>
    </w:p>
    <w:p>
      <w:pPr>
        <w:spacing w:after="120"/>
        <w:jc w:val="both"/>
      </w:pPr>
      <w:r>
        <w:rPr>
          <w:rFonts w:ascii="Calibri" w:cs="Calibri" w:eastAsia="Calibri" w:hAnsi="Calibri"/>
          <w:b w:val="false"/>
          <w:bCs w:val="false"/>
          <w:color w:val="1F2328"/>
          <w:sz w:val="21"/>
          <w:szCs w:val="21"/>
        </w:rPr>
        <w:t xml:space="preserve">Instrukcja określa ogólne zasady bezpieczeństwa obowiązujące przy pracach na wysokości co najmniej 1,0 m nad poziomem podłogi lub terenu. Za pracę na wysokości nie uważa się pracy na powierzchni, niezależnie od wysokości, na której się znajduje, jeżeli powierzchnia ta osłonięta jest ze wszystkich stron do wysokości co najmniej 1,5 m pełnymi ścianami lub ścianami z oknami oszklonymi albo wyposażona jest w inne stałe konstrukcje lub urządzenia chroniące przed upadkiem.</w:t>
      </w:r>
    </w:p>
    <w:p>
      <w:pPr>
        <w:pBdr>
          <w:left w:val="single" w:color="0E7C7A" w:sz="24" w:space="6"/>
        </w:pBdr>
        <w:spacing w:after="120" w:before="260"/>
        <w:ind w:left="60"/>
      </w:pPr>
      <w:r>
        <w:rPr>
          <w:rFonts w:ascii="Calibri" w:cs="Calibri" w:eastAsia="Calibri" w:hAnsi="Calibri"/>
          <w:b/>
          <w:bCs/>
          <w:color w:val="1F2328"/>
          <w:sz w:val="23"/>
          <w:szCs w:val="23"/>
        </w:rPr>
        <w:t xml:space="preserve">2. Kwalifikacja prac jako szczególnie niebezpiecznych</w:t>
      </w:r>
    </w:p>
    <w:p>
      <w:pPr>
        <w:spacing w:after="120"/>
        <w:jc w:val="both"/>
      </w:pPr>
      <w:r>
        <w:rPr>
          <w:rFonts w:ascii="Calibri" w:cs="Calibri" w:eastAsia="Calibri" w:hAnsi="Calibri"/>
          <w:b w:val="false"/>
          <w:bCs w:val="false"/>
          <w:color w:val="1F2328"/>
          <w:sz w:val="21"/>
          <w:szCs w:val="21"/>
        </w:rPr>
        <w:t xml:space="preserve">Prace na wysokości zalicza się do prac szczególnie niebezpiecznych, co oznacza obowiązek: zapewnienia bezpośredniego nadzoru nad ich wykonywaniem, odpowiedniego przeszkolenia pracowników, wyposażenia ich w niezbędne środki ochrony zbiorowej i indywidualnej oraz — w zależności od wewnętrznych procedur zakładu — wydania pisemnego zezwolenia na wykonanie prac.</w:t>
      </w:r>
    </w:p>
    <w:p>
      <w:pPr>
        <w:pBdr>
          <w:left w:val="single" w:color="0E7C7A" w:sz="24" w:space="6"/>
        </w:pBdr>
        <w:spacing w:after="120" w:before="260"/>
        <w:ind w:left="60"/>
      </w:pPr>
      <w:r>
        <w:rPr>
          <w:rFonts w:ascii="Calibri" w:cs="Calibri" w:eastAsia="Calibri" w:hAnsi="Calibri"/>
          <w:b/>
          <w:bCs/>
          <w:color w:val="1F2328"/>
          <w:sz w:val="23"/>
          <w:szCs w:val="23"/>
        </w:rPr>
        <w:t xml:space="preserve">3. Wymagania kwalifikacyjne pracownika</w:t>
      </w:r>
    </w:p>
    <w:p>
      <w:pPr>
        <w:pStyle w:val="ListParagraph"/>
        <w:numPr>
          <w:ilvl w:val="0"/>
          <w:numId w:val="1"/>
        </w:numPr>
        <w:spacing w:after="80"/>
      </w:pPr>
      <w:r>
        <w:rPr>
          <w:rFonts w:ascii="Calibri" w:cs="Calibri" w:eastAsia="Calibri" w:hAnsi="Calibri"/>
          <w:color w:val="1F2328"/>
          <w:sz w:val="21"/>
          <w:szCs w:val="21"/>
        </w:rPr>
        <w:t xml:space="preserve">Pracownik wykonujący pracę na wysokości co najmniej 1,0 m z zastosowaniem środków ochrony indywidualnej przed upadkiem musi posiadać aktualne badania lekarskie potwierdzające brak przeciwwskazań do pracy na wysokości,</w:t>
      </w:r>
    </w:p>
    <w:p>
      <w:pPr>
        <w:pStyle w:val="ListParagraph"/>
        <w:numPr>
          <w:ilvl w:val="0"/>
          <w:numId w:val="1"/>
        </w:numPr>
        <w:spacing w:after="80"/>
      </w:pPr>
      <w:r>
        <w:rPr>
          <w:rFonts w:ascii="Calibri" w:cs="Calibri" w:eastAsia="Calibri" w:hAnsi="Calibri"/>
          <w:color w:val="1F2328"/>
          <w:sz w:val="21"/>
          <w:szCs w:val="21"/>
        </w:rPr>
        <w:t xml:space="preserve">Pracownik musi być przeszkolony w zakresie stosowania środków ochrony indywidualnej przed upadkiem (szelki, linki, amortyzatory) oraz zasad bezpiecznej pracy na wysokości,</w:t>
      </w:r>
    </w:p>
    <w:p>
      <w:pPr>
        <w:pStyle w:val="ListParagraph"/>
        <w:numPr>
          <w:ilvl w:val="0"/>
          <w:numId w:val="1"/>
        </w:numPr>
        <w:spacing w:after="80"/>
      </w:pPr>
      <w:r>
        <w:rPr>
          <w:rFonts w:ascii="Calibri" w:cs="Calibri" w:eastAsia="Calibri" w:hAnsi="Calibri"/>
          <w:color w:val="1F2328"/>
          <w:sz w:val="21"/>
          <w:szCs w:val="21"/>
        </w:rPr>
        <w:t xml:space="preserve">Osoby, u których badania lekarskie stwierdziły przeciwwskazania (np. lęk wysokości, zaburzenia równowagi, choroby układu krążenia w określonych przypadkach), nie mogą być dopuszczone do pracy na wysokości.</w:t>
      </w:r>
    </w:p>
    <w:p>
      <w:pPr>
        <w:pBdr>
          <w:left w:val="single" w:color="0E7C7A" w:sz="24" w:space="6"/>
        </w:pBdr>
        <w:spacing w:after="120" w:before="260"/>
        <w:ind w:left="60"/>
      </w:pPr>
      <w:r>
        <w:rPr>
          <w:rFonts w:ascii="Calibri" w:cs="Calibri" w:eastAsia="Calibri" w:hAnsi="Calibri"/>
          <w:b/>
          <w:bCs/>
          <w:color w:val="1F2328"/>
          <w:sz w:val="23"/>
          <w:szCs w:val="23"/>
        </w:rPr>
        <w:t xml:space="preserve">4. Hierarchia środków ochrony przed upadkiem</w:t>
      </w:r>
    </w:p>
    <w:p>
      <w:pPr>
        <w:spacing w:after="100"/>
        <w:jc w:val="both"/>
      </w:pPr>
      <w:r>
        <w:rPr>
          <w:rFonts w:ascii="Calibri" w:cs="Calibri" w:eastAsia="Calibri" w:hAnsi="Calibri"/>
          <w:b w:val="false"/>
          <w:bCs w:val="false"/>
          <w:color w:val="1F2328"/>
          <w:sz w:val="21"/>
          <w:szCs w:val="21"/>
        </w:rPr>
        <w:t xml:space="preserve">Przy organizacji pracy na wysokości należy stosować następującą hierarchię środków, wybierając zawsze najwyższy możliwy do zastosowania poziom ochrony:</w:t>
      </w:r>
    </w:p>
    <w:p>
      <w:pPr>
        <w:pStyle w:val="ListParagraph"/>
        <w:numPr>
          <w:ilvl w:val="0"/>
          <w:numId w:val="1"/>
        </w:numPr>
        <w:spacing w:after="80"/>
      </w:pPr>
      <w:r>
        <w:rPr>
          <w:rFonts w:ascii="Calibri" w:cs="Calibri" w:eastAsia="Calibri" w:hAnsi="Calibri"/>
          <w:color w:val="1F2328"/>
          <w:sz w:val="21"/>
          <w:szCs w:val="21"/>
        </w:rPr>
        <w:t xml:space="preserve">1) Eliminacja — jeśli to możliwe, wykonaj pracę z poziomu podłoża (np. przy użyciu narzędzi z przedłużanym trzonkiem) zamiast wchodzić na wysokość,</w:t>
      </w:r>
    </w:p>
    <w:p>
      <w:pPr>
        <w:pStyle w:val="ListParagraph"/>
        <w:numPr>
          <w:ilvl w:val="0"/>
          <w:numId w:val="1"/>
        </w:numPr>
        <w:spacing w:after="80"/>
      </w:pPr>
      <w:r>
        <w:rPr>
          <w:rFonts w:ascii="Calibri" w:cs="Calibri" w:eastAsia="Calibri" w:hAnsi="Calibri"/>
          <w:color w:val="1F2328"/>
          <w:sz w:val="21"/>
          <w:szCs w:val="21"/>
        </w:rPr>
        <w:t xml:space="preserve">2) Środki ochrony zbiorowej — balustrady, barierki ochronne, siatki bezpieczeństwa — chronią wszystkich pracowników w danej strefie jednocześnie, bez konieczności aktywnego działania z ich strony,</w:t>
      </w:r>
    </w:p>
    <w:p>
      <w:pPr>
        <w:pStyle w:val="ListParagraph"/>
        <w:numPr>
          <w:ilvl w:val="0"/>
          <w:numId w:val="1"/>
        </w:numPr>
        <w:spacing w:after="80"/>
      </w:pPr>
      <w:r>
        <w:rPr>
          <w:rFonts w:ascii="Calibri" w:cs="Calibri" w:eastAsia="Calibri" w:hAnsi="Calibri"/>
          <w:color w:val="1F2328"/>
          <w:sz w:val="21"/>
          <w:szCs w:val="21"/>
        </w:rPr>
        <w:t xml:space="preserve">3) Środki ochrony indywidualnej systemu powstrzymującego — szelki z liną i urządzeniem samohamownym, uniemożliwiające dotarcie pracownika do strefy zagrożenia upadkiem,</w:t>
      </w:r>
    </w:p>
    <w:p>
      <w:pPr>
        <w:pStyle w:val="ListParagraph"/>
        <w:numPr>
          <w:ilvl w:val="0"/>
          <w:numId w:val="1"/>
        </w:numPr>
        <w:spacing w:after="80"/>
      </w:pPr>
      <w:r>
        <w:rPr>
          <w:rFonts w:ascii="Calibri" w:cs="Calibri" w:eastAsia="Calibri" w:hAnsi="Calibri"/>
          <w:color w:val="1F2328"/>
          <w:sz w:val="21"/>
          <w:szCs w:val="21"/>
        </w:rPr>
        <w:t xml:space="preserve">4) Środki ochrony indywidualnej systemu asekuracyjnego — szelki bezpieczeństwa z amortyzatorem, zatrzymujące upadek, stosowane gdy nie da się zastosować wyższych poziomów ochrony.</w:t>
      </w:r>
    </w:p>
    <w:p>
      <w:pPr>
        <w:pBdr>
          <w:left w:val="single" w:color="0E7C7A" w:sz="24" w:space="6"/>
        </w:pBdr>
        <w:spacing w:after="120" w:before="260"/>
        <w:ind w:left="60"/>
      </w:pPr>
      <w:r>
        <w:rPr>
          <w:rFonts w:ascii="Calibri" w:cs="Calibri" w:eastAsia="Calibri" w:hAnsi="Calibri"/>
          <w:b/>
          <w:bCs/>
          <w:color w:val="1F2328"/>
          <w:sz w:val="23"/>
          <w:szCs w:val="23"/>
        </w:rPr>
        <w:t xml:space="preserve">5. Zasady stosowania sprzętu chroniącego przed upadkiem</w:t>
      </w:r>
    </w:p>
    <w:p>
      <w:pPr>
        <w:pStyle w:val="ListParagraph"/>
        <w:numPr>
          <w:ilvl w:val="0"/>
          <w:numId w:val="1"/>
        </w:numPr>
        <w:spacing w:after="80"/>
      </w:pPr>
      <w:r>
        <w:rPr>
          <w:rFonts w:ascii="Calibri" w:cs="Calibri" w:eastAsia="Calibri" w:hAnsi="Calibri"/>
          <w:color w:val="1F2328"/>
          <w:sz w:val="21"/>
          <w:szCs w:val="21"/>
        </w:rPr>
        <w:t xml:space="preserve">Przed każdym użyciem sprawdź stan szelek, lin, karabińczyków i amortyzatorów — brak przetarć, pęknięć, deformacji, korozji,</w:t>
      </w:r>
    </w:p>
    <w:p>
      <w:pPr>
        <w:pStyle w:val="ListParagraph"/>
        <w:numPr>
          <w:ilvl w:val="0"/>
          <w:numId w:val="1"/>
        </w:numPr>
        <w:spacing w:after="80"/>
      </w:pPr>
      <w:r>
        <w:rPr>
          <w:rFonts w:ascii="Calibri" w:cs="Calibri" w:eastAsia="Calibri" w:hAnsi="Calibri"/>
          <w:color w:val="1F2328"/>
          <w:sz w:val="21"/>
          <w:szCs w:val="21"/>
        </w:rPr>
        <w:t xml:space="preserve">Zakładaj szelki zgodnie z instrukcją producenta, dopasowując wszystkie paski,</w:t>
      </w:r>
    </w:p>
    <w:p>
      <w:pPr>
        <w:pStyle w:val="ListParagraph"/>
        <w:numPr>
          <w:ilvl w:val="0"/>
          <w:numId w:val="1"/>
        </w:numPr>
        <w:spacing w:after="80"/>
      </w:pPr>
      <w:r>
        <w:rPr>
          <w:rFonts w:ascii="Calibri" w:cs="Calibri" w:eastAsia="Calibri" w:hAnsi="Calibri"/>
          <w:color w:val="1F2328"/>
          <w:sz w:val="21"/>
          <w:szCs w:val="21"/>
        </w:rPr>
        <w:t xml:space="preserve">Punkt kotwiczenia liny musi być zdolny przenieść siłę powstającą przy zatrzymaniu upadku (zgodnie z dokumentacją techniczną) i znajdować się możliwie nad głową pracownika, nie poniżej poziomu stóp,</w:t>
      </w:r>
    </w:p>
    <w:p>
      <w:pPr>
        <w:pStyle w:val="ListParagraph"/>
        <w:numPr>
          <w:ilvl w:val="0"/>
          <w:numId w:val="1"/>
        </w:numPr>
        <w:spacing w:after="80"/>
      </w:pPr>
      <w:r>
        <w:rPr>
          <w:rFonts w:ascii="Calibri" w:cs="Calibri" w:eastAsia="Calibri" w:hAnsi="Calibri"/>
          <w:color w:val="1F2328"/>
          <w:sz w:val="21"/>
          <w:szCs w:val="21"/>
        </w:rPr>
        <w:t xml:space="preserve">Sprzęt chroniący przed upadkiem po każdym rzeczywistym upadku musi zostać wycofany z użytku i poddany kontroli przez uprawnioną osobę lub wymieniony,</w:t>
      </w:r>
    </w:p>
    <w:p>
      <w:pPr>
        <w:pStyle w:val="ListParagraph"/>
        <w:numPr>
          <w:ilvl w:val="0"/>
          <w:numId w:val="1"/>
        </w:numPr>
        <w:spacing w:after="80"/>
      </w:pPr>
      <w:r>
        <w:rPr>
          <w:rFonts w:ascii="Calibri" w:cs="Calibri" w:eastAsia="Calibri" w:hAnsi="Calibri"/>
          <w:color w:val="1F2328"/>
          <w:sz w:val="21"/>
          <w:szCs w:val="21"/>
        </w:rPr>
        <w:t xml:space="preserve">Sprzęt podlega okresowym przeglądom zgodnie z zaleceniami producenta (zwykle nie rzadziej niż raz w roku), potwierdzonym wpisem w karcie sprzętu.</w:t>
      </w:r>
    </w:p>
    <w:p>
      <w:pPr>
        <w:pBdr>
          <w:left w:val="single" w:color="0E7C7A" w:sz="24" w:space="6"/>
        </w:pBdr>
        <w:spacing w:after="120" w:before="260"/>
        <w:ind w:left="60"/>
      </w:pPr>
      <w:r>
        <w:rPr>
          <w:rFonts w:ascii="Calibri" w:cs="Calibri" w:eastAsia="Calibri" w:hAnsi="Calibri"/>
          <w:b/>
          <w:bCs/>
          <w:color w:val="1F2328"/>
          <w:sz w:val="23"/>
          <w:szCs w:val="23"/>
        </w:rPr>
        <w:t xml:space="preserve">6. Organizacja pracy na wysokości</w:t>
      </w:r>
    </w:p>
    <w:p>
      <w:pPr>
        <w:pStyle w:val="ListParagraph"/>
        <w:numPr>
          <w:ilvl w:val="0"/>
          <w:numId w:val="1"/>
        </w:numPr>
        <w:spacing w:after="80"/>
      </w:pPr>
      <w:r>
        <w:rPr>
          <w:rFonts w:ascii="Calibri" w:cs="Calibri" w:eastAsia="Calibri" w:hAnsi="Calibri"/>
          <w:color w:val="1F2328"/>
          <w:sz w:val="21"/>
          <w:szCs w:val="21"/>
        </w:rPr>
        <w:t xml:space="preserve">Praca na wysokości powinna być wykonywana w obecności co najmniej jednej dodatkowej osoby zdolnej do udzielenia pomocy lub wezwania ratunku w razie wypadku,</w:t>
      </w:r>
    </w:p>
    <w:p>
      <w:pPr>
        <w:pStyle w:val="ListParagraph"/>
        <w:numPr>
          <w:ilvl w:val="0"/>
          <w:numId w:val="1"/>
        </w:numPr>
        <w:spacing w:after="80"/>
      </w:pPr>
      <w:r>
        <w:rPr>
          <w:rFonts w:ascii="Calibri" w:cs="Calibri" w:eastAsia="Calibri" w:hAnsi="Calibri"/>
          <w:color w:val="1F2328"/>
          <w:sz w:val="21"/>
          <w:szCs w:val="21"/>
        </w:rPr>
        <w:t xml:space="preserve">Przed rozpoczęciem pracy wyznacz i zabezpiecz strefę zagrożenia poniżej miejsca pracy — spadające narzędzia lub materiały mogą zranić osoby przebywające pod stanowiskiem,</w:t>
      </w:r>
    </w:p>
    <w:p>
      <w:pPr>
        <w:pStyle w:val="ListParagraph"/>
        <w:numPr>
          <w:ilvl w:val="0"/>
          <w:numId w:val="1"/>
        </w:numPr>
        <w:spacing w:after="80"/>
      </w:pPr>
      <w:r>
        <w:rPr>
          <w:rFonts w:ascii="Calibri" w:cs="Calibri" w:eastAsia="Calibri" w:hAnsi="Calibri"/>
          <w:color w:val="1F2328"/>
          <w:sz w:val="21"/>
          <w:szCs w:val="21"/>
        </w:rPr>
        <w:t xml:space="preserve">Nie wykonuj prac na wysokości w warunkach silnego wiatru, burzy, oblodzenia lub innych czynników atmosferycznych zwiększających ryzyko — pracodawca określa graniczne warunki pogodowe dopuszczające prowadzenie prac,</w:t>
      </w:r>
    </w:p>
    <w:p>
      <w:pPr>
        <w:pStyle w:val="ListParagraph"/>
        <w:numPr>
          <w:ilvl w:val="0"/>
          <w:numId w:val="1"/>
        </w:numPr>
        <w:spacing w:after="80"/>
      </w:pPr>
      <w:r>
        <w:rPr>
          <w:rFonts w:ascii="Calibri" w:cs="Calibri" w:eastAsia="Calibri" w:hAnsi="Calibri"/>
          <w:color w:val="1F2328"/>
          <w:sz w:val="21"/>
          <w:szCs w:val="21"/>
        </w:rPr>
        <w:t xml:space="preserve">Materiały i narzędzia używane na wysokości zabezpiecz przed upadkiem (uprząż na narzędzia, pojemniki zamykane).</w:t>
      </w:r>
    </w:p>
    <w:p>
      <w:pPr>
        <w:pBdr>
          <w:left w:val="single" w:color="0E7C7A" w:sz="24" w:space="6"/>
        </w:pBdr>
        <w:spacing w:after="120" w:before="260"/>
        <w:ind w:left="60"/>
      </w:pPr>
      <w:r>
        <w:rPr>
          <w:rFonts w:ascii="Calibri" w:cs="Calibri" w:eastAsia="Calibri" w:hAnsi="Calibri"/>
          <w:b/>
          <w:bCs/>
          <w:color w:val="1F2328"/>
          <w:sz w:val="23"/>
          <w:szCs w:val="23"/>
        </w:rPr>
        <w:t xml:space="preserve">7. Postępowanie w sytuacjach awaryjnych</w:t>
      </w:r>
    </w:p>
    <w:p>
      <w:pPr>
        <w:pStyle w:val="ListParagraph"/>
        <w:numPr>
          <w:ilvl w:val="0"/>
          <w:numId w:val="1"/>
        </w:numPr>
        <w:spacing w:after="80"/>
      </w:pPr>
      <w:r>
        <w:rPr>
          <w:rFonts w:ascii="Calibri" w:cs="Calibri" w:eastAsia="Calibri" w:hAnsi="Calibri"/>
          <w:color w:val="1F2328"/>
          <w:sz w:val="21"/>
          <w:szCs w:val="21"/>
        </w:rPr>
        <w:t xml:space="preserve">W razie upadku pracownika zabezpieczonego szelkami (zawiśnięcie w uprzęży) — działaj szybko: długotrwałe zawiśnięcie w pozycji pionowej może prowadzić do tzw. traumy zawiśnięcia (obrzęk kończyn dolnych, utrata przytomności, w skrajnych przypadkach zgon) — plan ratunkowy musi przewidywać sprowadzenie poszkodowanego na ziemię w ciągu kilkunastu minut,</w:t>
      </w:r>
    </w:p>
    <w:p>
      <w:pPr>
        <w:pStyle w:val="ListParagraph"/>
        <w:numPr>
          <w:ilvl w:val="0"/>
          <w:numId w:val="1"/>
        </w:numPr>
        <w:spacing w:after="80"/>
      </w:pPr>
      <w:r>
        <w:rPr>
          <w:rFonts w:ascii="Calibri" w:cs="Calibri" w:eastAsia="Calibri" w:hAnsi="Calibri"/>
          <w:color w:val="1F2328"/>
          <w:sz w:val="21"/>
          <w:szCs w:val="21"/>
        </w:rPr>
        <w:t xml:space="preserve">Wezwij pomoc medyczną (112/999) niezwłocznie w każdym przypadku upadku z wysokości, nawet przy braku widocznych obrażeń,</w:t>
      </w:r>
    </w:p>
    <w:p>
      <w:pPr>
        <w:pStyle w:val="ListParagraph"/>
        <w:numPr>
          <w:ilvl w:val="0"/>
          <w:numId w:val="1"/>
        </w:numPr>
        <w:spacing w:after="80"/>
      </w:pPr>
      <w:r>
        <w:rPr>
          <w:rFonts w:ascii="Calibri" w:cs="Calibri" w:eastAsia="Calibri" w:hAnsi="Calibri"/>
          <w:color w:val="1F2328"/>
          <w:sz w:val="21"/>
          <w:szCs w:val="21"/>
        </w:rPr>
        <w:t xml:space="preserve">Nie usuwaj poszkodowanego z uprzęży w sposób powodujący nagłe uniesienie nóg powyżej poziomu serca — może to spowodować gwałtowny napływ zalegającej krwi i zatrzymanie akcji serca,</w:t>
      </w:r>
    </w:p>
    <w:p>
      <w:pPr>
        <w:pStyle w:val="ListParagraph"/>
        <w:numPr>
          <w:ilvl w:val="0"/>
          <w:numId w:val="1"/>
        </w:numPr>
        <w:spacing w:after="80"/>
      </w:pPr>
      <w:r>
        <w:rPr>
          <w:rFonts w:ascii="Calibri" w:cs="Calibri" w:eastAsia="Calibri" w:hAnsi="Calibri"/>
          <w:color w:val="1F2328"/>
          <w:sz w:val="21"/>
          <w:szCs w:val="21"/>
        </w:rPr>
        <w:t xml:space="preserve">Udziel pierwszej pomocy zgodnie z instrukcją E.5,</w:t>
      </w:r>
    </w:p>
    <w:p>
      <w:pPr>
        <w:pStyle w:val="ListParagraph"/>
        <w:numPr>
          <w:ilvl w:val="0"/>
          <w:numId w:val="1"/>
        </w:numPr>
        <w:spacing w:after="80"/>
      </w:pPr>
      <w:r>
        <w:rPr>
          <w:rFonts w:ascii="Calibri" w:cs="Calibri" w:eastAsia="Calibri" w:hAnsi="Calibri"/>
          <w:color w:val="1F2328"/>
          <w:sz w:val="21"/>
          <w:szCs w:val="21"/>
        </w:rPr>
        <w:t xml:space="preserve">Każdy wypadek związany z pracą na wysokości zgłoś niezwłocznie i udokumentuj zgodnie z procedurą zgłaszania wypadków (kategoria C).</w:t>
      </w:r>
    </w:p>
    <w:p>
      <w:pPr>
        <w:pBdr>
          <w:left w:val="single" w:color="0E7C7A" w:sz="24" w:space="6"/>
        </w:pBdr>
        <w:spacing w:after="120" w:before="260"/>
        <w:ind w:left="60"/>
      </w:pPr>
      <w:r>
        <w:rPr>
          <w:rFonts w:ascii="Calibri" w:cs="Calibri" w:eastAsia="Calibri" w:hAnsi="Calibri"/>
          <w:b/>
          <w:bCs/>
          <w:color w:val="1F2328"/>
          <w:sz w:val="23"/>
          <w:szCs w:val="23"/>
        </w:rPr>
        <w:t xml:space="preserve">8. Zakazy</w:t>
      </w:r>
    </w:p>
    <w:p>
      <w:pPr>
        <w:pStyle w:val="ListParagraph"/>
        <w:numPr>
          <w:ilvl w:val="0"/>
          <w:numId w:val="1"/>
        </w:numPr>
        <w:spacing w:after="80"/>
      </w:pPr>
      <w:r>
        <w:rPr>
          <w:rFonts w:ascii="Calibri" w:cs="Calibri" w:eastAsia="Calibri" w:hAnsi="Calibri"/>
          <w:color w:val="1F2328"/>
          <w:sz w:val="21"/>
          <w:szCs w:val="21"/>
        </w:rPr>
        <w:t xml:space="preserve">Zabrania się wykonywania prac na wysokości bez wymaganych środków ochrony przed upadkiem,</w:t>
      </w:r>
    </w:p>
    <w:p>
      <w:pPr>
        <w:pStyle w:val="ListParagraph"/>
        <w:numPr>
          <w:ilvl w:val="0"/>
          <w:numId w:val="1"/>
        </w:numPr>
        <w:spacing w:after="80"/>
      </w:pPr>
      <w:r>
        <w:rPr>
          <w:rFonts w:ascii="Calibri" w:cs="Calibri" w:eastAsia="Calibri" w:hAnsi="Calibri"/>
          <w:color w:val="1F2328"/>
          <w:sz w:val="21"/>
          <w:szCs w:val="21"/>
        </w:rPr>
        <w:t xml:space="preserve">Zabrania się pracy na wysokości osobom bez aktualnych badań lekarskich dopuszczających do takiej pracy,</w:t>
      </w:r>
    </w:p>
    <w:p>
      <w:pPr>
        <w:pStyle w:val="ListParagraph"/>
        <w:numPr>
          <w:ilvl w:val="0"/>
          <w:numId w:val="1"/>
        </w:numPr>
        <w:spacing w:after="80"/>
      </w:pPr>
      <w:r>
        <w:rPr>
          <w:rFonts w:ascii="Calibri" w:cs="Calibri" w:eastAsia="Calibri" w:hAnsi="Calibri"/>
          <w:color w:val="1F2328"/>
          <w:sz w:val="21"/>
          <w:szCs w:val="21"/>
        </w:rPr>
        <w:t xml:space="preserve">Zabrania się pracy na wysokości w pojedynkę, bez możliwości wezwania pomocy,</w:t>
      </w:r>
    </w:p>
    <w:p>
      <w:pPr>
        <w:pStyle w:val="ListParagraph"/>
        <w:numPr>
          <w:ilvl w:val="0"/>
          <w:numId w:val="1"/>
        </w:numPr>
        <w:spacing w:after="80"/>
      </w:pPr>
      <w:r>
        <w:rPr>
          <w:rFonts w:ascii="Calibri" w:cs="Calibri" w:eastAsia="Calibri" w:hAnsi="Calibri"/>
          <w:color w:val="1F2328"/>
          <w:sz w:val="21"/>
          <w:szCs w:val="21"/>
        </w:rPr>
        <w:t xml:space="preserve">Zabrania się używania uszkodzonego lub przeterminowanego sprzętu chroniącego przed upadkiem,</w:t>
      </w:r>
    </w:p>
    <w:p>
      <w:pPr>
        <w:pStyle w:val="ListParagraph"/>
        <w:numPr>
          <w:ilvl w:val="0"/>
          <w:numId w:val="1"/>
        </w:numPr>
        <w:spacing w:after="80"/>
      </w:pPr>
      <w:r>
        <w:rPr>
          <w:rFonts w:ascii="Calibri" w:cs="Calibri" w:eastAsia="Calibri" w:hAnsi="Calibri"/>
          <w:color w:val="1F2328"/>
          <w:sz w:val="21"/>
          <w:szCs w:val="21"/>
        </w:rPr>
        <w:t xml:space="preserve">Zabrania się prowadzenia prac na wysokości w warunkach atmosferycznych zwiększających ryzyko (silny wiatr, burza, oblodzenie).</w:t>
      </w:r>
    </w:p>
    <w:p>
      <w:pPr>
        <w:pBdr>
          <w:left w:val="single" w:color="0E7C7A" w:sz="24" w:space="6"/>
        </w:pBdr>
        <w:spacing w:after="120" w:before="260"/>
        <w:ind w:left="60"/>
      </w:pPr>
      <w:r>
        <w:rPr>
          <w:rFonts w:ascii="Calibri" w:cs="Calibri" w:eastAsia="Calibri" w:hAnsi="Calibri"/>
          <w:b/>
          <w:bCs/>
          <w:color w:val="1F2328"/>
          <w:sz w:val="23"/>
          <w:szCs w:val="23"/>
        </w:rPr>
        <w:t xml:space="preserve">9. Postanowienia końcowe</w:t>
      </w:r>
    </w:p>
    <w:p>
      <w:pPr>
        <w:spacing w:after="120"/>
        <w:jc w:val="both"/>
      </w:pPr>
      <w:r>
        <w:rPr>
          <w:rFonts w:ascii="Calibri" w:cs="Calibri" w:eastAsia="Calibri" w:hAnsi="Calibri"/>
          <w:b w:val="false"/>
          <w:bCs w:val="false"/>
          <w:color w:val="1F2328"/>
          <w:sz w:val="21"/>
          <w:szCs w:val="21"/>
        </w:rPr>
        <w:t xml:space="preserve">Instrukcja podlega przeglądowi nie rzadziej niż raz w roku oraz po każdym wypadku związanym z pracą na wysokości.</w:t>
      </w:r>
    </w:p>
    <w:p>
      <w:pPr>
        <w:spacing w:before="200"/>
      </w:pPr>
    </w:p>
    <w:p>
      <w:pPr>
        <w:pBdr>
          <w:left w:val="single" w:color="0E7C7A" w:sz="24" w:space="6"/>
        </w:pBdr>
        <w:spacing w:after="120" w:before="260"/>
        <w:ind w:left="60"/>
      </w:pPr>
      <w:r>
        <w:rPr>
          <w:rFonts w:ascii="Calibri" w:cs="Calibri" w:eastAsia="Calibri" w:hAnsi="Calibri"/>
          <w:b/>
          <w:bCs/>
          <w:color w:val="1F2328"/>
          <w:sz w:val="23"/>
          <w:szCs w:val="23"/>
        </w:rPr>
        <w:t xml:space="preserve">10. Historia zmian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2E333B" w:sz="4"/>
              <w:left w:val="single" w:color="2E333B" w:sz="4"/>
              <w:bottom w:val="single" w:color="2E333B" w:sz="4"/>
              <w:right w:val="single" w:color="2E333B" w:sz="4"/>
            </w:tcBorders>
            <w:shd w:fill="2E333B"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Wersja</w:t>
            </w:r>
          </w:p>
        </w:tc>
        <w:tc>
          <w:tcPr>
            <w:tcW w:type="pct" w:w="18%"/>
            <w:tcBorders>
              <w:top w:val="single" w:color="2E333B" w:sz="4"/>
              <w:left w:val="single" w:color="2E333B" w:sz="4"/>
              <w:bottom w:val="single" w:color="2E333B" w:sz="4"/>
              <w:right w:val="single" w:color="2E333B" w:sz="4"/>
            </w:tcBorders>
            <w:shd w:fill="2E333B"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Data</w:t>
            </w:r>
          </w:p>
        </w:tc>
        <w:tc>
          <w:tcPr>
            <w:tcW w:type="pct" w:w="50%"/>
            <w:tcBorders>
              <w:top w:val="single" w:color="2E333B" w:sz="4"/>
              <w:left w:val="single" w:color="2E333B" w:sz="4"/>
              <w:bottom w:val="single" w:color="2E333B" w:sz="4"/>
              <w:right w:val="single" w:color="2E333B" w:sz="4"/>
            </w:tcBorders>
            <w:shd w:fill="2E333B"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Opis zmian</w:t>
            </w:r>
          </w:p>
        </w:tc>
        <w:tc>
          <w:tcPr>
            <w:tcW w:type="pct" w:w="20%"/>
            <w:tcBorders>
              <w:top w:val="single" w:color="2E333B" w:sz="4"/>
              <w:left w:val="single" w:color="2E333B" w:sz="4"/>
              <w:bottom w:val="single" w:color="2E333B" w:sz="4"/>
              <w:right w:val="single" w:color="2E333B" w:sz="4"/>
            </w:tcBorders>
            <w:shd w:fill="2E333B" w:val="clear"/>
            <w:tcMar>
              <w:top w:type="dxa" w:w="100"/>
              <w:left w:type="dxa" w:w="100"/>
              <w:bottom w:type="dxa" w:w="100"/>
              <w:right w:type="dxa" w:w="100"/>
            </w:tcMar>
            <w:vAlign w:val="center"/>
          </w:tcPr>
          <w:p>
            <w:pPr>
              <w:jc w:val="center"/>
            </w:pPr>
            <w:r>
              <w:rPr>
                <w:rFonts w:ascii="Calibri" w:cs="Calibri" w:eastAsia="Calibri" w:hAnsi="Calibri"/>
                <w:b/>
                <w:bCs/>
                <w:color w:val="FFFFFF"/>
                <w:sz w:val="19"/>
                <w:szCs w:val="19"/>
              </w:rPr>
              <w:t xml:space="preserve">Zmienił</w:t>
            </w:r>
          </w:p>
        </w:tc>
      </w:tr>
      <w:tr>
        <w:tc>
          <w:tcPr>
            <w:tcW w:type="pct" w:w="12%"/>
            <w:tcBorders>
              <w:top w:val="single" w:color="D4D7DB" w:sz="4"/>
              <w:left w:val="single" w:color="D4D7DB" w:sz="4"/>
              <w:bottom w:val="single" w:color="D4D7DB" w:sz="4"/>
              <w:right w:val="single" w:color="D4D7DB" w:sz="4"/>
            </w:tcBorders>
            <w:tcMar>
              <w:top w:type="dxa" w:w="80"/>
              <w:left w:type="dxa" w:w="100"/>
              <w:bottom w:type="dxa" w:w="80"/>
              <w:right w:type="dxa" w:w="100"/>
            </w:tcMar>
            <w:vAlign w:val="center"/>
          </w:tcPr>
          <w:p>
            <w:pPr>
              <w:jc w:val="left"/>
            </w:pPr>
            <w:r>
              <w:rPr>
                <w:rFonts w:ascii="Calibri" w:cs="Calibri" w:eastAsia="Calibri" w:hAnsi="Calibri"/>
                <w:b w:val="false"/>
                <w:bCs w:val="false"/>
                <w:color w:val="1F2328"/>
                <w:sz w:val="20"/>
                <w:szCs w:val="20"/>
              </w:rPr>
              <w:t xml:space="preserve">1.0</w:t>
            </w:r>
          </w:p>
        </w:tc>
        <w:tc>
          <w:tcPr>
            <w:tcW w:type="pct" w:w="18%"/>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c>
          <w:tcPr>
            <w:tcW w:type="pct" w:w="50%"/>
            <w:tcBorders>
              <w:top w:val="single" w:color="D4D7DB" w:sz="4"/>
              <w:left w:val="single" w:color="D4D7DB" w:sz="4"/>
              <w:bottom w:val="single" w:color="D4D7DB" w:sz="4"/>
              <w:right w:val="single" w:color="D4D7DB" w:sz="4"/>
            </w:tcBorders>
            <w:tcMar>
              <w:top w:type="dxa" w:w="80"/>
              <w:left w:type="dxa" w:w="100"/>
              <w:bottom w:type="dxa" w:w="80"/>
              <w:right w:type="dxa" w:w="100"/>
            </w:tcMar>
            <w:vAlign w:val="center"/>
          </w:tcPr>
          <w:p>
            <w:pPr>
              <w:jc w:val="left"/>
            </w:pPr>
            <w:r>
              <w:rPr>
                <w:rFonts w:ascii="Calibri" w:cs="Calibri" w:eastAsia="Calibri" w:hAnsi="Calibri"/>
                <w:b w:val="false"/>
                <w:bCs w:val="false"/>
                <w:color w:val="1F2328"/>
                <w:sz w:val="20"/>
                <w:szCs w:val="20"/>
              </w:rPr>
              <w:t xml:space="preserve">Wydanie pierwsze</w:t>
            </w:r>
          </w:p>
        </w:tc>
        <w:tc>
          <w:tcPr>
            <w:tcW w:type="pct" w:w="20%"/>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r>
      <w:tr>
        <w:tc>
          <w:tcPr>
            <w:tcW w:type="pct" w:w="12%"/>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c>
          <w:tcPr>
            <w:tcW w:type="pct" w:w="18%"/>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c>
          <w:tcPr>
            <w:tcW w:type="pct" w:w="50%"/>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c>
          <w:tcPr>
            <w:tcW w:type="pct" w:w="20%"/>
            <w:tcBorders>
              <w:top w:val="single" w:color="D4D7DB" w:sz="4"/>
              <w:left w:val="single" w:color="D4D7DB" w:sz="4"/>
              <w:bottom w:val="single" w:color="D4D7DB" w:sz="4"/>
              <w:right w:val="single" w:color="D4D7DB" w:sz="4"/>
            </w:tcBorders>
            <w:shd w:fill="FFF9E6" w:val="clear"/>
            <w:tcMar>
              <w:top w:type="dxa" w:w="80"/>
              <w:left w:type="dxa" w:w="100"/>
              <w:bottom w:type="dxa" w:w="80"/>
              <w:right w:type="dxa" w:w="100"/>
            </w:tcMar>
            <w:vAlign w:val="center"/>
          </w:tcPr>
          <w:p>
            <w:r>
              <w:rPr>
                <w:sz w:val="20"/>
                <w:szCs w:val="20"/>
              </w:rPr>
              <w:t xml:space="preserve"/>
            </w:r>
          </w:p>
        </w:tc>
      </w:tr>
    </w:tbl>
    <w:p>
      <w:pPr>
        <w:spacing w:after="200"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pPr>
              <w:spacing w:after="40"/>
            </w:pPr>
            <w:r>
              <w:rPr>
                <w:rFonts w:ascii="Calibri" w:cs="Calibri" w:eastAsia="Calibri" w:hAnsi="Calibri"/>
                <w:b/>
                <w:bCs/>
                <w:sz w:val="19"/>
                <w:szCs w:val="19"/>
              </w:rPr>
              <w:t xml:space="preserve">Opracował — Specjalista ds. bhp</w:t>
            </w:r>
          </w:p>
          <w:p>
            <w:pPr>
              <w:spacing w:after="40"/>
            </w:pPr>
            <w:r>
              <w:rPr>
                <w:rFonts w:ascii="Calibri" w:cs="Calibri" w:eastAsia="Calibri" w:hAnsi="Calibri"/>
                <w:sz w:val="19"/>
                <w:szCs w:val="19"/>
              </w:rPr>
              <w:t xml:space="preserve">Imię i nazwisko: ……………………………………………</w:t>
            </w:r>
          </w:p>
          <w:p>
            <w:pPr>
              <w:spacing w:after="40"/>
            </w:pPr>
            <w:r>
              <w:rPr>
                <w:rFonts w:ascii="Calibri" w:cs="Calibri" w:eastAsia="Calibri" w:hAnsi="Calibri"/>
                <w:sz w:val="19"/>
                <w:szCs w:val="19"/>
              </w:rPr>
              <w:t xml:space="preserve">Podpis: ……………………………………………</w:t>
            </w:r>
          </w:p>
          <w:p>
            <w:r>
              <w:rPr>
                <w:rFonts w:ascii="Calibri" w:cs="Calibri" w:eastAsia="Calibri" w:hAnsi="Calibri"/>
                <w:sz w:val="19"/>
                <w:szCs w:val="19"/>
              </w:rPr>
              <w:t xml:space="preserve">Data: ……………………………………………</w:t>
            </w:r>
          </w:p>
        </w:tc>
        <w:tc>
          <w:tcPr>
            <w:tcW w:type="pct" w:w="50%"/>
            <w:tcBorders>
              <w:top w:val="none"/>
              <w:left w:val="none"/>
              <w:bottom w:val="none"/>
              <w:right w:val="none"/>
            </w:tcBorders>
          </w:tcPr>
          <w:p>
            <w:pPr>
              <w:spacing w:after="40"/>
            </w:pPr>
            <w:r>
              <w:rPr>
                <w:rFonts w:ascii="Calibri" w:cs="Calibri" w:eastAsia="Calibri" w:hAnsi="Calibri"/>
                <w:b/>
                <w:bCs/>
                <w:sz w:val="19"/>
                <w:szCs w:val="19"/>
              </w:rPr>
              <w:t xml:space="preserve">Zatwierdził — Pracodawca</w:t>
            </w:r>
          </w:p>
          <w:p>
            <w:pPr>
              <w:spacing w:after="40"/>
            </w:pPr>
            <w:r>
              <w:rPr>
                <w:rFonts w:ascii="Calibri" w:cs="Calibri" w:eastAsia="Calibri" w:hAnsi="Calibri"/>
                <w:sz w:val="19"/>
                <w:szCs w:val="19"/>
              </w:rPr>
              <w:t xml:space="preserve">Imię i nazwisko: ……………………………………………</w:t>
            </w:r>
          </w:p>
          <w:p>
            <w:pPr>
              <w:spacing w:after="40"/>
            </w:pPr>
            <w:r>
              <w:rPr>
                <w:rFonts w:ascii="Calibri" w:cs="Calibri" w:eastAsia="Calibri" w:hAnsi="Calibri"/>
                <w:sz w:val="19"/>
                <w:szCs w:val="19"/>
              </w:rPr>
              <w:t xml:space="preserve">Podpis i pieczęć: ……………………………………………</w:t>
            </w:r>
          </w:p>
          <w:p>
            <w:r>
              <w:rPr>
                <w:rFonts w:ascii="Calibri" w:cs="Calibri" w:eastAsia="Calibri" w:hAnsi="Calibri"/>
                <w:sz w:val="19"/>
                <w:szCs w:val="19"/>
              </w:rPr>
              <w:t xml:space="preserve">Data: ……………………………………………</w:t>
            </w:r>
          </w:p>
        </w:tc>
      </w:tr>
    </w:tbl>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7DB" w:sz="6" w:space="4"/>
      </w:pBdr>
      <w:tabs>
        <w:tab w:val="right" w:pos="9026"/>
      </w:tabs>
    </w:pPr>
    <w:r>
      <w:rPr>
        <w:rFonts w:ascii="Calibri" w:cs="Calibri" w:eastAsia="Calibri" w:hAnsi="Calibri"/>
        <w:i/>
        <w:iCs/>
        <w:color w:val="545B66"/>
        <w:sz w:val="15"/>
        <w:szCs w:val="15"/>
      </w:rPr>
      <w:t xml:space="preserve">E.45 — dokument BHP · wzór do dostosowania do specyfiki zakładu pracy</w:t>
    </w:r>
    <w:r>
      <w:rPr>
        <w:rFonts w:ascii="Calibri" w:cs="Calibri" w:eastAsia="Calibri" w:hAnsi="Calibri"/>
      </w:rPr>
      <w:t xml:space="preserve">	</w:t>
    </w:r>
    <w:r>
      <w:rPr>
        <w:rFonts w:ascii="Calibri" w:cs="Calibri" w:eastAsia="Calibri" w:hAnsi="Calibri"/>
        <w:color w:val="545B66"/>
        <w:sz w:val="15"/>
        <w:szCs w:val="15"/>
      </w:rPr>
      <w:t xml:space="preserve">Str. </w:t>
    </w:r>
    <w:r>
      <w:rPr>
        <w:rFonts w:ascii="Calibri" w:cs="Calibri" w:eastAsia="Calibri" w:hAnsi="Calibri"/>
        <w:color w:val="545B66"/>
        <w:sz w:val="15"/>
        <w:szCs w:val="15"/>
      </w:rPr>
      <w:fldChar w:fldCharType="begin"/>
      <w:instrText xml:space="preserve">PAGE</w:instrText>
      <w:fldChar w:fldCharType="separate"/>
      <w:fldChar w:fldCharType="end"/>
    </w:r>
    <w:r>
      <w:rPr>
        <w:rFonts w:ascii="Calibri" w:cs="Calibri" w:eastAsia="Calibri" w:hAnsi="Calibri"/>
        <w:color w:val="545B66"/>
        <w:sz w:val="15"/>
        <w:szCs w:val="15"/>
      </w:rPr>
      <w:t xml:space="preserve"> / </w:t>
    </w:r>
    <w:r>
      <w:rPr>
        <w:rFonts w:ascii="Calibri" w:cs="Calibri" w:eastAsia="Calibri" w:hAnsi="Calibri"/>
        <w:color w:val="545B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none"/>
        <w:insideV w:val="none"/>
      </w:tblBorders>
    </w:tblPr>
    <w:tblGrid>
      <w:gridCol w:w="100"/>
    </w:tblGrid>
    <w:tr>
      <w:tc>
        <w:tcPr>
          <w:tcW w:type="pct" w:w="100%"/>
          <w:tcBorders>
            <w:top w:val="none"/>
            <w:left w:val="none"/>
            <w:bottom w:val="none"/>
            <w:right w:val="none"/>
          </w:tcBorders>
          <w:shd w:fill="24272C" w:val="clear"/>
          <w:tcMar>
            <w:top w:type="dxa" w:w="120"/>
            <w:left w:type="dxa" w:w="150"/>
            <w:bottom w:type="dxa" w:w="120"/>
            <w:right w:type="dxa" w:w="150"/>
          </w:tcMar>
        </w:tcPr>
        <w:p>
          <w:r>
            <w:rPr>
              <w:rFonts w:ascii="Calibri" w:cs="Calibri" w:eastAsia="Calibri" w:hAnsi="Calibri"/>
              <w:b/>
              <w:bCs/>
              <w:color w:val="FFFFFF"/>
              <w:sz w:val="18"/>
              <w:szCs w:val="18"/>
            </w:rPr>
            <w:t xml:space="preserve">[ MIEJSCE NA LOGO ]</w:t>
          </w:r>
          <w:r>
            <w:rPr>
              <w:rFonts w:ascii="Calibri" w:cs="Calibri" w:eastAsia="Calibri" w:hAnsi="Calibri"/>
              <w:b/>
              <w:bCs/>
              <w:color w:val="FFFFFF"/>
              <w:sz w:val="18"/>
              <w:szCs w:val="18"/>
            </w:rPr>
            <w:t xml:space="preserve">      Nazwa firmy / konsultanta BHP      www.twojastrona.pl</w:t>
          </w:r>
        </w:p>
      </w:tc>
    </w:tr>
  </w:tbl>
  <w:p>
    <w:pPr>
      <w:pBdr>
        <w:bottom w:val="single" w:color="0E7C7A" w:sz="24" w:space="1"/>
      </w:pBdr>
      <w:spacing w:after="0" w:before="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2026-08-24T21:00:29.412Z</dcterms:created>
  <dcterms:modified xsi:type="dcterms:W3CDTF">2026-08-24T21:00:29.430Z</dcterms:modified>
</cp:coreProperties>
</file>

<file path=docProps/custom.xml><?xml version="1.0" encoding="utf-8"?>
<Properties xmlns="http://schemas.openxmlformats.org/officeDocument/2006/custom-properties" xmlns:vt="http://schemas.openxmlformats.org/officeDocument/2006/docPropsVTypes"/>
</file>