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0E7C7A"/>
          <w:sz w:val="30"/>
          <w:szCs w:val="30"/>
        </w:rPr>
        <w:t xml:space="preserve">E.46   </w:t>
      </w:r>
      <w:r>
        <w:rPr>
          <w:rFonts w:ascii="Calibri" w:cs="Calibri" w:eastAsia="Calibri" w:hAnsi="Calibri"/>
          <w:b/>
          <w:bCs/>
          <w:color w:val="1F2328"/>
          <w:sz w:val="30"/>
          <w:szCs w:val="30"/>
        </w:rPr>
        <w:t xml:space="preserve">Instrukcja BHP przy montażu i użytkowaniu rusztowań</w:t>
      </w:r>
    </w:p>
    <w:p>
      <w:pPr>
        <w:spacing w:after="40"/>
      </w:pPr>
      <w:r>
        <w:rPr>
          <w:rFonts w:ascii="Calibri" w:cs="Calibri" w:eastAsia="Calibri" w:hAnsi="Calibri"/>
          <w:i/>
          <w:iCs/>
          <w:color w:val="545B66"/>
          <w:sz w:val="20"/>
          <w:szCs w:val="20"/>
        </w:rPr>
        <w:t xml:space="preserve">Dotyczy rusztowań roboczych ramowych, modułowych oraz rusztowań jezdnych (przejezdnych) — uzupełnienie ogólnej instrukcji prac na wysokości (E.45)</w:t>
      </w:r>
    </w:p>
    <w:p>
      <w:pPr>
        <w:spacing w:after="200"/>
      </w:pPr>
      <w:r>
        <w:rPr>
          <w:rFonts w:ascii="Calibri" w:cs="Calibri" w:eastAsia="Calibri" w:hAnsi="Calibri"/>
          <w:i/>
          <w:iCs/>
          <w:color w:val="545B66"/>
          <w:sz w:val="17"/>
          <w:szCs w:val="17"/>
        </w:rPr>
        <w:t xml:space="preserve">Podstawa prawna: Rozporządzenie Ministra Infrastruktury z 6.02.2003 r. ws. bhp podczas wykonywania robót budowlanych; § 105–110 Rozporządzenia MPiPS z 26.09.1997 r.; Polska Norma PN-EN 12811</w:t>
      </w:r>
    </w:p>
    <w:p>
      <w:pPr>
        <w:pBdr>
          <w:bottom w:val="single" w:color="0E7C7A" w:sz="16" w:space="1"/>
        </w:pBdr>
        <w:spacing w:after="240"/>
      </w:pPr>
      <w:r>
        <w:rPr>
          <w:sz w:val="2"/>
          <w:szCs w:val="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4D7DB" w:sz="4"/>
              <w:left w:val="single" w:color="D4D7DB" w:sz="4"/>
              <w:bottom w:val="single" w:color="D4D7DB" w:sz="4"/>
              <w:right w:val="single" w:color="D4D7DB" w:sz="4"/>
            </w:tcBorders>
            <w:shd w:fill="F5F6F7" w:val="clear"/>
            <w:tcMar>
              <w:top w:type="dxa" w:w="80"/>
              <w:left w:type="dxa" w:w="100"/>
              <w:bottom w:type="dxa" w:w="80"/>
              <w:right w:type="dxa" w:w="100"/>
            </w:tcMar>
          </w:tcPr>
          <w:p>
            <w:r>
              <w:rPr>
                <w:rFonts w:ascii="Calibri" w:cs="Calibri" w:eastAsia="Calibri" w:hAnsi="Calibri"/>
                <w:b/>
                <w:bCs/>
                <w:color w:val="545B66"/>
                <w:sz w:val="18"/>
                <w:szCs w:val="18"/>
              </w:rPr>
              <w:t xml:space="preserve">Numer dokumentu:</w:t>
            </w:r>
          </w:p>
        </w:tc>
        <w:tc>
          <w:tcPr>
            <w:tcW w:type="pct" w:w="25%"/>
            <w:tcBorders>
              <w:top w:val="single" w:color="D4D7DB" w:sz="4"/>
              <w:left w:val="single" w:color="D4D7DB" w:sz="4"/>
              <w:bottom w:val="single" w:color="D4D7DB" w:sz="4"/>
              <w:right w:val="single" w:color="D4D7DB" w:sz="4"/>
            </w:tcBorders>
            <w:tcMar>
              <w:top w:type="dxa" w:w="80"/>
              <w:left w:type="dxa" w:w="100"/>
              <w:bottom w:type="dxa" w:w="80"/>
              <w:right w:type="dxa" w:w="100"/>
            </w:tcMar>
          </w:tcPr>
          <w:p>
            <w:r>
              <w:rPr>
                <w:rFonts w:ascii="Calibri" w:cs="Calibri" w:eastAsia="Calibri" w:hAnsi="Calibri"/>
                <w:color w:val="1F2328"/>
                <w:sz w:val="19"/>
                <w:szCs w:val="19"/>
              </w:rPr>
              <w:t xml:space="preserve">INS-BHP-046</w:t>
            </w:r>
          </w:p>
        </w:tc>
        <w:tc>
          <w:tcPr>
            <w:tcW w:type="pct" w:w="25%"/>
            <w:tcBorders>
              <w:top w:val="single" w:color="D4D7DB" w:sz="4"/>
              <w:left w:val="single" w:color="D4D7DB" w:sz="4"/>
              <w:bottom w:val="single" w:color="D4D7DB" w:sz="4"/>
              <w:right w:val="single" w:color="D4D7DB" w:sz="4"/>
            </w:tcBorders>
            <w:shd w:fill="F5F6F7" w:val="clear"/>
            <w:tcMar>
              <w:top w:type="dxa" w:w="80"/>
              <w:left w:type="dxa" w:w="100"/>
              <w:bottom w:type="dxa" w:w="80"/>
              <w:right w:type="dxa" w:w="100"/>
            </w:tcMar>
          </w:tcPr>
          <w:p>
            <w:r>
              <w:rPr>
                <w:rFonts w:ascii="Calibri" w:cs="Calibri" w:eastAsia="Calibri" w:hAnsi="Calibri"/>
                <w:b/>
                <w:bCs/>
                <w:color w:val="545B66"/>
                <w:sz w:val="18"/>
                <w:szCs w:val="18"/>
              </w:rPr>
              <w:t xml:space="preserve">Wersja:</w:t>
            </w:r>
          </w:p>
        </w:tc>
        <w:tc>
          <w:tcPr>
            <w:tcW w:type="pct" w:w="25%"/>
            <w:tcBorders>
              <w:top w:val="single" w:color="D4D7DB" w:sz="4"/>
              <w:left w:val="single" w:color="D4D7DB" w:sz="4"/>
              <w:bottom w:val="single" w:color="D4D7DB" w:sz="4"/>
              <w:right w:val="single" w:color="D4D7DB" w:sz="4"/>
            </w:tcBorders>
            <w:tcMar>
              <w:top w:type="dxa" w:w="80"/>
              <w:left w:type="dxa" w:w="100"/>
              <w:bottom w:type="dxa" w:w="80"/>
              <w:right w:type="dxa" w:w="100"/>
            </w:tcMar>
          </w:tcPr>
          <w:p>
            <w:r>
              <w:rPr>
                <w:rFonts w:ascii="Calibri" w:cs="Calibri" w:eastAsia="Calibri" w:hAnsi="Calibri"/>
                <w:color w:val="1F2328"/>
                <w:sz w:val="19"/>
                <w:szCs w:val="19"/>
              </w:rPr>
              <w:t xml:space="preserve">1.0</w:t>
            </w:r>
          </w:p>
        </w:tc>
      </w:tr>
      <w:tr>
        <w:tc>
          <w:tcPr>
            <w:tcW w:type="pct" w:w="25%"/>
            <w:tcBorders>
              <w:top w:val="single" w:color="D4D7DB" w:sz="4"/>
              <w:left w:val="single" w:color="D4D7DB" w:sz="4"/>
              <w:bottom w:val="single" w:color="D4D7DB" w:sz="4"/>
              <w:right w:val="single" w:color="D4D7DB" w:sz="4"/>
            </w:tcBorders>
            <w:shd w:fill="F5F6F7" w:val="clear"/>
            <w:tcMar>
              <w:top w:type="dxa" w:w="80"/>
              <w:left w:type="dxa" w:w="100"/>
              <w:bottom w:type="dxa" w:w="80"/>
              <w:right w:type="dxa" w:w="100"/>
            </w:tcMar>
          </w:tcPr>
          <w:p>
            <w:r>
              <w:rPr>
                <w:rFonts w:ascii="Calibri" w:cs="Calibri" w:eastAsia="Calibri" w:hAnsi="Calibri"/>
                <w:b/>
                <w:bCs/>
                <w:color w:val="545B66"/>
                <w:sz w:val="18"/>
                <w:szCs w:val="18"/>
              </w:rPr>
              <w:t xml:space="preserve">Data wydania:</w:t>
            </w:r>
          </w:p>
        </w:tc>
        <w:tc>
          <w:tcPr>
            <w:tcW w:type="pct" w:w="25%"/>
            <w:tcBorders>
              <w:top w:val="single" w:color="D4D7DB" w:sz="4"/>
              <w:left w:val="single" w:color="D4D7DB" w:sz="4"/>
              <w:bottom w:val="single" w:color="D4D7DB" w:sz="4"/>
              <w:right w:val="single" w:color="D4D7DB" w:sz="4"/>
            </w:tcBorders>
            <w:tcMar>
              <w:top w:type="dxa" w:w="80"/>
              <w:left w:type="dxa" w:w="100"/>
              <w:bottom w:type="dxa" w:w="80"/>
              <w:right w:type="dxa" w:w="100"/>
            </w:tcMar>
          </w:tcPr>
          <w:p>
            <w:r>
              <w:rPr>
                <w:rFonts w:ascii="Calibri" w:cs="Calibri" w:eastAsia="Calibri" w:hAnsi="Calibri"/>
                <w:color w:val="1F2328"/>
                <w:sz w:val="19"/>
                <w:szCs w:val="19"/>
              </w:rPr>
              <w:t xml:space="preserve"/>
            </w:r>
          </w:p>
        </w:tc>
        <w:tc>
          <w:tcPr>
            <w:tcW w:type="pct" w:w="25%"/>
            <w:tcBorders>
              <w:top w:val="single" w:color="D4D7DB" w:sz="4"/>
              <w:left w:val="single" w:color="D4D7DB" w:sz="4"/>
              <w:bottom w:val="single" w:color="D4D7DB" w:sz="4"/>
              <w:right w:val="single" w:color="D4D7DB" w:sz="4"/>
            </w:tcBorders>
            <w:shd w:fill="F5F6F7" w:val="clear"/>
            <w:tcMar>
              <w:top w:type="dxa" w:w="80"/>
              <w:left w:type="dxa" w:w="100"/>
              <w:bottom w:type="dxa" w:w="80"/>
              <w:right w:type="dxa" w:w="100"/>
            </w:tcMar>
          </w:tcPr>
          <w:p>
            <w:r>
              <w:rPr>
                <w:rFonts w:ascii="Calibri" w:cs="Calibri" w:eastAsia="Calibri" w:hAnsi="Calibri"/>
                <w:b/>
                <w:bCs/>
                <w:color w:val="545B66"/>
                <w:sz w:val="18"/>
                <w:szCs w:val="18"/>
              </w:rPr>
              <w:t xml:space="preserve">Strony:</w:t>
            </w:r>
          </w:p>
        </w:tc>
        <w:tc>
          <w:tcPr>
            <w:tcW w:type="pct" w:w="25%"/>
            <w:tcBorders>
              <w:top w:val="single" w:color="D4D7DB" w:sz="4"/>
              <w:left w:val="single" w:color="D4D7DB" w:sz="4"/>
              <w:bottom w:val="single" w:color="D4D7DB" w:sz="4"/>
              <w:right w:val="single" w:color="D4D7DB" w:sz="4"/>
            </w:tcBorders>
            <w:tcMar>
              <w:top w:type="dxa" w:w="80"/>
              <w:left w:type="dxa" w:w="100"/>
              <w:bottom w:type="dxa" w:w="80"/>
              <w:right w:type="dxa" w:w="100"/>
            </w:tcMar>
          </w:tcPr>
          <w:p>
            <w:r>
              <w:rPr>
                <w:rFonts w:ascii="Calibri" w:cs="Calibri" w:eastAsia="Calibri" w:hAnsi="Calibri"/>
                <w:color w:val="1F2328"/>
                <w:sz w:val="19"/>
                <w:szCs w:val="19"/>
              </w:rPr>
              <w:t xml:space="preserve">— / —</w:t>
            </w:r>
          </w:p>
        </w:tc>
      </w:tr>
      <w:tr>
        <w:tc>
          <w:tcPr>
            <w:tcW w:type="pct" w:w="25%"/>
            <w:tcBorders>
              <w:top w:val="single" w:color="D4D7DB" w:sz="4"/>
              <w:left w:val="single" w:color="D4D7DB" w:sz="4"/>
              <w:bottom w:val="single" w:color="D4D7DB" w:sz="4"/>
              <w:right w:val="single" w:color="D4D7DB" w:sz="4"/>
            </w:tcBorders>
            <w:shd w:fill="F5F6F7" w:val="clear"/>
            <w:tcMar>
              <w:top w:type="dxa" w:w="80"/>
              <w:left w:type="dxa" w:w="100"/>
              <w:bottom w:type="dxa" w:w="80"/>
              <w:right w:type="dxa" w:w="100"/>
            </w:tcMar>
          </w:tcPr>
          <w:p>
            <w:r>
              <w:rPr>
                <w:rFonts w:ascii="Calibri" w:cs="Calibri" w:eastAsia="Calibri" w:hAnsi="Calibri"/>
                <w:b/>
                <w:bCs/>
                <w:color w:val="545B66"/>
                <w:sz w:val="18"/>
                <w:szCs w:val="18"/>
              </w:rPr>
              <w:t xml:space="preserve">Opracował:</w:t>
            </w:r>
          </w:p>
        </w:tc>
        <w:tc>
          <w:tcPr>
            <w:tcW w:type="pct" w:w="25%"/>
            <w:tcBorders>
              <w:top w:val="single" w:color="D4D7DB" w:sz="4"/>
              <w:left w:val="single" w:color="D4D7DB" w:sz="4"/>
              <w:bottom w:val="single" w:color="D4D7DB" w:sz="4"/>
              <w:right w:val="single" w:color="D4D7DB" w:sz="4"/>
            </w:tcBorders>
            <w:tcMar>
              <w:top w:type="dxa" w:w="80"/>
              <w:left w:type="dxa" w:w="100"/>
              <w:bottom w:type="dxa" w:w="80"/>
              <w:right w:type="dxa" w:w="100"/>
            </w:tcMar>
          </w:tcPr>
          <w:p>
            <w:r>
              <w:rPr>
                <w:rFonts w:ascii="Calibri" w:cs="Calibri" w:eastAsia="Calibri" w:hAnsi="Calibri"/>
                <w:color w:val="1F2328"/>
                <w:sz w:val="19"/>
                <w:szCs w:val="19"/>
              </w:rPr>
              <w:t xml:space="preserve">Specjalista ds. bhp</w:t>
            </w:r>
          </w:p>
        </w:tc>
        <w:tc>
          <w:tcPr>
            <w:tcW w:type="pct" w:w="25%"/>
            <w:tcBorders>
              <w:top w:val="single" w:color="D4D7DB" w:sz="4"/>
              <w:left w:val="single" w:color="D4D7DB" w:sz="4"/>
              <w:bottom w:val="single" w:color="D4D7DB" w:sz="4"/>
              <w:right w:val="single" w:color="D4D7DB" w:sz="4"/>
            </w:tcBorders>
            <w:shd w:fill="F5F6F7" w:val="clear"/>
            <w:tcMar>
              <w:top w:type="dxa" w:w="80"/>
              <w:left w:type="dxa" w:w="100"/>
              <w:bottom w:type="dxa" w:w="80"/>
              <w:right w:type="dxa" w:w="100"/>
            </w:tcMar>
          </w:tcPr>
          <w:p>
            <w:r>
              <w:rPr>
                <w:rFonts w:ascii="Calibri" w:cs="Calibri" w:eastAsia="Calibri" w:hAnsi="Calibri"/>
                <w:b/>
                <w:bCs/>
                <w:color w:val="545B66"/>
                <w:sz w:val="18"/>
                <w:szCs w:val="18"/>
              </w:rPr>
              <w:t xml:space="preserve">Zatwierdził:</w:t>
            </w:r>
          </w:p>
        </w:tc>
        <w:tc>
          <w:tcPr>
            <w:tcW w:type="pct" w:w="25%"/>
            <w:tcBorders>
              <w:top w:val="single" w:color="D4D7DB" w:sz="4"/>
              <w:left w:val="single" w:color="D4D7DB" w:sz="4"/>
              <w:bottom w:val="single" w:color="D4D7DB" w:sz="4"/>
              <w:right w:val="single" w:color="D4D7DB" w:sz="4"/>
            </w:tcBorders>
            <w:tcMar>
              <w:top w:type="dxa" w:w="80"/>
              <w:left w:type="dxa" w:w="100"/>
              <w:bottom w:type="dxa" w:w="80"/>
              <w:right w:type="dxa" w:w="100"/>
            </w:tcMar>
          </w:tcPr>
          <w:p>
            <w:r>
              <w:rPr>
                <w:rFonts w:ascii="Calibri" w:cs="Calibri" w:eastAsia="Calibri" w:hAnsi="Calibri"/>
                <w:color w:val="1F2328"/>
                <w:sz w:val="19"/>
                <w:szCs w:val="19"/>
              </w:rPr>
              <w:t xml:space="preserve">Pracodawca</w:t>
            </w:r>
          </w:p>
        </w:tc>
      </w:tr>
      <w:tr>
        <w:tc>
          <w:tcPr>
            <w:tcW w:type="pct" w:w="25%"/>
            <w:tcBorders>
              <w:top w:val="single" w:color="D4D7DB" w:sz="4"/>
              <w:left w:val="single" w:color="D4D7DB" w:sz="4"/>
              <w:bottom w:val="single" w:color="D4D7DB" w:sz="4"/>
              <w:right w:val="single" w:color="D4D7DB" w:sz="4"/>
            </w:tcBorders>
            <w:shd w:fill="F5F6F7" w:val="clear"/>
            <w:tcMar>
              <w:top w:type="dxa" w:w="80"/>
              <w:left w:type="dxa" w:w="100"/>
              <w:bottom w:type="dxa" w:w="80"/>
              <w:right w:type="dxa" w:w="100"/>
            </w:tcMar>
          </w:tcPr>
          <w:p>
            <w:r>
              <w:rPr>
                <w:rFonts w:ascii="Calibri" w:cs="Calibri" w:eastAsia="Calibri" w:hAnsi="Calibri"/>
                <w:b/>
                <w:bCs/>
                <w:color w:val="545B66"/>
                <w:sz w:val="18"/>
                <w:szCs w:val="18"/>
              </w:rPr>
              <w:t xml:space="preserve">Zastępuje:</w:t>
            </w:r>
          </w:p>
        </w:tc>
        <w:tc>
          <w:tcPr>
            <w:tcW w:type="pct" w:w="25%"/>
            <w:tcBorders>
              <w:top w:val="single" w:color="D4D7DB" w:sz="4"/>
              <w:left w:val="single" w:color="D4D7DB" w:sz="4"/>
              <w:bottom w:val="single" w:color="D4D7DB" w:sz="4"/>
              <w:right w:val="single" w:color="D4D7DB" w:sz="4"/>
            </w:tcBorders>
            <w:tcMar>
              <w:top w:type="dxa" w:w="80"/>
              <w:left w:type="dxa" w:w="100"/>
              <w:bottom w:type="dxa" w:w="80"/>
              <w:right w:type="dxa" w:w="100"/>
            </w:tcMar>
          </w:tcPr>
          <w:p>
            <w:r>
              <w:rPr>
                <w:rFonts w:ascii="Calibri" w:cs="Calibri" w:eastAsia="Calibri" w:hAnsi="Calibri"/>
                <w:color w:val="1F2328"/>
                <w:sz w:val="19"/>
                <w:szCs w:val="19"/>
              </w:rPr>
              <w:t xml:space="preserve">Wydanie pierwsze</w:t>
            </w:r>
          </w:p>
        </w:tc>
        <w:tc>
          <w:tcPr>
            <w:tcW w:type="pct" w:w="25%"/>
            <w:tcBorders>
              <w:top w:val="single" w:color="D4D7DB" w:sz="4"/>
              <w:left w:val="single" w:color="D4D7DB" w:sz="4"/>
              <w:bottom w:val="single" w:color="D4D7DB" w:sz="4"/>
              <w:right w:val="single" w:color="D4D7DB" w:sz="4"/>
            </w:tcBorders>
            <w:shd w:fill="F5F6F7" w:val="clear"/>
            <w:tcMar>
              <w:top w:type="dxa" w:w="80"/>
              <w:left w:type="dxa" w:w="100"/>
              <w:bottom w:type="dxa" w:w="80"/>
              <w:right w:type="dxa" w:w="100"/>
            </w:tcMar>
          </w:tcPr>
          <w:p>
            <w:r>
              <w:rPr>
                <w:rFonts w:ascii="Calibri" w:cs="Calibri" w:eastAsia="Calibri" w:hAnsi="Calibri"/>
                <w:b/>
                <w:bCs/>
                <w:color w:val="545B66"/>
                <w:sz w:val="18"/>
                <w:szCs w:val="18"/>
              </w:rPr>
              <w:t xml:space="preserve">Następny przegląd:</w:t>
            </w:r>
          </w:p>
        </w:tc>
        <w:tc>
          <w:tcPr>
            <w:tcW w:type="pct" w:w="25%"/>
            <w:tcBorders>
              <w:top w:val="single" w:color="D4D7DB" w:sz="4"/>
              <w:left w:val="single" w:color="D4D7DB" w:sz="4"/>
              <w:bottom w:val="single" w:color="D4D7DB" w:sz="4"/>
              <w:right w:val="single" w:color="D4D7DB" w:sz="4"/>
            </w:tcBorders>
            <w:tcMar>
              <w:top w:type="dxa" w:w="80"/>
              <w:left w:type="dxa" w:w="100"/>
              <w:bottom w:type="dxa" w:w="80"/>
              <w:right w:type="dxa" w:w="100"/>
            </w:tcMar>
          </w:tcPr>
          <w:p>
            <w:r>
              <w:rPr>
                <w:rFonts w:ascii="Calibri" w:cs="Calibri" w:eastAsia="Calibri" w:hAnsi="Calibri"/>
                <w:color w:val="1F2328"/>
                <w:sz w:val="19"/>
                <w:szCs w:val="19"/>
              </w:rPr>
              <w:t xml:space="preserve"/>
            </w:r>
          </w:p>
        </w:tc>
      </w:tr>
    </w:tbl>
    <w:p>
      <w:pPr>
        <w:spacing w:after="100" w:before="200"/>
      </w:pPr>
    </w:p>
    <w:tbl>
      <w:tblPr>
        <w:tblW w:type="pct" w:w="100%"/>
        <w:tblBorders>
          <w:top w:val="none"/>
          <w:left w:val="none"/>
          <w:bottom w:val="none"/>
          <w:right w:val="none"/>
          <w:insideH w:val="none"/>
          <w:insideV w:val="none"/>
        </w:tblBorders>
      </w:tblPr>
      <w:tblGrid>
        <w:gridCol w:w="100"/>
      </w:tblGrid>
      <w:tr>
        <w:tc>
          <w:tcPr>
            <w:tcW w:type="pct" w:w="100%"/>
            <w:tcBorders>
              <w:top w:val="single" w:color="FBE1E1" w:sz="4"/>
              <w:left w:val="single" w:color="C0392B" w:sz="28"/>
              <w:bottom w:val="single" w:color="FBE1E1" w:sz="4"/>
              <w:right w:val="single" w:color="FBE1E1" w:sz="4"/>
            </w:tcBorders>
            <w:shd w:fill="FBE1E1" w:val="clear"/>
            <w:tcMar>
              <w:top w:type="dxa" w:w="140"/>
              <w:left w:type="dxa" w:w="180"/>
              <w:bottom w:type="dxa" w:w="140"/>
              <w:right w:type="dxa" w:w="180"/>
            </w:tcMar>
          </w:tcPr>
          <w:p>
            <w:r>
              <w:rPr>
                <w:rFonts w:ascii="Calibri" w:cs="Calibri" w:eastAsia="Calibri" w:hAnsi="Calibri"/>
                <w:color w:val="1F2328"/>
                <w:sz w:val="20"/>
                <w:szCs w:val="20"/>
              </w:rPr>
              <w:t xml:space="preserve">Rusztowanie może być użytkowane wyłącznie po odbiorze technicznym potwierdzonym wpisem w dzienniku budowy lub protokołem odbioru — praca na nieodebranym rusztowaniu jest niedozwolona, niezależnie od tego, jak stabilnie wygląda.</w:t>
            </w:r>
          </w:p>
        </w:tc>
      </w:tr>
    </w:tbl>
    <w:p>
      <w:pPr>
        <w:spacing w:before="200"/>
      </w:pPr>
    </w:p>
    <w:p>
      <w:pPr>
        <w:pBdr>
          <w:left w:val="single" w:color="0E7C7A" w:sz="24" w:space="6"/>
        </w:pBdr>
        <w:spacing w:after="120" w:before="260"/>
        <w:ind w:left="60"/>
      </w:pPr>
      <w:r>
        <w:rPr>
          <w:rFonts w:ascii="Calibri" w:cs="Calibri" w:eastAsia="Calibri" w:hAnsi="Calibri"/>
          <w:b/>
          <w:bCs/>
          <w:color w:val="1F2328"/>
          <w:sz w:val="23"/>
          <w:szCs w:val="23"/>
        </w:rPr>
        <w:t xml:space="preserve">1. Zakres instrukcji</w:t>
      </w:r>
    </w:p>
    <w:p>
      <w:pPr>
        <w:spacing w:after="120"/>
        <w:jc w:val="both"/>
      </w:pPr>
      <w:r>
        <w:rPr>
          <w:rFonts w:ascii="Calibri" w:cs="Calibri" w:eastAsia="Calibri" w:hAnsi="Calibri"/>
          <w:b w:val="false"/>
          <w:bCs w:val="false"/>
          <w:color w:val="1F2328"/>
          <w:sz w:val="21"/>
          <w:szCs w:val="21"/>
        </w:rPr>
        <w:t xml:space="preserve">Instrukcja dotyczy bezpiecznego montażu, użytkowania i demontażu rusztowań roboczych stosowanych przy pracach budowlanych, remontowych i konserwacyjnych.</w:t>
      </w:r>
    </w:p>
    <w:p>
      <w:pPr>
        <w:pBdr>
          <w:left w:val="single" w:color="0E7C7A" w:sz="24" w:space="6"/>
        </w:pBdr>
        <w:spacing w:after="120" w:before="260"/>
        <w:ind w:left="60"/>
      </w:pPr>
      <w:r>
        <w:rPr>
          <w:rFonts w:ascii="Calibri" w:cs="Calibri" w:eastAsia="Calibri" w:hAnsi="Calibri"/>
          <w:b/>
          <w:bCs/>
          <w:color w:val="1F2328"/>
          <w:sz w:val="23"/>
          <w:szCs w:val="23"/>
        </w:rPr>
        <w:t xml:space="preserve">2. Wymagania kwalifikacyjne</w:t>
      </w:r>
    </w:p>
    <w:p>
      <w:pPr>
        <w:pStyle w:val="ListParagraph"/>
        <w:numPr>
          <w:ilvl w:val="0"/>
          <w:numId w:val="1"/>
        </w:numPr>
        <w:spacing w:after="80"/>
      </w:pPr>
      <w:r>
        <w:rPr>
          <w:rFonts w:ascii="Calibri" w:cs="Calibri" w:eastAsia="Calibri" w:hAnsi="Calibri"/>
          <w:color w:val="1F2328"/>
          <w:sz w:val="21"/>
          <w:szCs w:val="21"/>
        </w:rPr>
        <w:t xml:space="preserve">Montaż, przebudowę i demontaż rusztowań, niezależnie od ich wysokości, mogą wykonywać wyłącznie osoby posiadające wymagane uprawnienia montera rusztowań budowlano-montażowych, potwierdzone stosownym zaświadczeniem kwalifikacyjnym,</w:t>
      </w:r>
    </w:p>
    <w:p>
      <w:pPr>
        <w:pStyle w:val="ListParagraph"/>
        <w:numPr>
          <w:ilvl w:val="0"/>
          <w:numId w:val="1"/>
        </w:numPr>
        <w:spacing w:after="80"/>
      </w:pPr>
      <w:r>
        <w:rPr>
          <w:rFonts w:ascii="Calibri" w:cs="Calibri" w:eastAsia="Calibri" w:hAnsi="Calibri"/>
          <w:color w:val="1F2328"/>
          <w:sz w:val="21"/>
          <w:szCs w:val="21"/>
        </w:rPr>
        <w:t xml:space="preserve">Montaż rusztowania wykonuje się zgodnie z instrukcją montażu i eksploatacji (DTR) producenta albo projektem indywidualnym,</w:t>
      </w:r>
    </w:p>
    <w:p>
      <w:pPr>
        <w:pStyle w:val="ListParagraph"/>
        <w:numPr>
          <w:ilvl w:val="0"/>
          <w:numId w:val="1"/>
        </w:numPr>
        <w:spacing w:after="80"/>
      </w:pPr>
      <w:r>
        <w:rPr>
          <w:rFonts w:ascii="Calibri" w:cs="Calibri" w:eastAsia="Calibri" w:hAnsi="Calibri"/>
          <w:color w:val="1F2328"/>
          <w:sz w:val="21"/>
          <w:szCs w:val="21"/>
        </w:rPr>
        <w:t xml:space="preserve">Prace montażowe i demontażowe nadzoruje osoba wyznaczona, posiadająca odpowiednie kwalifikacje.</w:t>
      </w:r>
    </w:p>
    <w:p>
      <w:pPr>
        <w:pBdr>
          <w:left w:val="single" w:color="0E7C7A" w:sz="24" w:space="6"/>
        </w:pBdr>
        <w:spacing w:after="120" w:before="260"/>
        <w:ind w:left="60"/>
      </w:pPr>
      <w:r>
        <w:rPr>
          <w:rFonts w:ascii="Calibri" w:cs="Calibri" w:eastAsia="Calibri" w:hAnsi="Calibri"/>
          <w:b/>
          <w:bCs/>
          <w:color w:val="1F2328"/>
          <w:sz w:val="23"/>
          <w:szCs w:val="23"/>
        </w:rPr>
        <w:t xml:space="preserve">3. Montaż rusztowania</w:t>
      </w:r>
    </w:p>
    <w:p>
      <w:pPr>
        <w:pStyle w:val="ListParagraph"/>
        <w:numPr>
          <w:ilvl w:val="0"/>
          <w:numId w:val="1"/>
        </w:numPr>
        <w:spacing w:after="80"/>
      </w:pPr>
      <w:r>
        <w:rPr>
          <w:rFonts w:ascii="Calibri" w:cs="Calibri" w:eastAsia="Calibri" w:hAnsi="Calibri"/>
          <w:color w:val="1F2328"/>
          <w:sz w:val="21"/>
          <w:szCs w:val="21"/>
        </w:rPr>
        <w:t xml:space="preserve">Montuj rusztowanie ściśle według instrukcji montażu i eksploatacji (DTR) producenta konkretnego systemu — nie łącz elementów z różnych systemów rusztowań, chyba że producent to dopuszcza,</w:t>
      </w:r>
    </w:p>
    <w:p>
      <w:pPr>
        <w:pStyle w:val="ListParagraph"/>
        <w:numPr>
          <w:ilvl w:val="0"/>
          <w:numId w:val="1"/>
        </w:numPr>
        <w:spacing w:after="80"/>
      </w:pPr>
      <w:r>
        <w:rPr>
          <w:rFonts w:ascii="Calibri" w:cs="Calibri" w:eastAsia="Calibri" w:hAnsi="Calibri"/>
          <w:color w:val="1F2328"/>
          <w:sz w:val="21"/>
          <w:szCs w:val="21"/>
        </w:rPr>
        <w:t xml:space="preserve">Ustaw rusztowanie na stabilnym, wypoziomowanym podłożu, z zastosowaniem podstawek śrubowych umożliwiających regulację poziomu,</w:t>
      </w:r>
    </w:p>
    <w:p>
      <w:pPr>
        <w:pStyle w:val="ListParagraph"/>
        <w:numPr>
          <w:ilvl w:val="0"/>
          <w:numId w:val="1"/>
        </w:numPr>
        <w:spacing w:after="80"/>
      </w:pPr>
      <w:r>
        <w:rPr>
          <w:rFonts w:ascii="Calibri" w:cs="Calibri" w:eastAsia="Calibri" w:hAnsi="Calibri"/>
          <w:color w:val="1F2328"/>
          <w:sz w:val="21"/>
          <w:szCs w:val="21"/>
        </w:rPr>
        <w:t xml:space="preserve">Zamocuj rusztowanie do konstrukcji budynku (kotwienie) zgodnie z projektem lub instrukcją producenta — zapewnia to stateczność przy działaniu wiatru i obciążeń roboczych,</w:t>
      </w:r>
    </w:p>
    <w:p>
      <w:pPr>
        <w:pStyle w:val="ListParagraph"/>
        <w:numPr>
          <w:ilvl w:val="0"/>
          <w:numId w:val="1"/>
        </w:numPr>
        <w:spacing w:after="80"/>
      </w:pPr>
      <w:r>
        <w:rPr>
          <w:rFonts w:ascii="Calibri" w:cs="Calibri" w:eastAsia="Calibri" w:hAnsi="Calibri"/>
          <w:color w:val="1F2328"/>
          <w:sz w:val="21"/>
          <w:szCs w:val="21"/>
        </w:rPr>
        <w:t xml:space="preserve">Zamontuj balustrady ochronne (poręcz główną na wys. ok. 1,1 m, poręcz pośrednią i krawężnik/bortnicę przy podeście) na wszystkich krawędziach podestów roboczych,</w:t>
      </w:r>
    </w:p>
    <w:p>
      <w:pPr>
        <w:pStyle w:val="ListParagraph"/>
        <w:numPr>
          <w:ilvl w:val="0"/>
          <w:numId w:val="1"/>
        </w:numPr>
        <w:spacing w:after="80"/>
      </w:pPr>
      <w:r>
        <w:rPr>
          <w:rFonts w:ascii="Calibri" w:cs="Calibri" w:eastAsia="Calibri" w:hAnsi="Calibri"/>
          <w:color w:val="1F2328"/>
          <w:sz w:val="21"/>
          <w:szCs w:val="21"/>
        </w:rPr>
        <w:t xml:space="preserve">Zamontuj stabilne wejścia (drabiny, schody wewnętrzne systemowe) — nie wchodź na rusztowanie po elementach konstrukcyjnych,</w:t>
      </w:r>
    </w:p>
    <w:p>
      <w:pPr>
        <w:pStyle w:val="ListParagraph"/>
        <w:numPr>
          <w:ilvl w:val="0"/>
          <w:numId w:val="1"/>
        </w:numPr>
        <w:spacing w:after="80"/>
      </w:pPr>
      <w:r>
        <w:rPr>
          <w:rFonts w:ascii="Calibri" w:cs="Calibri" w:eastAsia="Calibri" w:hAnsi="Calibri"/>
          <w:color w:val="1F2328"/>
          <w:sz w:val="21"/>
          <w:szCs w:val="21"/>
        </w:rPr>
        <w:t xml:space="preserve">Osoby wykonujące montaż na wysokości stosują środki ochrony indywidualnej przed upadkiem do czasu zamontowania balustrad.</w:t>
      </w:r>
    </w:p>
    <w:p>
      <w:pPr>
        <w:pBdr>
          <w:left w:val="single" w:color="0E7C7A" w:sz="24" w:space="6"/>
        </w:pBdr>
        <w:spacing w:after="120" w:before="260"/>
        <w:ind w:left="60"/>
      </w:pPr>
      <w:r>
        <w:rPr>
          <w:rFonts w:ascii="Calibri" w:cs="Calibri" w:eastAsia="Calibri" w:hAnsi="Calibri"/>
          <w:b/>
          <w:bCs/>
          <w:color w:val="1F2328"/>
          <w:sz w:val="23"/>
          <w:szCs w:val="23"/>
        </w:rPr>
        <w:t xml:space="preserve">4. Odbiór techniczny rusztowania</w:t>
      </w:r>
    </w:p>
    <w:p>
      <w:pPr>
        <w:spacing w:after="160"/>
        <w:jc w:val="both"/>
      </w:pPr>
      <w:r>
        <w:rPr>
          <w:rFonts w:ascii="Calibri" w:cs="Calibri" w:eastAsia="Calibri" w:hAnsi="Calibri"/>
          <w:b w:val="false"/>
          <w:bCs w:val="false"/>
          <w:color w:val="1F2328"/>
          <w:sz w:val="21"/>
          <w:szCs w:val="21"/>
        </w:rPr>
        <w:t xml:space="preserve">Każde rusztowanie, niezależnie od wysokości, podlega odbiorowi technicznemu przed przekazaniem do użytkowania, dokonywanemu przez kierownika budowy lub inną upoważnioną osobę. Odbiór dokumentuje się wpisem do dziennika budowy lub protokołem odbioru, potwierdzającym m.in.: brak zastrzeżeń do stanu podłoża i posadowienia, kompletność zabezpieczeń (balustrady, piony komunikacyjne), stabilność konstrukcji i kotwień, oznakowanie dopuszczalnego obciążenia.</w:t>
      </w:r>
    </w:p>
    <w:tbl>
      <w:tblPr>
        <w:tblW w:type="pct" w:w="100%"/>
        <w:tblBorders>
          <w:top w:val="none"/>
          <w:left w:val="none"/>
          <w:bottom w:val="none"/>
          <w:right w:val="none"/>
          <w:insideH w:val="none"/>
          <w:insideV w:val="none"/>
        </w:tblBorders>
      </w:tblPr>
      <w:tblGrid>
        <w:gridCol w:w="100"/>
      </w:tblGrid>
      <w:tr>
        <w:tc>
          <w:tcPr>
            <w:tcW w:type="pct" w:w="100%"/>
            <w:tcBorders>
              <w:top w:val="single" w:color="FFF3CD" w:sz="4"/>
              <w:left w:val="single" w:color="B8860B" w:sz="28"/>
              <w:bottom w:val="single" w:color="FFF3CD" w:sz="4"/>
              <w:right w:val="single" w:color="FFF3CD" w:sz="4"/>
            </w:tcBorders>
            <w:shd w:fill="FFF3CD" w:val="clear"/>
            <w:tcMar>
              <w:top w:type="dxa" w:w="140"/>
              <w:left w:type="dxa" w:w="180"/>
              <w:bottom w:type="dxa" w:w="140"/>
              <w:right w:type="dxa" w:w="180"/>
            </w:tcMar>
          </w:tcPr>
          <w:p>
            <w:r>
              <w:rPr>
                <w:rFonts w:ascii="Calibri" w:cs="Calibri" w:eastAsia="Calibri" w:hAnsi="Calibri"/>
                <w:color w:val="1F2328"/>
                <w:sz w:val="20"/>
                <w:szCs w:val="20"/>
              </w:rPr>
              <w:t xml:space="preserve">Rusztowanie bez tabliczki odbioru (lub z tabliczką wskazującą brak dopuszczenia) nie może być użytkowane — dotyczy to również sytuacji, gdy wygląda na ukończone.</w:t>
            </w:r>
          </w:p>
        </w:tc>
      </w:tr>
    </w:tbl>
    <w:p>
      <w:pPr>
        <w:spacing w:before="200"/>
      </w:pPr>
    </w:p>
    <w:p>
      <w:pPr>
        <w:pBdr>
          <w:left w:val="single" w:color="0E7C7A" w:sz="24" w:space="6"/>
        </w:pBdr>
        <w:spacing w:after="120" w:before="260"/>
        <w:ind w:left="60"/>
      </w:pPr>
      <w:r>
        <w:rPr>
          <w:rFonts w:ascii="Calibri" w:cs="Calibri" w:eastAsia="Calibri" w:hAnsi="Calibri"/>
          <w:b/>
          <w:bCs/>
          <w:color w:val="1F2328"/>
          <w:sz w:val="23"/>
          <w:szCs w:val="23"/>
        </w:rPr>
        <w:t xml:space="preserve">5. Użytkowanie rusztowania</w:t>
      </w:r>
    </w:p>
    <w:p>
      <w:pPr>
        <w:pStyle w:val="ListParagraph"/>
        <w:numPr>
          <w:ilvl w:val="0"/>
          <w:numId w:val="1"/>
        </w:numPr>
        <w:spacing w:after="80"/>
      </w:pPr>
      <w:r>
        <w:rPr>
          <w:rFonts w:ascii="Calibri" w:cs="Calibri" w:eastAsia="Calibri" w:hAnsi="Calibri"/>
          <w:color w:val="1F2328"/>
          <w:sz w:val="21"/>
          <w:szCs w:val="21"/>
        </w:rPr>
        <w:t xml:space="preserve">Nie przekraczaj dopuszczalnego obciążenia podestu rusztowania wskazanego na tabliczce informacyjnej,</w:t>
      </w:r>
    </w:p>
    <w:p>
      <w:pPr>
        <w:pStyle w:val="ListParagraph"/>
        <w:numPr>
          <w:ilvl w:val="0"/>
          <w:numId w:val="1"/>
        </w:numPr>
        <w:spacing w:after="80"/>
      </w:pPr>
      <w:r>
        <w:rPr>
          <w:rFonts w:ascii="Calibri" w:cs="Calibri" w:eastAsia="Calibri" w:hAnsi="Calibri"/>
          <w:color w:val="1F2328"/>
          <w:sz w:val="21"/>
          <w:szCs w:val="21"/>
        </w:rPr>
        <w:t xml:space="preserve">Nie przeciążaj rusztowania poprzez gromadzenie nadmiernej ilości materiałów na pomoście — rozmieszczaj materiały równomiernie,</w:t>
      </w:r>
    </w:p>
    <w:p>
      <w:pPr>
        <w:pStyle w:val="ListParagraph"/>
        <w:numPr>
          <w:ilvl w:val="0"/>
          <w:numId w:val="1"/>
        </w:numPr>
        <w:spacing w:after="80"/>
      </w:pPr>
      <w:r>
        <w:rPr>
          <w:rFonts w:ascii="Calibri" w:cs="Calibri" w:eastAsia="Calibri" w:hAnsi="Calibri"/>
          <w:color w:val="1F2328"/>
          <w:sz w:val="21"/>
          <w:szCs w:val="21"/>
        </w:rPr>
        <w:t xml:space="preserve">Korzystaj wyłącznie z wyznaczonych dróg komunikacyjnych (drabinek, schodów) rusztowania,</w:t>
      </w:r>
    </w:p>
    <w:p>
      <w:pPr>
        <w:pStyle w:val="ListParagraph"/>
        <w:numPr>
          <w:ilvl w:val="0"/>
          <w:numId w:val="1"/>
        </w:numPr>
        <w:spacing w:after="80"/>
      </w:pPr>
      <w:r>
        <w:rPr>
          <w:rFonts w:ascii="Calibri" w:cs="Calibri" w:eastAsia="Calibri" w:hAnsi="Calibri"/>
          <w:color w:val="1F2328"/>
          <w:sz w:val="21"/>
          <w:szCs w:val="21"/>
        </w:rPr>
        <w:t xml:space="preserve">Nie wychylaj się poza balustrady rusztowania,</w:t>
      </w:r>
    </w:p>
    <w:p>
      <w:pPr>
        <w:pStyle w:val="ListParagraph"/>
        <w:numPr>
          <w:ilvl w:val="0"/>
          <w:numId w:val="1"/>
        </w:numPr>
        <w:spacing w:after="80"/>
      </w:pPr>
      <w:r>
        <w:rPr>
          <w:rFonts w:ascii="Calibri" w:cs="Calibri" w:eastAsia="Calibri" w:hAnsi="Calibri"/>
          <w:color w:val="1F2328"/>
          <w:sz w:val="21"/>
          <w:szCs w:val="21"/>
        </w:rPr>
        <w:t xml:space="preserve">Zgłaszaj przełożonemu każdą zauważoną nieprawidłowość konstrukcji — poluzowane złącza, ugięcia, przechylenia,</w:t>
      </w:r>
    </w:p>
    <w:p>
      <w:pPr>
        <w:pStyle w:val="ListParagraph"/>
        <w:numPr>
          <w:ilvl w:val="0"/>
          <w:numId w:val="1"/>
        </w:numPr>
        <w:spacing w:after="80"/>
      </w:pPr>
      <w:r>
        <w:rPr>
          <w:rFonts w:ascii="Calibri" w:cs="Calibri" w:eastAsia="Calibri" w:hAnsi="Calibri"/>
          <w:color w:val="1F2328"/>
          <w:sz w:val="21"/>
          <w:szCs w:val="21"/>
        </w:rPr>
        <w:t xml:space="preserve">Nie dokonuj samodzielnych przeróbek konstrukcji rusztowania (usuwanie elementów, dostawianie niezgodnych z systemem części).</w:t>
      </w:r>
    </w:p>
    <w:p>
      <w:pPr>
        <w:pBdr>
          <w:left w:val="single" w:color="0E7C7A" w:sz="24" w:space="6"/>
        </w:pBdr>
        <w:spacing w:after="120" w:before="260"/>
        <w:ind w:left="60"/>
      </w:pPr>
      <w:r>
        <w:rPr>
          <w:rFonts w:ascii="Calibri" w:cs="Calibri" w:eastAsia="Calibri" w:hAnsi="Calibri"/>
          <w:b/>
          <w:bCs/>
          <w:color w:val="1F2328"/>
          <w:sz w:val="23"/>
          <w:szCs w:val="23"/>
        </w:rPr>
        <w:t xml:space="preserve">6. Rusztowania jezdne (przejezdne)</w:t>
      </w:r>
    </w:p>
    <w:p>
      <w:pPr>
        <w:pStyle w:val="ListParagraph"/>
        <w:numPr>
          <w:ilvl w:val="0"/>
          <w:numId w:val="1"/>
        </w:numPr>
        <w:spacing w:after="80"/>
      </w:pPr>
      <w:r>
        <w:rPr>
          <w:rFonts w:ascii="Calibri" w:cs="Calibri" w:eastAsia="Calibri" w:hAnsi="Calibri"/>
          <w:color w:val="1F2328"/>
          <w:sz w:val="21"/>
          <w:szCs w:val="21"/>
        </w:rPr>
        <w:t xml:space="preserve">Przed przemieszczeniem rusztowania jezdnego usuń z podestu wszystkie osoby, narzędzia i materiały,</w:t>
      </w:r>
    </w:p>
    <w:p>
      <w:pPr>
        <w:pStyle w:val="ListParagraph"/>
        <w:numPr>
          <w:ilvl w:val="0"/>
          <w:numId w:val="1"/>
        </w:numPr>
        <w:spacing w:after="80"/>
      </w:pPr>
      <w:r>
        <w:rPr>
          <w:rFonts w:ascii="Calibri" w:cs="Calibri" w:eastAsia="Calibri" w:hAnsi="Calibri"/>
          <w:color w:val="1F2328"/>
          <w:sz w:val="21"/>
          <w:szCs w:val="21"/>
        </w:rPr>
        <w:t xml:space="preserve">Przemieszczaj rusztowanie po równym, twardym podłożu, popychając je siłą mięśni na poziomie podstawy — nie ciągnij za górne elementy konstrukcji,</w:t>
      </w:r>
    </w:p>
    <w:p>
      <w:pPr>
        <w:pStyle w:val="ListParagraph"/>
        <w:numPr>
          <w:ilvl w:val="0"/>
          <w:numId w:val="1"/>
        </w:numPr>
        <w:spacing w:after="80"/>
      </w:pPr>
      <w:r>
        <w:rPr>
          <w:rFonts w:ascii="Calibri" w:cs="Calibri" w:eastAsia="Calibri" w:hAnsi="Calibri"/>
          <w:color w:val="1F2328"/>
          <w:sz w:val="21"/>
          <w:szCs w:val="21"/>
        </w:rPr>
        <w:t xml:space="preserve">Po ustawieniu w docelowym miejscu zablokuj wszystkie kółka jezdne przed wejściem na rusztowanie,</w:t>
      </w:r>
    </w:p>
    <w:p>
      <w:pPr>
        <w:pStyle w:val="ListParagraph"/>
        <w:numPr>
          <w:ilvl w:val="0"/>
          <w:numId w:val="1"/>
        </w:numPr>
        <w:spacing w:after="80"/>
      </w:pPr>
      <w:r>
        <w:rPr>
          <w:rFonts w:ascii="Calibri" w:cs="Calibri" w:eastAsia="Calibri" w:hAnsi="Calibri"/>
          <w:color w:val="1F2328"/>
          <w:sz w:val="21"/>
          <w:szCs w:val="21"/>
        </w:rPr>
        <w:t xml:space="preserve">Nigdy nie przemieszczaj rusztowania jezdnego z osobami znajdującymi się na podeście.</w:t>
      </w:r>
    </w:p>
    <w:p>
      <w:pPr>
        <w:pBdr>
          <w:left w:val="single" w:color="0E7C7A" w:sz="24" w:space="6"/>
        </w:pBdr>
        <w:spacing w:after="120" w:before="260"/>
        <w:ind w:left="60"/>
      </w:pPr>
      <w:r>
        <w:rPr>
          <w:rFonts w:ascii="Calibri" w:cs="Calibri" w:eastAsia="Calibri" w:hAnsi="Calibri"/>
          <w:b/>
          <w:bCs/>
          <w:color w:val="1F2328"/>
          <w:sz w:val="23"/>
          <w:szCs w:val="23"/>
        </w:rPr>
        <w:t xml:space="preserve">7. Warunki atmosferyczne</w:t>
      </w:r>
    </w:p>
    <w:p>
      <w:pPr>
        <w:spacing w:after="120"/>
        <w:jc w:val="both"/>
      </w:pPr>
      <w:r>
        <w:rPr>
          <w:rFonts w:ascii="Calibri" w:cs="Calibri" w:eastAsia="Calibri" w:hAnsi="Calibri"/>
          <w:b w:val="false"/>
          <w:bCs w:val="false"/>
          <w:color w:val="1F2328"/>
          <w:sz w:val="21"/>
          <w:szCs w:val="21"/>
        </w:rPr>
        <w:t xml:space="preserve">Montaż, eksploatacja i demontaż rusztowania są zabronione przy wietrze powyżej 10 m/s, podczas burzy, gęstej mgły, opadów deszczu, śniegu oraz gołoledzi, a o zmroku bez oświetlenia uniemożliwiającej bezpieczne wykonywanie pracy.</w:t>
      </w:r>
    </w:p>
    <w:p>
      <w:pPr>
        <w:pBdr>
          <w:left w:val="single" w:color="0E7C7A" w:sz="24" w:space="6"/>
        </w:pBdr>
        <w:spacing w:after="120" w:before="260"/>
        <w:ind w:left="60"/>
      </w:pPr>
      <w:r>
        <w:rPr>
          <w:rFonts w:ascii="Calibri" w:cs="Calibri" w:eastAsia="Calibri" w:hAnsi="Calibri"/>
          <w:b/>
          <w:bCs/>
          <w:color w:val="1F2328"/>
          <w:sz w:val="23"/>
          <w:szCs w:val="23"/>
        </w:rPr>
        <w:t xml:space="preserve">8. Demontaż rusztowania</w:t>
      </w:r>
    </w:p>
    <w:p>
      <w:pPr>
        <w:pStyle w:val="ListParagraph"/>
        <w:numPr>
          <w:ilvl w:val="0"/>
          <w:numId w:val="1"/>
        </w:numPr>
        <w:spacing w:after="80"/>
      </w:pPr>
      <w:r>
        <w:rPr>
          <w:rFonts w:ascii="Calibri" w:cs="Calibri" w:eastAsia="Calibri" w:hAnsi="Calibri"/>
          <w:color w:val="1F2328"/>
          <w:sz w:val="21"/>
          <w:szCs w:val="21"/>
        </w:rPr>
        <w:t xml:space="preserve">Demontaż wykonuj w kolejności odwrotnej do montażu, zgodnie z instrukcją producenta,</w:t>
      </w:r>
    </w:p>
    <w:p>
      <w:pPr>
        <w:pStyle w:val="ListParagraph"/>
        <w:numPr>
          <w:ilvl w:val="0"/>
          <w:numId w:val="1"/>
        </w:numPr>
        <w:spacing w:after="80"/>
      </w:pPr>
      <w:r>
        <w:rPr>
          <w:rFonts w:ascii="Calibri" w:cs="Calibri" w:eastAsia="Calibri" w:hAnsi="Calibri"/>
          <w:color w:val="1F2328"/>
          <w:sz w:val="21"/>
          <w:szCs w:val="21"/>
        </w:rPr>
        <w:t xml:space="preserve">Zachowaj balustrady ochronne możliwie najdłużej podczas demontażu — usuwaj je jako jeden z ostatnich elementów na danym poziomie,</w:t>
      </w:r>
    </w:p>
    <w:p>
      <w:pPr>
        <w:pStyle w:val="ListParagraph"/>
        <w:numPr>
          <w:ilvl w:val="0"/>
          <w:numId w:val="1"/>
        </w:numPr>
        <w:spacing w:after="80"/>
      </w:pPr>
      <w:r>
        <w:rPr>
          <w:rFonts w:ascii="Calibri" w:cs="Calibri" w:eastAsia="Calibri" w:hAnsi="Calibri"/>
          <w:color w:val="1F2328"/>
          <w:sz w:val="21"/>
          <w:szCs w:val="21"/>
        </w:rPr>
        <w:t xml:space="preserve">Nie zrzucaj elementów rusztowania z wysokości — opuszczaj je przy użyciu liny lub podawaj z rąk do rąk,</w:t>
      </w:r>
    </w:p>
    <w:p>
      <w:pPr>
        <w:pStyle w:val="ListParagraph"/>
        <w:numPr>
          <w:ilvl w:val="0"/>
          <w:numId w:val="1"/>
        </w:numPr>
        <w:spacing w:after="80"/>
      </w:pPr>
      <w:r>
        <w:rPr>
          <w:rFonts w:ascii="Calibri" w:cs="Calibri" w:eastAsia="Calibri" w:hAnsi="Calibri"/>
          <w:color w:val="1F2328"/>
          <w:sz w:val="21"/>
          <w:szCs w:val="21"/>
        </w:rPr>
        <w:t xml:space="preserve">Wygrodź strefę pod demontowanym rusztowaniem, uniemożliwiając dostęp osobom postronnym.</w:t>
      </w:r>
    </w:p>
    <w:p>
      <w:pPr>
        <w:pBdr>
          <w:left w:val="single" w:color="0E7C7A" w:sz="24" w:space="6"/>
        </w:pBdr>
        <w:spacing w:after="120" w:before="260"/>
        <w:ind w:left="60"/>
      </w:pPr>
      <w:r>
        <w:rPr>
          <w:rFonts w:ascii="Calibri" w:cs="Calibri" w:eastAsia="Calibri" w:hAnsi="Calibri"/>
          <w:b/>
          <w:bCs/>
          <w:color w:val="1F2328"/>
          <w:sz w:val="23"/>
          <w:szCs w:val="23"/>
        </w:rPr>
        <w:t xml:space="preserve">9. Postępowanie w sytuacjach awaryjnych</w:t>
      </w:r>
    </w:p>
    <w:p>
      <w:pPr>
        <w:pStyle w:val="ListParagraph"/>
        <w:numPr>
          <w:ilvl w:val="0"/>
          <w:numId w:val="1"/>
        </w:numPr>
        <w:spacing w:after="80"/>
      </w:pPr>
      <w:r>
        <w:rPr>
          <w:rFonts w:ascii="Calibri" w:cs="Calibri" w:eastAsia="Calibri" w:hAnsi="Calibri"/>
          <w:color w:val="1F2328"/>
          <w:sz w:val="21"/>
          <w:szCs w:val="21"/>
        </w:rPr>
        <w:t xml:space="preserve">W razie stwierdzenia niestabilności rusztowania podczas pracy — natychmiast opuść konstrukcję i powiadom przełożonego, wygrodź strefę zagrożenia,</w:t>
      </w:r>
    </w:p>
    <w:p>
      <w:pPr>
        <w:pStyle w:val="ListParagraph"/>
        <w:numPr>
          <w:ilvl w:val="0"/>
          <w:numId w:val="1"/>
        </w:numPr>
        <w:spacing w:after="80"/>
      </w:pPr>
      <w:r>
        <w:rPr>
          <w:rFonts w:ascii="Calibri" w:cs="Calibri" w:eastAsia="Calibri" w:hAnsi="Calibri"/>
          <w:color w:val="1F2328"/>
          <w:sz w:val="21"/>
          <w:szCs w:val="21"/>
        </w:rPr>
        <w:t xml:space="preserve">W razie upadku z rusztowania — postępuj zgodnie z zasadami z instrukcji E.45 (ryzyko traumy zawiśnięcia) oraz E.5,</w:t>
      </w:r>
    </w:p>
    <w:p>
      <w:pPr>
        <w:pStyle w:val="ListParagraph"/>
        <w:numPr>
          <w:ilvl w:val="0"/>
          <w:numId w:val="1"/>
        </w:numPr>
        <w:spacing w:after="80"/>
      </w:pPr>
      <w:r>
        <w:rPr>
          <w:rFonts w:ascii="Calibri" w:cs="Calibri" w:eastAsia="Calibri" w:hAnsi="Calibri"/>
          <w:color w:val="1F2328"/>
          <w:sz w:val="21"/>
          <w:szCs w:val="21"/>
        </w:rPr>
        <w:t xml:space="preserve">Każdy wypadek związany z rusztowaniem zgłoś niezwłocznie zgodnie z procedurą zgłaszania wypadków (kategoria C).</w:t>
      </w:r>
    </w:p>
    <w:p>
      <w:pPr>
        <w:pBdr>
          <w:left w:val="single" w:color="0E7C7A" w:sz="24" w:space="6"/>
        </w:pBdr>
        <w:spacing w:after="120" w:before="260"/>
        <w:ind w:left="60"/>
      </w:pPr>
      <w:r>
        <w:rPr>
          <w:rFonts w:ascii="Calibri" w:cs="Calibri" w:eastAsia="Calibri" w:hAnsi="Calibri"/>
          <w:b/>
          <w:bCs/>
          <w:color w:val="1F2328"/>
          <w:sz w:val="23"/>
          <w:szCs w:val="23"/>
        </w:rPr>
        <w:t xml:space="preserve">10. Zakazy</w:t>
      </w:r>
    </w:p>
    <w:p>
      <w:pPr>
        <w:pStyle w:val="ListParagraph"/>
        <w:numPr>
          <w:ilvl w:val="0"/>
          <w:numId w:val="1"/>
        </w:numPr>
        <w:spacing w:after="80"/>
      </w:pPr>
      <w:r>
        <w:rPr>
          <w:rFonts w:ascii="Calibri" w:cs="Calibri" w:eastAsia="Calibri" w:hAnsi="Calibri"/>
          <w:color w:val="1F2328"/>
          <w:sz w:val="21"/>
          <w:szCs w:val="21"/>
        </w:rPr>
        <w:t xml:space="preserve">Zabrania się użytkowania rusztowania bez odbioru technicznego,</w:t>
      </w:r>
    </w:p>
    <w:p>
      <w:pPr>
        <w:pStyle w:val="ListParagraph"/>
        <w:numPr>
          <w:ilvl w:val="0"/>
          <w:numId w:val="1"/>
        </w:numPr>
        <w:spacing w:after="80"/>
      </w:pPr>
      <w:r>
        <w:rPr>
          <w:rFonts w:ascii="Calibri" w:cs="Calibri" w:eastAsia="Calibri" w:hAnsi="Calibri"/>
          <w:color w:val="1F2328"/>
          <w:sz w:val="21"/>
          <w:szCs w:val="21"/>
        </w:rPr>
        <w:t xml:space="preserve">Zabrania się przekraczania dopuszczalnego obciążenia podestów,</w:t>
      </w:r>
    </w:p>
    <w:p>
      <w:pPr>
        <w:pStyle w:val="ListParagraph"/>
        <w:numPr>
          <w:ilvl w:val="0"/>
          <w:numId w:val="1"/>
        </w:numPr>
        <w:spacing w:after="80"/>
      </w:pPr>
      <w:r>
        <w:rPr>
          <w:rFonts w:ascii="Calibri" w:cs="Calibri" w:eastAsia="Calibri" w:hAnsi="Calibri"/>
          <w:color w:val="1F2328"/>
          <w:sz w:val="21"/>
          <w:szCs w:val="21"/>
        </w:rPr>
        <w:t xml:space="preserve">Zabrania się samodzielnych przeróbek konstrukcji rusztowania,</w:t>
      </w:r>
    </w:p>
    <w:p>
      <w:pPr>
        <w:pStyle w:val="ListParagraph"/>
        <w:numPr>
          <w:ilvl w:val="0"/>
          <w:numId w:val="1"/>
        </w:numPr>
        <w:spacing w:after="80"/>
      </w:pPr>
      <w:r>
        <w:rPr>
          <w:rFonts w:ascii="Calibri" w:cs="Calibri" w:eastAsia="Calibri" w:hAnsi="Calibri"/>
          <w:color w:val="1F2328"/>
          <w:sz w:val="21"/>
          <w:szCs w:val="21"/>
        </w:rPr>
        <w:t xml:space="preserve">Zabrania się przemieszczania rusztowania jezdnego z osobami na podeście,</w:t>
      </w:r>
    </w:p>
    <w:p>
      <w:pPr>
        <w:pStyle w:val="ListParagraph"/>
        <w:numPr>
          <w:ilvl w:val="0"/>
          <w:numId w:val="1"/>
        </w:numPr>
        <w:spacing w:after="80"/>
      </w:pPr>
      <w:r>
        <w:rPr>
          <w:rFonts w:ascii="Calibri" w:cs="Calibri" w:eastAsia="Calibri" w:hAnsi="Calibri"/>
          <w:color w:val="1F2328"/>
          <w:sz w:val="21"/>
          <w:szCs w:val="21"/>
        </w:rPr>
        <w:t xml:space="preserve">Zabrania się pracy na rusztowaniu w warunkach atmosferycznych przekraczających dopuszczalne parametry.</w:t>
      </w:r>
    </w:p>
    <w:p>
      <w:pPr>
        <w:pBdr>
          <w:left w:val="single" w:color="0E7C7A" w:sz="24" w:space="6"/>
        </w:pBdr>
        <w:spacing w:after="120" w:before="260"/>
        <w:ind w:left="60"/>
      </w:pPr>
      <w:r>
        <w:rPr>
          <w:rFonts w:ascii="Calibri" w:cs="Calibri" w:eastAsia="Calibri" w:hAnsi="Calibri"/>
          <w:b/>
          <w:bCs/>
          <w:color w:val="1F2328"/>
          <w:sz w:val="23"/>
          <w:szCs w:val="23"/>
        </w:rPr>
        <w:t xml:space="preserve">11. Postanowienia końcowe</w:t>
      </w:r>
    </w:p>
    <w:p>
      <w:pPr>
        <w:spacing w:after="120"/>
        <w:jc w:val="both"/>
      </w:pPr>
      <w:r>
        <w:rPr>
          <w:rFonts w:ascii="Calibri" w:cs="Calibri" w:eastAsia="Calibri" w:hAnsi="Calibri"/>
          <w:b w:val="false"/>
          <w:bCs w:val="false"/>
          <w:color w:val="1F2328"/>
          <w:sz w:val="21"/>
          <w:szCs w:val="21"/>
        </w:rPr>
        <w:t xml:space="preserve">Instrukcja podlega przeglądowi nie rzadziej niż raz w roku oraz po każdym wypadku związanym z użytkowaniem rusztowania.</w:t>
      </w:r>
    </w:p>
    <w:p>
      <w:pPr>
        <w:spacing w:before="200"/>
      </w:pPr>
    </w:p>
    <w:p>
      <w:pPr>
        <w:pBdr>
          <w:left w:val="single" w:color="0E7C7A" w:sz="24" w:space="6"/>
        </w:pBdr>
        <w:spacing w:after="120" w:before="260"/>
        <w:ind w:left="60"/>
      </w:pPr>
      <w:r>
        <w:rPr>
          <w:rFonts w:ascii="Calibri" w:cs="Calibri" w:eastAsia="Calibri" w:hAnsi="Calibri"/>
          <w:b/>
          <w:bCs/>
          <w:color w:val="1F2328"/>
          <w:sz w:val="23"/>
          <w:szCs w:val="23"/>
        </w:rPr>
        <w:t xml:space="preserve">12. Historia zmian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tcBorders>
              <w:top w:val="single" w:color="2E333B" w:sz="4"/>
              <w:left w:val="single" w:color="2E333B" w:sz="4"/>
              <w:bottom w:val="single" w:color="2E333B" w:sz="4"/>
              <w:right w:val="single" w:color="2E333B" w:sz="4"/>
            </w:tcBorders>
            <w:shd w:fill="2E333B" w:val="clear"/>
            <w:tcMar>
              <w:top w:type="dxa" w:w="100"/>
              <w:left w:type="dxa" w:w="100"/>
              <w:bottom w:type="dxa" w:w="100"/>
              <w:right w:type="dxa" w:w="100"/>
            </w:tcMar>
            <w:vAlign w:val="center"/>
          </w:tcPr>
          <w:p>
            <w:pPr>
              <w:jc w:val="center"/>
            </w:pPr>
            <w:r>
              <w:rPr>
                <w:rFonts w:ascii="Calibri" w:cs="Calibri" w:eastAsia="Calibri" w:hAnsi="Calibri"/>
                <w:b/>
                <w:bCs/>
                <w:color w:val="FFFFFF"/>
                <w:sz w:val="19"/>
                <w:szCs w:val="19"/>
              </w:rPr>
              <w:t xml:space="preserve">Wersja</w:t>
            </w:r>
          </w:p>
        </w:tc>
        <w:tc>
          <w:tcPr>
            <w:tcW w:type="pct" w:w="18%"/>
            <w:tcBorders>
              <w:top w:val="single" w:color="2E333B" w:sz="4"/>
              <w:left w:val="single" w:color="2E333B" w:sz="4"/>
              <w:bottom w:val="single" w:color="2E333B" w:sz="4"/>
              <w:right w:val="single" w:color="2E333B" w:sz="4"/>
            </w:tcBorders>
            <w:shd w:fill="2E333B" w:val="clear"/>
            <w:tcMar>
              <w:top w:type="dxa" w:w="100"/>
              <w:left w:type="dxa" w:w="100"/>
              <w:bottom w:type="dxa" w:w="100"/>
              <w:right w:type="dxa" w:w="100"/>
            </w:tcMar>
            <w:vAlign w:val="center"/>
          </w:tcPr>
          <w:p>
            <w:pPr>
              <w:jc w:val="center"/>
            </w:pPr>
            <w:r>
              <w:rPr>
                <w:rFonts w:ascii="Calibri" w:cs="Calibri" w:eastAsia="Calibri" w:hAnsi="Calibri"/>
                <w:b/>
                <w:bCs/>
                <w:color w:val="FFFFFF"/>
                <w:sz w:val="19"/>
                <w:szCs w:val="19"/>
              </w:rPr>
              <w:t xml:space="preserve">Data</w:t>
            </w:r>
          </w:p>
        </w:tc>
        <w:tc>
          <w:tcPr>
            <w:tcW w:type="pct" w:w="50%"/>
            <w:tcBorders>
              <w:top w:val="single" w:color="2E333B" w:sz="4"/>
              <w:left w:val="single" w:color="2E333B" w:sz="4"/>
              <w:bottom w:val="single" w:color="2E333B" w:sz="4"/>
              <w:right w:val="single" w:color="2E333B" w:sz="4"/>
            </w:tcBorders>
            <w:shd w:fill="2E333B" w:val="clear"/>
            <w:tcMar>
              <w:top w:type="dxa" w:w="100"/>
              <w:left w:type="dxa" w:w="100"/>
              <w:bottom w:type="dxa" w:w="100"/>
              <w:right w:type="dxa" w:w="100"/>
            </w:tcMar>
            <w:vAlign w:val="center"/>
          </w:tcPr>
          <w:p>
            <w:pPr>
              <w:jc w:val="center"/>
            </w:pPr>
            <w:r>
              <w:rPr>
                <w:rFonts w:ascii="Calibri" w:cs="Calibri" w:eastAsia="Calibri" w:hAnsi="Calibri"/>
                <w:b/>
                <w:bCs/>
                <w:color w:val="FFFFFF"/>
                <w:sz w:val="19"/>
                <w:szCs w:val="19"/>
              </w:rPr>
              <w:t xml:space="preserve">Opis zmian</w:t>
            </w:r>
          </w:p>
        </w:tc>
        <w:tc>
          <w:tcPr>
            <w:tcW w:type="pct" w:w="20%"/>
            <w:tcBorders>
              <w:top w:val="single" w:color="2E333B" w:sz="4"/>
              <w:left w:val="single" w:color="2E333B" w:sz="4"/>
              <w:bottom w:val="single" w:color="2E333B" w:sz="4"/>
              <w:right w:val="single" w:color="2E333B" w:sz="4"/>
            </w:tcBorders>
            <w:shd w:fill="2E333B" w:val="clear"/>
            <w:tcMar>
              <w:top w:type="dxa" w:w="100"/>
              <w:left w:type="dxa" w:w="100"/>
              <w:bottom w:type="dxa" w:w="100"/>
              <w:right w:type="dxa" w:w="100"/>
            </w:tcMar>
            <w:vAlign w:val="center"/>
          </w:tcPr>
          <w:p>
            <w:pPr>
              <w:jc w:val="center"/>
            </w:pPr>
            <w:r>
              <w:rPr>
                <w:rFonts w:ascii="Calibri" w:cs="Calibri" w:eastAsia="Calibri" w:hAnsi="Calibri"/>
                <w:b/>
                <w:bCs/>
                <w:color w:val="FFFFFF"/>
                <w:sz w:val="19"/>
                <w:szCs w:val="19"/>
              </w:rPr>
              <w:t xml:space="preserve">Zmienił</w:t>
            </w:r>
          </w:p>
        </w:tc>
      </w:tr>
      <w:tr>
        <w:tc>
          <w:tcPr>
            <w:tcW w:type="pct" w:w="12%"/>
            <w:tcBorders>
              <w:top w:val="single" w:color="D4D7DB" w:sz="4"/>
              <w:left w:val="single" w:color="D4D7DB" w:sz="4"/>
              <w:bottom w:val="single" w:color="D4D7DB" w:sz="4"/>
              <w:right w:val="single" w:color="D4D7DB" w:sz="4"/>
            </w:tcBorders>
            <w:tcMar>
              <w:top w:type="dxa" w:w="80"/>
              <w:left w:type="dxa" w:w="100"/>
              <w:bottom w:type="dxa" w:w="80"/>
              <w:right w:type="dxa" w:w="100"/>
            </w:tcMar>
            <w:vAlign w:val="center"/>
          </w:tcPr>
          <w:p>
            <w:pPr>
              <w:jc w:val="left"/>
            </w:pPr>
            <w:r>
              <w:rPr>
                <w:rFonts w:ascii="Calibri" w:cs="Calibri" w:eastAsia="Calibri" w:hAnsi="Calibri"/>
                <w:b w:val="false"/>
                <w:bCs w:val="false"/>
                <w:color w:val="1F2328"/>
                <w:sz w:val="20"/>
                <w:szCs w:val="20"/>
              </w:rPr>
              <w:t xml:space="preserve">1.0</w:t>
            </w:r>
          </w:p>
        </w:tc>
        <w:tc>
          <w:tcPr>
            <w:tcW w:type="pct" w:w="18%"/>
            <w:tcBorders>
              <w:top w:val="single" w:color="D4D7DB" w:sz="4"/>
              <w:left w:val="single" w:color="D4D7DB" w:sz="4"/>
              <w:bottom w:val="single" w:color="D4D7DB" w:sz="4"/>
              <w:right w:val="single" w:color="D4D7DB" w:sz="4"/>
            </w:tcBorders>
            <w:shd w:fill="FFF9E6" w:val="clear"/>
            <w:tcMar>
              <w:top w:type="dxa" w:w="80"/>
              <w:left w:type="dxa" w:w="100"/>
              <w:bottom w:type="dxa" w:w="80"/>
              <w:right w:type="dxa" w:w="100"/>
            </w:tcMar>
            <w:vAlign w:val="center"/>
          </w:tcPr>
          <w:p>
            <w:r>
              <w:rPr>
                <w:sz w:val="20"/>
                <w:szCs w:val="20"/>
              </w:rPr>
              <w:t xml:space="preserve"/>
            </w:r>
          </w:p>
        </w:tc>
        <w:tc>
          <w:tcPr>
            <w:tcW w:type="pct" w:w="50%"/>
            <w:tcBorders>
              <w:top w:val="single" w:color="D4D7DB" w:sz="4"/>
              <w:left w:val="single" w:color="D4D7DB" w:sz="4"/>
              <w:bottom w:val="single" w:color="D4D7DB" w:sz="4"/>
              <w:right w:val="single" w:color="D4D7DB" w:sz="4"/>
            </w:tcBorders>
            <w:tcMar>
              <w:top w:type="dxa" w:w="80"/>
              <w:left w:type="dxa" w:w="100"/>
              <w:bottom w:type="dxa" w:w="80"/>
              <w:right w:type="dxa" w:w="100"/>
            </w:tcMar>
            <w:vAlign w:val="center"/>
          </w:tcPr>
          <w:p>
            <w:pPr>
              <w:jc w:val="left"/>
            </w:pPr>
            <w:r>
              <w:rPr>
                <w:rFonts w:ascii="Calibri" w:cs="Calibri" w:eastAsia="Calibri" w:hAnsi="Calibri"/>
                <w:b w:val="false"/>
                <w:bCs w:val="false"/>
                <w:color w:val="1F2328"/>
                <w:sz w:val="20"/>
                <w:szCs w:val="20"/>
              </w:rPr>
              <w:t xml:space="preserve">Wydanie pierwsze</w:t>
            </w:r>
          </w:p>
        </w:tc>
        <w:tc>
          <w:tcPr>
            <w:tcW w:type="pct" w:w="20%"/>
            <w:tcBorders>
              <w:top w:val="single" w:color="D4D7DB" w:sz="4"/>
              <w:left w:val="single" w:color="D4D7DB" w:sz="4"/>
              <w:bottom w:val="single" w:color="D4D7DB" w:sz="4"/>
              <w:right w:val="single" w:color="D4D7DB" w:sz="4"/>
            </w:tcBorders>
            <w:shd w:fill="FFF9E6" w:val="clear"/>
            <w:tcMar>
              <w:top w:type="dxa" w:w="80"/>
              <w:left w:type="dxa" w:w="100"/>
              <w:bottom w:type="dxa" w:w="80"/>
              <w:right w:type="dxa" w:w="100"/>
            </w:tcMar>
            <w:vAlign w:val="center"/>
          </w:tcPr>
          <w:p>
            <w:r>
              <w:rPr>
                <w:sz w:val="20"/>
                <w:szCs w:val="20"/>
              </w:rPr>
              <w:t xml:space="preserve"/>
            </w:r>
          </w:p>
        </w:tc>
      </w:tr>
      <w:tr>
        <w:tc>
          <w:tcPr>
            <w:tcW w:type="pct" w:w="12%"/>
            <w:tcBorders>
              <w:top w:val="single" w:color="D4D7DB" w:sz="4"/>
              <w:left w:val="single" w:color="D4D7DB" w:sz="4"/>
              <w:bottom w:val="single" w:color="D4D7DB" w:sz="4"/>
              <w:right w:val="single" w:color="D4D7DB" w:sz="4"/>
            </w:tcBorders>
            <w:shd w:fill="FFF9E6" w:val="clear"/>
            <w:tcMar>
              <w:top w:type="dxa" w:w="80"/>
              <w:left w:type="dxa" w:w="100"/>
              <w:bottom w:type="dxa" w:w="80"/>
              <w:right w:type="dxa" w:w="100"/>
            </w:tcMar>
            <w:vAlign w:val="center"/>
          </w:tcPr>
          <w:p>
            <w:r>
              <w:rPr>
                <w:sz w:val="20"/>
                <w:szCs w:val="20"/>
              </w:rPr>
              <w:t xml:space="preserve"/>
            </w:r>
          </w:p>
        </w:tc>
        <w:tc>
          <w:tcPr>
            <w:tcW w:type="pct" w:w="18%"/>
            <w:tcBorders>
              <w:top w:val="single" w:color="D4D7DB" w:sz="4"/>
              <w:left w:val="single" w:color="D4D7DB" w:sz="4"/>
              <w:bottom w:val="single" w:color="D4D7DB" w:sz="4"/>
              <w:right w:val="single" w:color="D4D7DB" w:sz="4"/>
            </w:tcBorders>
            <w:shd w:fill="FFF9E6" w:val="clear"/>
            <w:tcMar>
              <w:top w:type="dxa" w:w="80"/>
              <w:left w:type="dxa" w:w="100"/>
              <w:bottom w:type="dxa" w:w="80"/>
              <w:right w:type="dxa" w:w="100"/>
            </w:tcMar>
            <w:vAlign w:val="center"/>
          </w:tcPr>
          <w:p>
            <w:r>
              <w:rPr>
                <w:sz w:val="20"/>
                <w:szCs w:val="20"/>
              </w:rPr>
              <w:t xml:space="preserve"/>
            </w:r>
          </w:p>
        </w:tc>
        <w:tc>
          <w:tcPr>
            <w:tcW w:type="pct" w:w="50%"/>
            <w:tcBorders>
              <w:top w:val="single" w:color="D4D7DB" w:sz="4"/>
              <w:left w:val="single" w:color="D4D7DB" w:sz="4"/>
              <w:bottom w:val="single" w:color="D4D7DB" w:sz="4"/>
              <w:right w:val="single" w:color="D4D7DB" w:sz="4"/>
            </w:tcBorders>
            <w:shd w:fill="FFF9E6" w:val="clear"/>
            <w:tcMar>
              <w:top w:type="dxa" w:w="80"/>
              <w:left w:type="dxa" w:w="100"/>
              <w:bottom w:type="dxa" w:w="80"/>
              <w:right w:type="dxa" w:w="100"/>
            </w:tcMar>
            <w:vAlign w:val="center"/>
          </w:tcPr>
          <w:p>
            <w:r>
              <w:rPr>
                <w:sz w:val="20"/>
                <w:szCs w:val="20"/>
              </w:rPr>
              <w:t xml:space="preserve"/>
            </w:r>
          </w:p>
        </w:tc>
        <w:tc>
          <w:tcPr>
            <w:tcW w:type="pct" w:w="20%"/>
            <w:tcBorders>
              <w:top w:val="single" w:color="D4D7DB" w:sz="4"/>
              <w:left w:val="single" w:color="D4D7DB" w:sz="4"/>
              <w:bottom w:val="single" w:color="D4D7DB" w:sz="4"/>
              <w:right w:val="single" w:color="D4D7DB" w:sz="4"/>
            </w:tcBorders>
            <w:shd w:fill="FFF9E6" w:val="clear"/>
            <w:tcMar>
              <w:top w:type="dxa" w:w="80"/>
              <w:left w:type="dxa" w:w="100"/>
              <w:bottom w:type="dxa" w:w="80"/>
              <w:right w:type="dxa" w:w="100"/>
            </w:tcMar>
            <w:vAlign w:val="center"/>
          </w:tcPr>
          <w:p>
            <w:r>
              <w:rPr>
                <w:sz w:val="20"/>
                <w:szCs w:val="20"/>
              </w:rPr>
              <w:t xml:space="preserve"/>
            </w:r>
          </w:p>
        </w:tc>
      </w:tr>
    </w:tbl>
    <w:p>
      <w:pPr>
        <w:spacing w:after="200"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tcPr>
          <w:p>
            <w:pPr>
              <w:spacing w:after="40"/>
            </w:pPr>
            <w:r>
              <w:rPr>
                <w:rFonts w:ascii="Calibri" w:cs="Calibri" w:eastAsia="Calibri" w:hAnsi="Calibri"/>
                <w:b/>
                <w:bCs/>
                <w:sz w:val="19"/>
                <w:szCs w:val="19"/>
              </w:rPr>
              <w:t xml:space="preserve">Opracował — Specjalista ds. bhp</w:t>
            </w:r>
          </w:p>
          <w:p>
            <w:pPr>
              <w:spacing w:after="40"/>
            </w:pPr>
            <w:r>
              <w:rPr>
                <w:rFonts w:ascii="Calibri" w:cs="Calibri" w:eastAsia="Calibri" w:hAnsi="Calibri"/>
                <w:sz w:val="19"/>
                <w:szCs w:val="19"/>
              </w:rPr>
              <w:t xml:space="preserve">Imię i nazwisko: ……………………………………………</w:t>
            </w:r>
          </w:p>
          <w:p>
            <w:pPr>
              <w:spacing w:after="40"/>
            </w:pPr>
            <w:r>
              <w:rPr>
                <w:rFonts w:ascii="Calibri" w:cs="Calibri" w:eastAsia="Calibri" w:hAnsi="Calibri"/>
                <w:sz w:val="19"/>
                <w:szCs w:val="19"/>
              </w:rPr>
              <w:t xml:space="preserve">Podpis: ……………………………………………</w:t>
            </w:r>
          </w:p>
          <w:p>
            <w:r>
              <w:rPr>
                <w:rFonts w:ascii="Calibri" w:cs="Calibri" w:eastAsia="Calibri" w:hAnsi="Calibri"/>
                <w:sz w:val="19"/>
                <w:szCs w:val="19"/>
              </w:rPr>
              <w:t xml:space="preserve">Data: ……………………………………………</w:t>
            </w:r>
          </w:p>
        </w:tc>
        <w:tc>
          <w:tcPr>
            <w:tcW w:type="pct" w:w="50%"/>
            <w:tcBorders>
              <w:top w:val="none"/>
              <w:left w:val="none"/>
              <w:bottom w:val="none"/>
              <w:right w:val="none"/>
            </w:tcBorders>
          </w:tcPr>
          <w:p>
            <w:pPr>
              <w:spacing w:after="40"/>
            </w:pPr>
            <w:r>
              <w:rPr>
                <w:rFonts w:ascii="Calibri" w:cs="Calibri" w:eastAsia="Calibri" w:hAnsi="Calibri"/>
                <w:b/>
                <w:bCs/>
                <w:sz w:val="19"/>
                <w:szCs w:val="19"/>
              </w:rPr>
              <w:t xml:space="preserve">Zatwierdził — Pracodawca</w:t>
            </w:r>
          </w:p>
          <w:p>
            <w:pPr>
              <w:spacing w:after="40"/>
            </w:pPr>
            <w:r>
              <w:rPr>
                <w:rFonts w:ascii="Calibri" w:cs="Calibri" w:eastAsia="Calibri" w:hAnsi="Calibri"/>
                <w:sz w:val="19"/>
                <w:szCs w:val="19"/>
              </w:rPr>
              <w:t xml:space="preserve">Imię i nazwisko: ……………………………………………</w:t>
            </w:r>
          </w:p>
          <w:p>
            <w:pPr>
              <w:spacing w:after="40"/>
            </w:pPr>
            <w:r>
              <w:rPr>
                <w:rFonts w:ascii="Calibri" w:cs="Calibri" w:eastAsia="Calibri" w:hAnsi="Calibri"/>
                <w:sz w:val="19"/>
                <w:szCs w:val="19"/>
              </w:rPr>
              <w:t xml:space="preserve">Podpis i pieczęć: ……………………………………………</w:t>
            </w:r>
          </w:p>
          <w:p>
            <w:r>
              <w:rPr>
                <w:rFonts w:ascii="Calibri" w:cs="Calibri" w:eastAsia="Calibri" w:hAnsi="Calibri"/>
                <w:sz w:val="19"/>
                <w:szCs w:val="19"/>
              </w:rPr>
              <w:t xml:space="preserve">Data: ……………………………………………</w:t>
            </w:r>
          </w:p>
        </w:tc>
      </w:tr>
    </w:tbl>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7DB" w:sz="6" w:space="4"/>
      </w:pBdr>
      <w:tabs>
        <w:tab w:val="right" w:pos="9026"/>
      </w:tabs>
    </w:pPr>
    <w:r>
      <w:rPr>
        <w:rFonts w:ascii="Calibri" w:cs="Calibri" w:eastAsia="Calibri" w:hAnsi="Calibri"/>
        <w:i/>
        <w:iCs/>
        <w:color w:val="545B66"/>
        <w:sz w:val="15"/>
        <w:szCs w:val="15"/>
      </w:rPr>
      <w:t xml:space="preserve">E.46 — dokument BHP · wzór do dostosowania do specyfiki zakładu pracy</w:t>
    </w:r>
    <w:r>
      <w:rPr>
        <w:rFonts w:ascii="Calibri" w:cs="Calibri" w:eastAsia="Calibri" w:hAnsi="Calibri"/>
      </w:rPr>
      <w:t xml:space="preserve">	</w:t>
    </w:r>
    <w:r>
      <w:rPr>
        <w:rFonts w:ascii="Calibri" w:cs="Calibri" w:eastAsia="Calibri" w:hAnsi="Calibri"/>
        <w:color w:val="545B66"/>
        <w:sz w:val="15"/>
        <w:szCs w:val="15"/>
      </w:rPr>
      <w:t xml:space="preserve">Str. </w:t>
    </w:r>
    <w:r>
      <w:rPr>
        <w:rFonts w:ascii="Calibri" w:cs="Calibri" w:eastAsia="Calibri" w:hAnsi="Calibri"/>
        <w:color w:val="545B66"/>
        <w:sz w:val="15"/>
        <w:szCs w:val="15"/>
      </w:rPr>
      <w:fldChar w:fldCharType="begin"/>
      <w:instrText xml:space="preserve">PAGE</w:instrText>
      <w:fldChar w:fldCharType="separate"/>
      <w:fldChar w:fldCharType="end"/>
    </w:r>
    <w:r>
      <w:rPr>
        <w:rFonts w:ascii="Calibri" w:cs="Calibri" w:eastAsia="Calibri" w:hAnsi="Calibri"/>
        <w:color w:val="545B66"/>
        <w:sz w:val="15"/>
        <w:szCs w:val="15"/>
      </w:rPr>
      <w:t xml:space="preserve"> / </w:t>
    </w:r>
    <w:r>
      <w:rPr>
        <w:rFonts w:ascii="Calibri" w:cs="Calibri" w:eastAsia="Calibri" w:hAnsi="Calibri"/>
        <w:color w:val="545B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none"/>
        <w:right w:val="none"/>
        <w:insideH w:val="none"/>
        <w:insideV w:val="none"/>
      </w:tblBorders>
    </w:tblPr>
    <w:tblGrid>
      <w:gridCol w:w="100"/>
    </w:tblGrid>
    <w:tr>
      <w:tc>
        <w:tcPr>
          <w:tcW w:type="pct" w:w="100%"/>
          <w:tcBorders>
            <w:top w:val="none"/>
            <w:left w:val="none"/>
            <w:bottom w:val="none"/>
            <w:right w:val="none"/>
          </w:tcBorders>
          <w:shd w:fill="24272C" w:val="clear"/>
          <w:tcMar>
            <w:top w:type="dxa" w:w="120"/>
            <w:left w:type="dxa" w:w="150"/>
            <w:bottom w:type="dxa" w:w="120"/>
            <w:right w:type="dxa" w:w="150"/>
          </w:tcMar>
        </w:tcPr>
        <w:p>
          <w:r>
            <w:rPr>
              <w:rFonts w:ascii="Calibri" w:cs="Calibri" w:eastAsia="Calibri" w:hAnsi="Calibri"/>
              <w:b/>
              <w:bCs/>
              <w:color w:val="FFFFFF"/>
              <w:sz w:val="18"/>
              <w:szCs w:val="18"/>
            </w:rPr>
            <w:t xml:space="preserve">[ MIEJSCE NA LOGO ]</w:t>
          </w:r>
          <w:r>
            <w:rPr>
              <w:rFonts w:ascii="Calibri" w:cs="Calibri" w:eastAsia="Calibri" w:hAnsi="Calibri"/>
              <w:b/>
              <w:bCs/>
              <w:color w:val="FFFFFF"/>
              <w:sz w:val="18"/>
              <w:szCs w:val="18"/>
            </w:rPr>
            <w:t xml:space="preserve">      Nazwa firmy / konsultanta BHP      www.twojastrona.pl</w:t>
          </w:r>
        </w:p>
      </w:tc>
    </w:tr>
  </w:tbl>
  <w:p>
    <w:pPr>
      <w:pBdr>
        <w:bottom w:val="single" w:color="0E7C7A" w:sz="24" w:space="1"/>
      </w:pBdr>
      <w:spacing w:after="0" w:before="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2026-08-24T21:01:20.764Z</dcterms:created>
  <dcterms:modified xsi:type="dcterms:W3CDTF">2026-08-24T21:01:20.764Z</dcterms:modified>
</cp:coreProperties>
</file>

<file path=docProps/custom.xml><?xml version="1.0" encoding="utf-8"?>
<Properties xmlns="http://schemas.openxmlformats.org/officeDocument/2006/custom-properties" xmlns:vt="http://schemas.openxmlformats.org/officeDocument/2006/docPropsVTypes"/>
</file>