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200"/>
      </w:pPr>
      <w:r>
        <w:rPr>
          <w:rFonts w:ascii="Calibri" w:cs="Calibri" w:eastAsia="Calibri" w:hAnsi="Calibri"/>
          <w:b/>
          <w:bCs/>
          <w:color w:val="0E7C7A"/>
          <w:sz w:val="30"/>
          <w:szCs w:val="30"/>
        </w:rPr>
        <w:t xml:space="preserve">E.64   </w:t>
      </w:r>
      <w:r>
        <w:rPr>
          <w:rFonts w:ascii="Calibri" w:cs="Calibri" w:eastAsia="Calibri" w:hAnsi="Calibri"/>
          <w:b/>
          <w:bCs/>
          <w:color w:val="1F2328"/>
          <w:sz w:val="30"/>
          <w:szCs w:val="30"/>
        </w:rPr>
        <w:t xml:space="preserve">Instrukcja BHP przy pracy ze środkami chemicznymi (kwasy, zasady, rozpuszczalniki)</w:t>
      </w:r>
    </w:p>
    <w:p>
      <w:pPr>
        <w:spacing w:after="40"/>
      </w:pPr>
      <w:r>
        <w:rPr>
          <w:rFonts w:ascii="Calibri" w:cs="Calibri" w:eastAsia="Calibri" w:hAnsi="Calibri"/>
          <w:i/>
          <w:iCs/>
          <w:color w:val="545B66"/>
          <w:sz w:val="20"/>
          <w:szCs w:val="20"/>
        </w:rPr>
        <w:t xml:space="preserve">Zasady operacyjne pracy z kwasami, zasadami i rozpuszczalnikami organicznymi — uzupełnienie ogólnej instrukcji postępowania z substancjami niebezpiecznymi (E.4) o czynności praktyczne dozowania, rozcieńczania i neutralizacji</w:t>
      </w:r>
    </w:p>
    <w:p>
      <w:pPr>
        <w:spacing w:after="200"/>
      </w:pPr>
      <w:r>
        <w:rPr>
          <w:rFonts w:ascii="Calibri" w:cs="Calibri" w:eastAsia="Calibri" w:hAnsi="Calibri"/>
          <w:i/>
          <w:iCs/>
          <w:color w:val="545B66"/>
          <w:sz w:val="17"/>
          <w:szCs w:val="17"/>
        </w:rPr>
        <w:t xml:space="preserve">Podstawa prawna: Rozporządzenie WE nr 1272/2008 (CLP); art. 221 Kodeksu pracy; § 41 Rozporządzenia MPiPS z 26.09.1997 r.</w:t>
      </w:r>
    </w:p>
    <w:p>
      <w:pPr>
        <w:pBdr>
          <w:bottom w:val="single" w:color="0E7C7A" w:sz="16" w:space="1"/>
        </w:pBdr>
        <w:spacing w:after="240"/>
      </w:pPr>
      <w:r>
        <w:rPr>
          <w:sz w:val="2"/>
          <w:szCs w:val="2"/>
        </w:rP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shd w:fill="F5F6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45B66"/>
                <w:sz w:val="18"/>
                <w:szCs w:val="18"/>
              </w:rPr>
              <w:t xml:space="preserve">Numer dokumentu:</w:t>
            </w:r>
          </w:p>
        </w:tc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328"/>
                <w:sz w:val="19"/>
                <w:szCs w:val="19"/>
              </w:rPr>
              <w:t xml:space="preserve">INS-BHP-064</w:t>
            </w:r>
          </w:p>
        </w:tc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shd w:fill="F5F6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45B66"/>
                <w:sz w:val="18"/>
                <w:szCs w:val="18"/>
              </w:rPr>
              <w:t xml:space="preserve">Wersja:</w:t>
            </w:r>
          </w:p>
        </w:tc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328"/>
                <w:sz w:val="19"/>
                <w:szCs w:val="19"/>
              </w:rPr>
              <w:t xml:space="preserve">1.0</w:t>
            </w:r>
          </w:p>
        </w:tc>
      </w:tr>
      <w:tr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shd w:fill="F5F6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45B66"/>
                <w:sz w:val="18"/>
                <w:szCs w:val="18"/>
              </w:rPr>
              <w:t xml:space="preserve">Data wydania:</w:t>
            </w:r>
          </w:p>
        </w:tc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328"/>
                <w:sz w:val="19"/>
                <w:szCs w:val="19"/>
              </w:rPr>
              <w:t xml:space="preserve"/>
            </w:r>
          </w:p>
        </w:tc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shd w:fill="F5F6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45B66"/>
                <w:sz w:val="18"/>
                <w:szCs w:val="18"/>
              </w:rPr>
              <w:t xml:space="preserve">Strony:</w:t>
            </w:r>
          </w:p>
        </w:tc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328"/>
                <w:sz w:val="19"/>
                <w:szCs w:val="19"/>
              </w:rPr>
              <w:t xml:space="preserve">— / —</w:t>
            </w:r>
          </w:p>
        </w:tc>
      </w:tr>
      <w:tr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shd w:fill="F5F6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45B66"/>
                <w:sz w:val="18"/>
                <w:szCs w:val="18"/>
              </w:rPr>
              <w:t xml:space="preserve">Opracował:</w:t>
            </w:r>
          </w:p>
        </w:tc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328"/>
                <w:sz w:val="19"/>
                <w:szCs w:val="19"/>
              </w:rPr>
              <w:t xml:space="preserve">Specjalista ds. bhp</w:t>
            </w:r>
          </w:p>
        </w:tc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shd w:fill="F5F6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45B66"/>
                <w:sz w:val="18"/>
                <w:szCs w:val="18"/>
              </w:rPr>
              <w:t xml:space="preserve">Zatwierdził:</w:t>
            </w:r>
          </w:p>
        </w:tc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328"/>
                <w:sz w:val="19"/>
                <w:szCs w:val="19"/>
              </w:rPr>
              <w:t xml:space="preserve">Pracodawca</w:t>
            </w:r>
          </w:p>
        </w:tc>
      </w:tr>
      <w:tr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shd w:fill="F5F6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45B66"/>
                <w:sz w:val="18"/>
                <w:szCs w:val="18"/>
              </w:rPr>
              <w:t xml:space="preserve">Zastępuje:</w:t>
            </w:r>
          </w:p>
        </w:tc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328"/>
                <w:sz w:val="19"/>
                <w:szCs w:val="19"/>
              </w:rPr>
              <w:t xml:space="preserve">Wydanie pierwsze</w:t>
            </w:r>
          </w:p>
        </w:tc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shd w:fill="F5F6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45B66"/>
                <w:sz w:val="18"/>
                <w:szCs w:val="18"/>
              </w:rPr>
              <w:t xml:space="preserve">Następny przegląd:</w:t>
            </w:r>
          </w:p>
        </w:tc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328"/>
                <w:sz w:val="19"/>
                <w:szCs w:val="19"/>
              </w:rPr>
              <w:t xml:space="preserve"/>
            </w:r>
          </w:p>
        </w:tc>
      </w:tr>
    </w:tbl>
    <w:p>
      <w:pPr>
        <w:spacing w:after="100" w:before="200"/>
      </w:pP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</w:tblGrid>
      <w:tr>
        <w:tc>
          <w:tcPr>
            <w:tcW w:type="pct" w:w="100%"/>
            <w:tcBorders>
              <w:top w:val="single" w:color="FBE1E1" w:sz="4"/>
              <w:left w:val="single" w:color="C0392B" w:sz="28"/>
              <w:bottom w:val="single" w:color="FBE1E1" w:sz="4"/>
              <w:right w:val="single" w:color="FBE1E1" w:sz="4"/>
            </w:tcBorders>
            <w:shd w:fill="FBE1E1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r>
              <w:rPr>
                <w:rFonts w:ascii="Calibri" w:cs="Calibri" w:eastAsia="Calibri" w:hAnsi="Calibri"/>
                <w:color w:val="1F2328"/>
                <w:sz w:val="20"/>
                <w:szCs w:val="20"/>
              </w:rPr>
              <w:t xml:space="preserve">Rozcieńczając kwas — zawsze wlewaj kwas do wody, nigdy odwrotnie. Wlanie wody do stężonego kwasu powoduje gwałtowne, rozpryskujące wrzenie (efekt egzotermiczny) mogące spowodować poważne oparzenia chemiczne.</w:t>
            </w:r>
          </w:p>
        </w:tc>
      </w:tr>
    </w:tbl>
    <w:p>
      <w:pPr>
        <w:spacing w:before="200"/>
      </w:pPr>
    </w:p>
    <w:p>
      <w:pPr>
        <w:pBdr>
          <w:left w:val="single" w:color="0E7C7A" w:sz="24" w:space="6"/>
        </w:pBdr>
        <w:spacing w:after="120" w:before="260"/>
        <w:ind w:left="60"/>
      </w:pPr>
      <w:r>
        <w:rPr>
          <w:rFonts w:ascii="Calibri" w:cs="Calibri" w:eastAsia="Calibri" w:hAnsi="Calibri"/>
          <w:b/>
          <w:bCs/>
          <w:color w:val="1F2328"/>
          <w:sz w:val="23"/>
          <w:szCs w:val="23"/>
        </w:rPr>
        <w:t xml:space="preserve">1. Zakres instrukcji</w:t>
      </w:r>
    </w:p>
    <w:p>
      <w:pPr>
        <w:spacing w:after="120"/>
        <w:jc w:val="both"/>
      </w:pPr>
      <w:r>
        <w:rPr>
          <w:rFonts w:ascii="Calibri" w:cs="Calibri" w:eastAsia="Calibri" w:hAnsi="Calibri"/>
          <w:b w:val="false"/>
          <w:bCs w:val="false"/>
          <w:color w:val="1F2328"/>
          <w:sz w:val="21"/>
          <w:szCs w:val="21"/>
        </w:rPr>
        <w:t xml:space="preserve">Instrukcja określa praktyczne zasady bezpiecznej pracy z kwasami, zasadami i rozpuszczalnikami organicznymi — dozowania, rozcieńczania, mieszania i neutralizacji — uzupełniając ogólne zasady postępowania z substancjami niebezpiecznymi opisane w dokumencie E.4.</w:t>
      </w:r>
    </w:p>
    <w:p>
      <w:pPr>
        <w:pBdr>
          <w:left w:val="single" w:color="0E7C7A" w:sz="24" w:space="6"/>
        </w:pBdr>
        <w:spacing w:after="120" w:before="260"/>
        <w:ind w:left="60"/>
      </w:pPr>
      <w:r>
        <w:rPr>
          <w:rFonts w:ascii="Calibri" w:cs="Calibri" w:eastAsia="Calibri" w:hAnsi="Calibri"/>
          <w:b/>
          <w:bCs/>
          <w:color w:val="1F2328"/>
          <w:sz w:val="23"/>
          <w:szCs w:val="23"/>
        </w:rPr>
        <w:t xml:space="preserve">2. Praca z kwasami i zasadami</w:t>
      </w:r>
    </w:p>
    <w:p>
      <w:pPr>
        <w:spacing w:after="100" w:before="200"/>
      </w:pPr>
      <w:r>
        <w:rPr>
          <w:rFonts w:ascii="Calibri" w:cs="Calibri" w:eastAsia="Calibri" w:hAnsi="Calibri"/>
          <w:b/>
          <w:bCs/>
          <w:i/>
          <w:iCs/>
          <w:color w:val="545B66"/>
          <w:sz w:val="21"/>
          <w:szCs w:val="21"/>
        </w:rPr>
        <w:t xml:space="preserve">2.1. Zasady bezpiecznego rozcieńczania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Przy rozcieńczaniu stężonego kwasu zawsze wlewaj kwas do wody, cienkim strumieniem, mieszając — nigdy nie wlewaj wody do kwasu,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Wykonuj rozcieńczanie powoli, pozwalając na rozproszenie wydzielanego ciepła,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Używaj naczyń odpornych chemicznie i termicznie, o odpowiedniej pojemności zapobiegającej rozpryskom.</w:t>
      </w:r>
    </w:p>
    <w:p>
      <w:pPr>
        <w:spacing w:after="100" w:before="200"/>
      </w:pPr>
      <w:r>
        <w:rPr>
          <w:rFonts w:ascii="Calibri" w:cs="Calibri" w:eastAsia="Calibri" w:hAnsi="Calibri"/>
          <w:b/>
          <w:bCs/>
          <w:i/>
          <w:iCs/>
          <w:color w:val="545B66"/>
          <w:sz w:val="21"/>
          <w:szCs w:val="21"/>
        </w:rPr>
        <w:t xml:space="preserve">2.2. Zasady bezpiecznego dozowania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Dozuj kwasy i zasady przy użyciu dedykowanego sprzętu (pipety, dozowniki, pompki) — nie zasysaj ustami,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Pracuj w dobrze wentylowanym pomieszczeniu lub pod wyciągiem, jeśli substancja wydziela drażniące opary,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Nigdy nie mieszaj kwasów z zasadami ani z podchlorynami (wybielaczami) — reakcje te wydzielają toksyczne gazy lub przebiegają gwałtownie z wydzieleniem dużej ilości ciepła.</w:t>
      </w:r>
    </w:p>
    <w:p>
      <w:pPr>
        <w:pBdr>
          <w:left w:val="single" w:color="0E7C7A" w:sz="24" w:space="6"/>
        </w:pBdr>
        <w:spacing w:after="120" w:before="260"/>
        <w:ind w:left="60"/>
      </w:pPr>
      <w:r>
        <w:rPr>
          <w:rFonts w:ascii="Calibri" w:cs="Calibri" w:eastAsia="Calibri" w:hAnsi="Calibri"/>
          <w:b/>
          <w:bCs/>
          <w:color w:val="1F2328"/>
          <w:sz w:val="23"/>
          <w:szCs w:val="23"/>
        </w:rPr>
        <w:t xml:space="preserve">3. Praca z rozpuszczalnikami organicznymi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Pracuj z rozpuszczalnikami wyłącznie w pomieszczeniach z zapewnioną sprawną wentylacją — opary wielu rozpuszczalników są cięższe od powietrza i gromadzą się przy podłodze,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Eliminuj źródła zapłonu (otwarty ogień, iskrzenie, urządzenia elektryczne niebędące w wykonaniu przeciwwybuchowym) w strefie pracy z rozpuszczalnikami łatwopalnymi,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Przechowuj rozpuszczalniki w szczelnie zamkniętych, oznakowanych pojemnikach, z dala od źródeł ciepła,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Unikaj długotrwałego wdychania oparów — stosuj ochronę dróg oddechowych z filtrem par organicznych przy pracach o podwyższonym narażeniu,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Unikaj bezpośredniego kontaktu ze skórą — wiele rozpuszczalników wchłania się przez skórę.</w:t>
      </w:r>
    </w:p>
    <w:p>
      <w:pPr>
        <w:pBdr>
          <w:left w:val="single" w:color="0E7C7A" w:sz="24" w:space="6"/>
        </w:pBdr>
        <w:spacing w:after="120" w:before="260"/>
        <w:ind w:left="60"/>
      </w:pPr>
      <w:r>
        <w:rPr>
          <w:rFonts w:ascii="Calibri" w:cs="Calibri" w:eastAsia="Calibri" w:hAnsi="Calibri"/>
          <w:b/>
          <w:bCs/>
          <w:color w:val="1F2328"/>
          <w:sz w:val="23"/>
          <w:szCs w:val="23"/>
        </w:rPr>
        <w:t xml:space="preserve">4. Środki ochrony indywidualnej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Rękawice ochronne odporne chemicznie, dobrane do konkretnej substancji zgodnie z kartą charakterystyki (różne substancje wymagają różnych materiałów rękawic),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Okulary lub gogle ochronne — obowiązkowe przy każdej czynności związanej z przelewaniem, dozowaniem lub mieszaniem,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Fartuch ochronny odporny chemicznie,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Maska/półmaska z odpowiednim filtrem przy pracy z substancjami lotnymi w pomieszczeniach o ograniczonej wentylacji.</w:t>
      </w:r>
    </w:p>
    <w:p>
      <w:pPr>
        <w:pBdr>
          <w:left w:val="single" w:color="0E7C7A" w:sz="24" w:space="6"/>
        </w:pBdr>
        <w:spacing w:after="120" w:before="260"/>
        <w:ind w:left="60"/>
      </w:pPr>
      <w:r>
        <w:rPr>
          <w:rFonts w:ascii="Calibri" w:cs="Calibri" w:eastAsia="Calibri" w:hAnsi="Calibri"/>
          <w:b/>
          <w:bCs/>
          <w:color w:val="1F2328"/>
          <w:sz w:val="23"/>
          <w:szCs w:val="23"/>
        </w:rPr>
        <w:t xml:space="preserve">5. Neutralizacja rozlań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Przy rozlaniu kwasu stosuj neutralizatory zasadowe (np. węglan sodu) wskazane w wewnętrznej procedurze lub karcie charakterystyki,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Przy rozlaniu zasady stosuj neutralizatory kwaśne wskazane w odpowiedniej procedurze,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Neutralizację wykonuj stopniowo, obserwując reakcję (pienienie, wydzielanie ciepła) — dodawaj neutralizator małymi porcjami,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Po neutralizacji sprawdź odczyn (pH) pozostałości przed ich usunięciem zgodnie z zasadami gospodarki odpadami.</w:t>
      </w:r>
    </w:p>
    <w:p>
      <w:pPr>
        <w:pBdr>
          <w:left w:val="single" w:color="0E7C7A" w:sz="24" w:space="6"/>
        </w:pBdr>
        <w:spacing w:after="120" w:before="260"/>
        <w:ind w:left="60"/>
      </w:pPr>
      <w:r>
        <w:rPr>
          <w:rFonts w:ascii="Calibri" w:cs="Calibri" w:eastAsia="Calibri" w:hAnsi="Calibri"/>
          <w:b/>
          <w:bCs/>
          <w:color w:val="1F2328"/>
          <w:sz w:val="23"/>
          <w:szCs w:val="23"/>
        </w:rPr>
        <w:t xml:space="preserve">6. Postępowanie w sytuacjach awaryjnych</w:t>
      </w:r>
    </w:p>
    <w:p>
      <w:pPr>
        <w:spacing w:after="120"/>
        <w:jc w:val="both"/>
      </w:pPr>
      <w:r>
        <w:rPr>
          <w:rFonts w:ascii="Calibri" w:cs="Calibri" w:eastAsia="Calibri" w:hAnsi="Calibri"/>
          <w:b w:val="false"/>
          <w:bCs w:val="false"/>
          <w:color w:val="1F2328"/>
          <w:sz w:val="21"/>
          <w:szCs w:val="21"/>
        </w:rPr>
        <w:t xml:space="preserve">Postępowanie przy rozlaniu, kontakcie ze skórą/oczami oraz pożarze opisuje szczegółowo dokument E.4. Przy pracy z kwasami i zasadami szczególną uwagę zwróć na natychmiastowe i długotrwałe (min. 15–20 minut) płukanie skażonego miejsca bieżącą wodą.</w:t>
      </w:r>
    </w:p>
    <w:p>
      <w:pPr>
        <w:pBdr>
          <w:left w:val="single" w:color="0E7C7A" w:sz="24" w:space="6"/>
        </w:pBdr>
        <w:spacing w:after="120" w:before="260"/>
        <w:ind w:left="60"/>
      </w:pPr>
      <w:r>
        <w:rPr>
          <w:rFonts w:ascii="Calibri" w:cs="Calibri" w:eastAsia="Calibri" w:hAnsi="Calibri"/>
          <w:b/>
          <w:bCs/>
          <w:color w:val="1F2328"/>
          <w:sz w:val="23"/>
          <w:szCs w:val="23"/>
        </w:rPr>
        <w:t xml:space="preserve">7. Zakazy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Bezwzględny zakaz wlewania wody do stężonego kwasu,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Zabrania się mieszania kwasów z zasadami lub podchlorynami,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Zabrania się zasysania cieczy chemicznych ustami,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Zabrania się pracy z rozpuszczalnikami łatwopalnymi w pobliżu źródeł zapłonu.</w:t>
      </w:r>
    </w:p>
    <w:p>
      <w:pPr>
        <w:pBdr>
          <w:left w:val="single" w:color="0E7C7A" w:sz="24" w:space="6"/>
        </w:pBdr>
        <w:spacing w:after="120" w:before="260"/>
        <w:ind w:left="60"/>
      </w:pPr>
      <w:r>
        <w:rPr>
          <w:rFonts w:ascii="Calibri" w:cs="Calibri" w:eastAsia="Calibri" w:hAnsi="Calibri"/>
          <w:b/>
          <w:bCs/>
          <w:color w:val="1F2328"/>
          <w:sz w:val="23"/>
          <w:szCs w:val="23"/>
        </w:rPr>
        <w:t xml:space="preserve">8. Postanowienia końcowe</w:t>
      </w:r>
    </w:p>
    <w:p>
      <w:pPr>
        <w:spacing w:after="120"/>
        <w:jc w:val="both"/>
      </w:pPr>
      <w:r>
        <w:rPr>
          <w:rFonts w:ascii="Calibri" w:cs="Calibri" w:eastAsia="Calibri" w:hAnsi="Calibri"/>
          <w:b w:val="false"/>
          <w:bCs w:val="false"/>
          <w:color w:val="1F2328"/>
          <w:sz w:val="21"/>
          <w:szCs w:val="21"/>
        </w:rPr>
        <w:t xml:space="preserve">Instrukcja podlega przeglądowi nie rzadziej niż raz w roku oraz po zmianie stosowanych substancji chemicznych.</w:t>
      </w:r>
    </w:p>
    <w:p>
      <w:pPr>
        <w:spacing w:before="200"/>
      </w:pPr>
    </w:p>
    <w:p>
      <w:pPr>
        <w:pBdr>
          <w:left w:val="single" w:color="0E7C7A" w:sz="24" w:space="6"/>
        </w:pBdr>
        <w:spacing w:after="120" w:before="260"/>
        <w:ind w:left="60"/>
      </w:pPr>
      <w:r>
        <w:rPr>
          <w:rFonts w:ascii="Calibri" w:cs="Calibri" w:eastAsia="Calibri" w:hAnsi="Calibri"/>
          <w:b/>
          <w:bCs/>
          <w:color w:val="1F2328"/>
          <w:sz w:val="23"/>
          <w:szCs w:val="23"/>
        </w:rPr>
        <w:t xml:space="preserve">9. Historia zmian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2%"/>
            <w:tcBorders>
              <w:top w:val="single" w:color="2E333B" w:sz="4"/>
              <w:left w:val="single" w:color="2E333B" w:sz="4"/>
              <w:bottom w:val="single" w:color="2E333B" w:sz="4"/>
              <w:right w:val="single" w:color="2E333B" w:sz="4"/>
            </w:tcBorders>
            <w:shd w:fill="2E333B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Wersja</w:t>
            </w:r>
          </w:p>
        </w:tc>
        <w:tc>
          <w:tcPr>
            <w:tcW w:type="pct" w:w="18%"/>
            <w:tcBorders>
              <w:top w:val="single" w:color="2E333B" w:sz="4"/>
              <w:left w:val="single" w:color="2E333B" w:sz="4"/>
              <w:bottom w:val="single" w:color="2E333B" w:sz="4"/>
              <w:right w:val="single" w:color="2E333B" w:sz="4"/>
            </w:tcBorders>
            <w:shd w:fill="2E333B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Data</w:t>
            </w:r>
          </w:p>
        </w:tc>
        <w:tc>
          <w:tcPr>
            <w:tcW w:type="pct" w:w="50%"/>
            <w:tcBorders>
              <w:top w:val="single" w:color="2E333B" w:sz="4"/>
              <w:left w:val="single" w:color="2E333B" w:sz="4"/>
              <w:bottom w:val="single" w:color="2E333B" w:sz="4"/>
              <w:right w:val="single" w:color="2E333B" w:sz="4"/>
            </w:tcBorders>
            <w:shd w:fill="2E333B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Opis zmian</w:t>
            </w:r>
          </w:p>
        </w:tc>
        <w:tc>
          <w:tcPr>
            <w:tcW w:type="pct" w:w="20%"/>
            <w:tcBorders>
              <w:top w:val="single" w:color="2E333B" w:sz="4"/>
              <w:left w:val="single" w:color="2E333B" w:sz="4"/>
              <w:bottom w:val="single" w:color="2E333B" w:sz="4"/>
              <w:right w:val="single" w:color="2E333B" w:sz="4"/>
            </w:tcBorders>
            <w:shd w:fill="2E333B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Zmienił</w:t>
            </w:r>
          </w:p>
        </w:tc>
      </w:tr>
      <w:tr>
        <w:tc>
          <w:tcPr>
            <w:tcW w:type="pct" w:w="12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328"/>
                <w:sz w:val="20"/>
                <w:szCs w:val="20"/>
              </w:rPr>
              <w:t xml:space="preserve">1.0</w:t>
            </w:r>
          </w:p>
        </w:tc>
        <w:tc>
          <w:tcPr>
            <w:tcW w:type="pct" w:w="18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shd w:fill="FFF9E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pct" w:w="50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328"/>
                <w:sz w:val="20"/>
                <w:szCs w:val="20"/>
              </w:rPr>
              <w:t xml:space="preserve">Wydanie pierwsze</w:t>
            </w:r>
          </w:p>
        </w:tc>
        <w:tc>
          <w:tcPr>
            <w:tcW w:type="pct" w:w="20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shd w:fill="FFF9E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12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shd w:fill="FFF9E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pct" w:w="18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shd w:fill="FFF9E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pct" w:w="50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shd w:fill="FFF9E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pct" w:w="20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shd w:fill="FFF9E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spacing w:after="200" w:before="4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Opracował — Specjalista ds. bhp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Imię i nazwisko: ……………………………………………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Podpis: ……………………………………………</w:t>
            </w:r>
          </w:p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Data: ……………………………………………</w:t>
            </w:r>
          </w:p>
        </w:tc>
        <w:tc>
          <w:tcPr>
            <w:tcW w:type="pct" w:w="5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Zatwierdził — Pracodawca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Imię i nazwisko: ……………………………………………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Podpis i pieczęć: ……………………………………………</w:t>
            </w:r>
          </w:p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Data: ……………………………………………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4D7DB" w:sz="6" w:space="4"/>
      </w:pBdr>
      <w:tabs>
        <w:tab w:val="right" w:pos="9026"/>
      </w:tabs>
    </w:pPr>
    <w:r>
      <w:rPr>
        <w:rFonts w:ascii="Calibri" w:cs="Calibri" w:eastAsia="Calibri" w:hAnsi="Calibri"/>
        <w:i/>
        <w:iCs/>
        <w:color w:val="545B66"/>
        <w:sz w:val="15"/>
        <w:szCs w:val="15"/>
      </w:rPr>
      <w:t xml:space="preserve">E.64 — dokument BHP · wzór do dostosowania do specyfiki zakładu pracy</w:t>
    </w:r>
    <w:r>
      <w:rPr>
        <w:rFonts w:ascii="Calibri" w:cs="Calibri" w:eastAsia="Calibri" w:hAnsi="Calibri"/>
      </w:rPr>
      <w:t xml:space="preserve">	</w:t>
    </w:r>
    <w:r>
      <w:rPr>
        <w:rFonts w:ascii="Calibri" w:cs="Calibri" w:eastAsia="Calibri" w:hAnsi="Calibri"/>
        <w:color w:val="545B66"/>
        <w:sz w:val="15"/>
        <w:szCs w:val="15"/>
      </w:rPr>
      <w:t xml:space="preserve">Str. </w:t>
    </w:r>
    <w:r>
      <w:rPr>
        <w:rFonts w:ascii="Calibri" w:cs="Calibri" w:eastAsia="Calibri" w:hAnsi="Calibri"/>
        <w:color w:val="545B66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545B66"/>
        <w:sz w:val="15"/>
        <w:szCs w:val="15"/>
      </w:rPr>
      <w:t xml:space="preserve"> / </w:t>
    </w:r>
    <w:r>
      <w:rPr>
        <w:rFonts w:ascii="Calibri" w:cs="Calibri" w:eastAsia="Calibri" w:hAnsi="Calibri"/>
        <w:color w:val="545B66"/>
        <w:sz w:val="15"/>
        <w:szCs w:val="15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pct" w:w="100%"/>
      <w:tblBorders>
        <w:top w:val="none"/>
        <w:left w:val="none"/>
        <w:bottom w:val="none"/>
        <w:right w:val="none"/>
        <w:insideH w:val="none"/>
        <w:insideV w:val="none"/>
      </w:tblBorders>
    </w:tblPr>
    <w:tblGrid>
      <w:gridCol w:w="100"/>
    </w:tblGrid>
    <w:tr>
      <w:tc>
        <w:tcPr>
          <w:tcW w:type="pct" w:w="100%"/>
          <w:tcBorders>
            <w:top w:val="none"/>
            <w:left w:val="none"/>
            <w:bottom w:val="none"/>
            <w:right w:val="none"/>
          </w:tcBorders>
          <w:shd w:fill="24272C" w:val="clear"/>
          <w:tcMar>
            <w:top w:type="dxa" w:w="120"/>
            <w:left w:type="dxa" w:w="150"/>
            <w:bottom w:type="dxa" w:w="120"/>
            <w:right w:type="dxa" w:w="150"/>
          </w:tcMar>
        </w:tcPr>
        <w:p>
          <w:r>
            <w:rPr>
              <w:rFonts w:ascii="Calibri" w:cs="Calibri" w:eastAsia="Calibri" w:hAnsi="Calibri"/>
              <w:b/>
              <w:bCs/>
              <w:color w:val="FFFFFF"/>
              <w:sz w:val="18"/>
              <w:szCs w:val="18"/>
            </w:rPr>
            <w:t xml:space="preserve">[ MIEJSCE NA LOGO ]</w:t>
          </w:r>
          <w:r>
            <w:rPr>
              <w:rFonts w:ascii="Calibri" w:cs="Calibri" w:eastAsia="Calibri" w:hAnsi="Calibri"/>
              <w:b/>
              <w:bCs/>
              <w:color w:val="FFFFFF"/>
              <w:sz w:val="18"/>
              <w:szCs w:val="18"/>
            </w:rPr>
            <w:t xml:space="preserve">      Nazwa firmy / konsultanta BHP      www.twojastrona.pl</w:t>
          </w:r>
        </w:p>
      </w:tc>
    </w:tr>
  </w:tbl>
  <w:p>
    <w:pPr>
      <w:pBdr>
        <w:bottom w:val="single" w:color="0E7C7A" w:sz="24" w:space="1"/>
      </w:pBdr>
      <w:spacing w:after="0" w:before="0"/>
    </w:pPr>
    <w:r>
      <w:rPr>
        <w:sz w:val="2"/>
        <w:szCs w:val="2"/>
      </w:rPr>
      <w:t xml:space="preserve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2026-08-25T06:42:59.296Z</dcterms:created>
  <dcterms:modified xsi:type="dcterms:W3CDTF">2026-08-25T06:42:59.296Z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