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E7C7A"/>
          <w:sz w:val="30"/>
          <w:szCs w:val="30"/>
        </w:rPr>
        <w:t xml:space="preserve">E.91   </w:t>
      </w:r>
      <w:r>
        <w:rPr>
          <w:rFonts w:ascii="Calibri" w:cs="Calibri" w:eastAsia="Calibri" w:hAnsi="Calibri"/>
          <w:b/>
          <w:bCs/>
          <w:color w:val="1F2328"/>
          <w:sz w:val="30"/>
          <w:szCs w:val="30"/>
        </w:rPr>
        <w:t xml:space="preserve">Procedura organizacji pracy w warunkach zimowych / letnich (ekstremalne temperatury)</w:t>
      </w:r>
    </w:p>
    <w:p>
      <w:pPr>
        <w:spacing w:after="40"/>
      </w:pPr>
      <w:r>
        <w:rPr>
          <w:rFonts w:ascii="Calibri" w:cs="Calibri" w:eastAsia="Calibri" w:hAnsi="Calibri"/>
          <w:i/>
          <w:iCs/>
          <w:color w:val="545B66"/>
          <w:sz w:val="20"/>
          <w:szCs w:val="20"/>
        </w:rPr>
        <w:t xml:space="preserve">Ostatnia procedura w zestawie — opisuje organizację pracy na zewnątrz i w pomieszczeniach nieklimatyzowanych podczas fal upałów oraz mrozów</w:t>
      </w:r>
    </w:p>
    <w:p>
      <w:pPr>
        <w:spacing w:after="200"/>
      </w:pPr>
      <w:r>
        <w:rPr>
          <w:rFonts w:ascii="Calibri" w:cs="Calibri" w:eastAsia="Calibri" w:hAnsi="Calibri"/>
          <w:i/>
          <w:iCs/>
          <w:color w:val="545B66"/>
          <w:sz w:val="17"/>
          <w:szCs w:val="17"/>
        </w:rPr>
        <w:t xml:space="preserve">Podstawa prawna: Art. 232 Kodeksu pracy; Rozporządzenie RM z 28.05.1996 r. ws. profilaktycznych posiłków i napojów; § 41 Rozporządzenia MPiPS z 26.09.1997 r.; Rozporządzenie RM ws. wykazu prac wzbronionych</w:t>
      </w:r>
    </w:p>
    <w:p>
      <w:pPr>
        <w:pBdr>
          <w:bottom w:val="single" w:color="0E7C7A" w:sz="16" w:space="1"/>
        </w:pBdr>
        <w:spacing w:after="24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Numer dokumentu:</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PROC-BHP-013</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Wersja: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1.0</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Data wydania: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Strony:</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 —</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Opracował: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Specjalista ds. bhp</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Zatwierdził: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Pracodawca</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Zastępuje:</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Wydanie pierwsze</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Następny przegląd:</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r>
    </w:tbl>
    <w:p>
      <w:pPr>
        <w:spacing w:after="100" w:before="200"/>
      </w:pPr>
    </w:p>
    <w:tbl>
      <w:tblPr>
        <w:tblW w:type="pct" w:w="100%"/>
        <w:tblBorders>
          <w:top w:val="none"/>
          <w:left w:val="none"/>
          <w:bottom w:val="none"/>
          <w:right w:val="none"/>
          <w:insideH w:val="none"/>
          <w:insideV w:val="none"/>
        </w:tblBorders>
      </w:tblPr>
      <w:tblGrid>
        <w:gridCol w:w="100"/>
      </w:tblGrid>
      <w:tr>
        <w:tc>
          <w:tcPr>
            <w:tcW w:type="pct" w:w="100%"/>
            <w:tcBorders>
              <w:top w:val="single" w:color="FFF3CD" w:sz="4"/>
              <w:left w:val="single" w:color="B8860B" w:sz="28"/>
              <w:bottom w:val="single" w:color="FFF3CD" w:sz="4"/>
              <w:right w:val="single" w:color="FFF3CD" w:sz="4"/>
            </w:tcBorders>
            <w:shd w:fill="FFF3CD" w:val="clear"/>
            <w:tcMar>
              <w:top w:type="dxa" w:w="140"/>
              <w:left w:type="dxa" w:w="180"/>
              <w:bottom w:type="dxa" w:w="140"/>
              <w:right w:type="dxa" w:w="180"/>
            </w:tcMar>
          </w:tcPr>
          <w:p>
            <w:r>
              <w:rPr>
                <w:rFonts w:ascii="Calibri" w:cs="Calibri" w:eastAsia="Calibri" w:hAnsi="Calibri"/>
                <w:color w:val="1F2328"/>
                <w:sz w:val="20"/>
                <w:szCs w:val="20"/>
              </w:rPr>
              <w:t xml:space="preserve">Pracodawca ma obowiązek zapewnić pracownikom zatrudnionym na otwartej przestrzeni pomieszczenie do ogrzania się w okresie zimowym oraz nieodpłatne napoje w warunkach szczególnie uciążliwych — to nie jest gest dobrej woli, tylko obowiązek prawny (art. 233 KP).</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 Cel procedury</w:t>
      </w:r>
    </w:p>
    <w:p>
      <w:pPr>
        <w:spacing w:after="120"/>
        <w:jc w:val="both"/>
      </w:pPr>
      <w:r>
        <w:rPr>
          <w:rFonts w:ascii="Calibri" w:cs="Calibri" w:eastAsia="Calibri" w:hAnsi="Calibri"/>
          <w:b w:val="false"/>
          <w:bCs w:val="false"/>
          <w:color w:val="1F2328"/>
          <w:sz w:val="21"/>
          <w:szCs w:val="21"/>
        </w:rPr>
        <w:t xml:space="preserve">Celem procedury jest ograniczenie ryzyka zdrowotnego związanego z pracą w warunkach ekstremalnych temperatur — zarówno wysokich (fale upałów), jak i niskich (mrozy) — oraz określenie działań organizacyjnych podejmowanych w takich sytuacjach.</w:t>
      </w:r>
    </w:p>
    <w:p>
      <w:pPr>
        <w:pBdr>
          <w:left w:val="single" w:color="0E7C7A" w:sz="24" w:space="6"/>
        </w:pBdr>
        <w:spacing w:after="120" w:before="260"/>
        <w:ind w:left="60"/>
      </w:pPr>
      <w:r>
        <w:rPr>
          <w:rFonts w:ascii="Calibri" w:cs="Calibri" w:eastAsia="Calibri" w:hAnsi="Calibri"/>
          <w:b/>
          <w:bCs/>
          <w:color w:val="1F2328"/>
          <w:sz w:val="23"/>
          <w:szCs w:val="23"/>
        </w:rPr>
        <w:t xml:space="preserve">2. Zakres stosowania</w:t>
      </w:r>
    </w:p>
    <w:p>
      <w:pPr>
        <w:spacing w:after="120"/>
        <w:jc w:val="both"/>
      </w:pPr>
      <w:r>
        <w:rPr>
          <w:rFonts w:ascii="Calibri" w:cs="Calibri" w:eastAsia="Calibri" w:hAnsi="Calibri"/>
          <w:b w:val="false"/>
          <w:bCs w:val="false"/>
          <w:color w:val="1F2328"/>
          <w:sz w:val="21"/>
          <w:szCs w:val="21"/>
        </w:rPr>
        <w:t xml:space="preserve">Procedura obejmuje pracowników wykonujących pracę na otwartej przestrzeni oraz w pomieszczeniach nieklimatyzowanych/nieogrzewanych, w okresach występowania temperatur ekstremalnych.</w:t>
      </w:r>
    </w:p>
    <w:p>
      <w:pPr>
        <w:pBdr>
          <w:left w:val="single" w:color="0E7C7A" w:sz="24" w:space="6"/>
        </w:pBdr>
        <w:spacing w:after="120" w:before="260"/>
        <w:ind w:left="60"/>
      </w:pPr>
      <w:r>
        <w:rPr>
          <w:rFonts w:ascii="Calibri" w:cs="Calibri" w:eastAsia="Calibri" w:hAnsi="Calibri"/>
          <w:b/>
          <w:bCs/>
          <w:color w:val="1F2328"/>
          <w:sz w:val="23"/>
          <w:szCs w:val="23"/>
        </w:rPr>
        <w:t xml:space="preserve">3. Odpowiedzialności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Rola</w:t>
            </w:r>
          </w:p>
        </w:tc>
        <w:tc>
          <w:tcPr>
            <w:tcW w:type="pct" w:w="72%"/>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Zadania w ramach procedury</w:t>
            </w:r>
          </w:p>
        </w:tc>
      </w:tr>
      <w:tr>
        <w:tc>
          <w:tcPr>
            <w:tcW w:type="pct" w:w="28%"/>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bCs/>
                <w:color w:val="1F2328"/>
                <w:sz w:val="20"/>
                <w:szCs w:val="20"/>
              </w:rPr>
              <w:t xml:space="preserve">Pracodawca</w:t>
            </w:r>
          </w:p>
        </w:tc>
        <w:tc>
          <w:tcPr>
            <w:tcW w:type="pct" w:w="7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Zapewnia pomieszczenia do ogrzania się/schłodzenia, dostęp do napojów, podejmuje decyzje o modyfikacji organizacji pracy w dniach ekstremalnych temperatur.</w:t>
            </w:r>
          </w:p>
        </w:tc>
      </w:tr>
      <w:tr>
        <w:tc>
          <w:tcPr>
            <w:tcW w:type="pct" w:w="28%"/>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bCs/>
                <w:color w:val="1F2328"/>
                <w:sz w:val="20"/>
                <w:szCs w:val="20"/>
              </w:rPr>
              <w:t xml:space="preserve">Specjalista ds. bhp</w:t>
            </w:r>
          </w:p>
        </w:tc>
        <w:tc>
          <w:tcPr>
            <w:tcW w:type="pct" w:w="7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Monitoruje prognozy i ostrzeżenia meteorologiczne, rekomenduje działania organizacyjne, informuje pracowników o zasadach postępowania.</w:t>
            </w:r>
          </w:p>
        </w:tc>
      </w:tr>
      <w:tr>
        <w:tc>
          <w:tcPr>
            <w:tcW w:type="pct" w:w="28%"/>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bCs/>
                <w:color w:val="1F2328"/>
                <w:sz w:val="20"/>
                <w:szCs w:val="20"/>
              </w:rPr>
              <w:t xml:space="preserve">Bezpośredni przełożony</w:t>
            </w:r>
          </w:p>
        </w:tc>
        <w:tc>
          <w:tcPr>
            <w:tcW w:type="pct" w:w="7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Wdraża zalecane działania organizacyjne w swoim zespole, obserwuje stan pracowników pod kątem objawów przegrzania/wychłodzenia.</w:t>
            </w:r>
          </w:p>
        </w:tc>
      </w:tr>
      <w:tr>
        <w:tc>
          <w:tcPr>
            <w:tcW w:type="pct" w:w="28%"/>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bCs/>
                <w:color w:val="1F2328"/>
                <w:sz w:val="20"/>
                <w:szCs w:val="20"/>
              </w:rPr>
              <w:t xml:space="preserve">Pracownik</w:t>
            </w:r>
          </w:p>
        </w:tc>
        <w:tc>
          <w:tcPr>
            <w:tcW w:type="pct" w:w="7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Stosuje się do zaleceń, zgłasza przełożonemu niepokojące objawy własne lub współpracowników.</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4. Postępowanie w warunkach wysokich temperatur (upały)</w:t>
      </w:r>
    </w:p>
    <w:p>
      <w:pPr>
        <w:spacing w:after="100" w:before="200"/>
      </w:pPr>
      <w:r>
        <w:rPr>
          <w:rFonts w:ascii="Calibri" w:cs="Calibri" w:eastAsia="Calibri" w:hAnsi="Calibri"/>
          <w:b/>
          <w:bCs/>
          <w:i/>
          <w:iCs/>
          <w:color w:val="545B66"/>
          <w:sz w:val="21"/>
          <w:szCs w:val="21"/>
        </w:rPr>
        <w:t xml:space="preserve">4.1. Działania organizacyjne</w:t>
      </w:r>
    </w:p>
    <w:p>
      <w:pPr>
        <w:pStyle w:val="ListParagraph"/>
        <w:numPr>
          <w:ilvl w:val="0"/>
          <w:numId w:val="1"/>
        </w:numPr>
        <w:spacing w:after="80"/>
      </w:pPr>
      <w:r>
        <w:rPr>
          <w:rFonts w:ascii="Calibri" w:cs="Calibri" w:eastAsia="Calibri" w:hAnsi="Calibri"/>
          <w:color w:val="1F2328"/>
          <w:sz w:val="21"/>
          <w:szCs w:val="21"/>
        </w:rPr>
        <w:t xml:space="preserve">W dniach z ostrzeżeniem meteorologicznym o upałach lub temperaturze powietrza przekraczającej 30°C w cieniu, rozważ przesunięcie najcięższych prac fizycznych na chłodniejsze pory dnia (wczesny poranek, późne popołudnie),</w:t>
      </w:r>
    </w:p>
    <w:p>
      <w:pPr>
        <w:pStyle w:val="ListParagraph"/>
        <w:numPr>
          <w:ilvl w:val="0"/>
          <w:numId w:val="1"/>
        </w:numPr>
        <w:spacing w:after="80"/>
      </w:pPr>
      <w:r>
        <w:rPr>
          <w:rFonts w:ascii="Calibri" w:cs="Calibri" w:eastAsia="Calibri" w:hAnsi="Calibri"/>
          <w:color w:val="1F2328"/>
          <w:sz w:val="21"/>
          <w:szCs w:val="21"/>
        </w:rPr>
        <w:t xml:space="preserve">Zwiększ częstotliwość przerw w pracy na otwartej przestrzeni oraz w pomieszczeniach o podwyższonej temperaturze,</w:t>
      </w:r>
    </w:p>
    <w:p>
      <w:pPr>
        <w:pStyle w:val="ListParagraph"/>
        <w:numPr>
          <w:ilvl w:val="0"/>
          <w:numId w:val="1"/>
        </w:numPr>
        <w:spacing w:after="80"/>
      </w:pPr>
      <w:r>
        <w:rPr>
          <w:rFonts w:ascii="Calibri" w:cs="Calibri" w:eastAsia="Calibri" w:hAnsi="Calibri"/>
          <w:color w:val="1F2328"/>
          <w:sz w:val="21"/>
          <w:szCs w:val="21"/>
        </w:rPr>
        <w:t xml:space="preserve">Zapewnij dostęp do zacienionych lub klimatyzowanych pomieszczeń do odpoczynku,</w:t>
      </w:r>
    </w:p>
    <w:p>
      <w:pPr>
        <w:pStyle w:val="ListParagraph"/>
        <w:numPr>
          <w:ilvl w:val="0"/>
          <w:numId w:val="1"/>
        </w:numPr>
        <w:spacing w:after="80"/>
      </w:pPr>
      <w:r>
        <w:rPr>
          <w:rFonts w:ascii="Calibri" w:cs="Calibri" w:eastAsia="Calibri" w:hAnsi="Calibri"/>
          <w:color w:val="1F2328"/>
          <w:sz w:val="21"/>
          <w:szCs w:val="21"/>
        </w:rPr>
        <w:t xml:space="preserve">Zapewnij nieodpłatny dostęp do zimnych napojów (co najmniej wody) dla pracowników wykonujących pracę na otwartej przestrzeni w wysokich temperaturach oraz w pomieszczeniach o znacznym obciążeniu termicznym.</w:t>
      </w:r>
    </w:p>
    <w:p>
      <w:pPr>
        <w:spacing w:after="100" w:before="200"/>
      </w:pPr>
      <w:r>
        <w:rPr>
          <w:rFonts w:ascii="Calibri" w:cs="Calibri" w:eastAsia="Calibri" w:hAnsi="Calibri"/>
          <w:b/>
          <w:bCs/>
          <w:i/>
          <w:iCs/>
          <w:color w:val="545B66"/>
          <w:sz w:val="21"/>
          <w:szCs w:val="21"/>
        </w:rPr>
        <w:t xml:space="preserve">4.2. Objawy przegrzania organizmu — rozpoznawanie</w:t>
      </w:r>
    </w:p>
    <w:p>
      <w:pPr>
        <w:spacing w:after="160"/>
        <w:jc w:val="both"/>
      </w:pPr>
      <w:r>
        <w:rPr>
          <w:rFonts w:ascii="Calibri" w:cs="Calibri" w:eastAsia="Calibri" w:hAnsi="Calibri"/>
          <w:b w:val="false"/>
          <w:bCs w:val="false"/>
          <w:color w:val="1F2328"/>
          <w:sz w:val="21"/>
          <w:szCs w:val="21"/>
        </w:rPr>
        <w:t xml:space="preserve">Zwracaj uwagę na objawy u siebie i współpracowników: nadmierne pocenie się lub jego nagłe ustanie, zawroty głowy, osłabienie, bóle głowy, nudności, przyspieszone tętno, splątanie. Nasilone objawy (dezorientacja, utrata przytomności, brak potliwości mimo wysokiej temperatury ciała) mogą wskazywać na udar cieplny — stan zagrożenia życia.</w:t>
      </w:r>
    </w:p>
    <w:tbl>
      <w:tblPr>
        <w:tblW w:type="pct" w:w="100%"/>
        <w:tblBorders>
          <w:top w:val="none"/>
          <w:left w:val="none"/>
          <w:bottom w:val="none"/>
          <w:right w:val="none"/>
          <w:insideH w:val="none"/>
          <w:insideV w:val="none"/>
        </w:tblBorders>
      </w:tblPr>
      <w:tblGrid>
        <w:gridCol w:w="100"/>
      </w:tblGrid>
      <w:tr>
        <w:tc>
          <w:tcPr>
            <w:tcW w:type="pct" w:w="100%"/>
            <w:tcBorders>
              <w:top w:val="single" w:color="FBE1E1" w:sz="4"/>
              <w:left w:val="single" w:color="C0392B" w:sz="28"/>
              <w:bottom w:val="single" w:color="FBE1E1" w:sz="4"/>
              <w:right w:val="single" w:color="FBE1E1" w:sz="4"/>
            </w:tcBorders>
            <w:shd w:fill="FBE1E1" w:val="clear"/>
            <w:tcMar>
              <w:top w:type="dxa" w:w="140"/>
              <w:left w:type="dxa" w:w="180"/>
              <w:bottom w:type="dxa" w:w="140"/>
              <w:right w:type="dxa" w:w="180"/>
            </w:tcMar>
          </w:tcPr>
          <w:p>
            <w:r>
              <w:rPr>
                <w:rFonts w:ascii="Calibri" w:cs="Calibri" w:eastAsia="Calibri" w:hAnsi="Calibri"/>
                <w:color w:val="1F2328"/>
                <w:sz w:val="20"/>
                <w:szCs w:val="20"/>
              </w:rPr>
              <w:t xml:space="preserve">Podejrzenie udaru cieplnego (wysoka temperatura ciała, splątanie lub utrata przytomności, sucha, gorąca skóra) wymaga natychmiastowego wezwania pomocy medycznej (112/999) i schłodzenia poszkodowanego do czasu jej przybycia.</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5. Postępowanie w warunkach niskich temperatur (mrozy)</w:t>
      </w:r>
    </w:p>
    <w:p>
      <w:pPr>
        <w:spacing w:after="100" w:before="200"/>
      </w:pPr>
      <w:r>
        <w:rPr>
          <w:rFonts w:ascii="Calibri" w:cs="Calibri" w:eastAsia="Calibri" w:hAnsi="Calibri"/>
          <w:b/>
          <w:bCs/>
          <w:i/>
          <w:iCs/>
          <w:color w:val="545B66"/>
          <w:sz w:val="21"/>
          <w:szCs w:val="21"/>
        </w:rPr>
        <w:t xml:space="preserve">5.1. Działania organizacyjne</w:t>
      </w:r>
    </w:p>
    <w:p>
      <w:pPr>
        <w:pStyle w:val="ListParagraph"/>
        <w:numPr>
          <w:ilvl w:val="0"/>
          <w:numId w:val="1"/>
        </w:numPr>
        <w:spacing w:after="80"/>
      </w:pPr>
      <w:r>
        <w:rPr>
          <w:rFonts w:ascii="Calibri" w:cs="Calibri" w:eastAsia="Calibri" w:hAnsi="Calibri"/>
          <w:color w:val="1F2328"/>
          <w:sz w:val="21"/>
          <w:szCs w:val="21"/>
        </w:rPr>
        <w:t xml:space="preserve">Zapewnij pracownikom zatrudnionym na otwartej przestrzeni pomieszczenie umożliwiające ogrzanie się, o temperaturze nie niższej niż 16°C,</w:t>
      </w:r>
    </w:p>
    <w:p>
      <w:pPr>
        <w:pStyle w:val="ListParagraph"/>
        <w:numPr>
          <w:ilvl w:val="0"/>
          <w:numId w:val="1"/>
        </w:numPr>
        <w:spacing w:after="80"/>
      </w:pPr>
      <w:r>
        <w:rPr>
          <w:rFonts w:ascii="Calibri" w:cs="Calibri" w:eastAsia="Calibri" w:hAnsi="Calibri"/>
          <w:color w:val="1F2328"/>
          <w:sz w:val="21"/>
          <w:szCs w:val="21"/>
        </w:rPr>
        <w:t xml:space="preserve">Zapewnij nieodpłatnie ciepłe napoje pracownikom zatrudnionym na otwartej przestrzeni przy temperaturze otoczenia poniżej 10°C,</w:t>
      </w:r>
    </w:p>
    <w:p>
      <w:pPr>
        <w:pStyle w:val="ListParagraph"/>
        <w:numPr>
          <w:ilvl w:val="0"/>
          <w:numId w:val="1"/>
        </w:numPr>
        <w:spacing w:after="80"/>
      </w:pPr>
      <w:r>
        <w:rPr>
          <w:rFonts w:ascii="Calibri" w:cs="Calibri" w:eastAsia="Calibri" w:hAnsi="Calibri"/>
          <w:color w:val="1F2328"/>
          <w:sz w:val="21"/>
          <w:szCs w:val="21"/>
        </w:rPr>
        <w:t xml:space="preserve">Zwiększ częstotliwość przerw umożliwiających ogrzanie się przy temperaturach poniżej -10°C lub przy silnym wietrze zwiększającym odczuwalne wychłodzenie,</w:t>
      </w:r>
    </w:p>
    <w:p>
      <w:pPr>
        <w:pStyle w:val="ListParagraph"/>
        <w:numPr>
          <w:ilvl w:val="0"/>
          <w:numId w:val="1"/>
        </w:numPr>
        <w:spacing w:after="80"/>
      </w:pPr>
      <w:r>
        <w:rPr>
          <w:rFonts w:ascii="Calibri" w:cs="Calibri" w:eastAsia="Calibri" w:hAnsi="Calibri"/>
          <w:color w:val="1F2328"/>
          <w:sz w:val="21"/>
          <w:szCs w:val="21"/>
        </w:rPr>
        <w:t xml:space="preserve">Rozważ przesunięcie prac niekoniecznych do wykonania na zewnątrz.</w:t>
      </w:r>
    </w:p>
    <w:p>
      <w:pPr>
        <w:spacing w:after="100" w:before="200"/>
      </w:pPr>
      <w:r>
        <w:rPr>
          <w:rFonts w:ascii="Calibri" w:cs="Calibri" w:eastAsia="Calibri" w:hAnsi="Calibri"/>
          <w:b/>
          <w:bCs/>
          <w:i/>
          <w:iCs/>
          <w:color w:val="545B66"/>
          <w:sz w:val="21"/>
          <w:szCs w:val="21"/>
        </w:rPr>
        <w:t xml:space="preserve">5.2. Objawy wychłodzenia organizmu — rozpoznawanie</w:t>
      </w:r>
    </w:p>
    <w:p>
      <w:pPr>
        <w:spacing w:after="120"/>
        <w:jc w:val="both"/>
      </w:pPr>
      <w:r>
        <w:rPr>
          <w:rFonts w:ascii="Calibri" w:cs="Calibri" w:eastAsia="Calibri" w:hAnsi="Calibri"/>
          <w:b w:val="false"/>
          <w:bCs w:val="false"/>
          <w:color w:val="1F2328"/>
          <w:sz w:val="21"/>
          <w:szCs w:val="21"/>
        </w:rPr>
        <w:t xml:space="preserve">Zwracaj uwagę na objawy: silne, niekontrolowane drżenie (lub jego ustanie przy głębokiej hipotermii — sygnał alarmowy), spowolniona mowa, splątanie, senność, utrata koordynacji ruchowej. Zwracaj również uwagę na objawy odmrożeń — zblednięcie, zdrętwienie, ból, a następnie utratę czucia w wystawionych na mróz częściach ciała (nos, uszy, palce).</w:t>
      </w:r>
    </w:p>
    <w:p>
      <w:pPr>
        <w:pBdr>
          <w:left w:val="single" w:color="0E7C7A" w:sz="24" w:space="6"/>
        </w:pBdr>
        <w:spacing w:after="120" w:before="260"/>
        <w:ind w:left="60"/>
      </w:pPr>
      <w:r>
        <w:rPr>
          <w:rFonts w:ascii="Calibri" w:cs="Calibri" w:eastAsia="Calibri" w:hAnsi="Calibri"/>
          <w:b/>
          <w:bCs/>
          <w:color w:val="1F2328"/>
          <w:sz w:val="23"/>
          <w:szCs w:val="23"/>
        </w:rPr>
        <w:t xml:space="preserve">6. Postępowanie w sytuacjach awaryjnych</w:t>
      </w:r>
    </w:p>
    <w:p>
      <w:pPr>
        <w:spacing w:after="120"/>
        <w:jc w:val="both"/>
      </w:pPr>
      <w:r>
        <w:rPr>
          <w:rFonts w:ascii="Calibri" w:cs="Calibri" w:eastAsia="Calibri" w:hAnsi="Calibri"/>
          <w:b w:val="false"/>
          <w:bCs w:val="false"/>
          <w:color w:val="1F2328"/>
          <w:sz w:val="21"/>
          <w:szCs w:val="21"/>
        </w:rPr>
        <w:t xml:space="preserve">Postępowanie w razie udaru cieplnego, wychłodzenia lub odmrożeń opisuje szczegółowo dokument E.5 (pierwsza pomoc). Każdy przypadek nasilonych objawów wymaga natychmiastowego wezwania pomocy medycznej.</w:t>
      </w:r>
    </w:p>
    <w:p>
      <w:pPr>
        <w:pBdr>
          <w:left w:val="single" w:color="0E7C7A" w:sz="24" w:space="6"/>
        </w:pBdr>
        <w:spacing w:after="120" w:before="260"/>
        <w:ind w:left="60"/>
      </w:pPr>
      <w:r>
        <w:rPr>
          <w:rFonts w:ascii="Calibri" w:cs="Calibri" w:eastAsia="Calibri" w:hAnsi="Calibri"/>
          <w:b/>
          <w:bCs/>
          <w:color w:val="1F2328"/>
          <w:sz w:val="23"/>
          <w:szCs w:val="23"/>
        </w:rPr>
        <w:t xml:space="preserve">7. Dokumentacja i zapisy</w:t>
      </w:r>
    </w:p>
    <w:p>
      <w:pPr>
        <w:pStyle w:val="ListParagraph"/>
        <w:numPr>
          <w:ilvl w:val="0"/>
          <w:numId w:val="1"/>
        </w:numPr>
        <w:spacing w:after="80"/>
      </w:pPr>
      <w:r>
        <w:rPr>
          <w:rFonts w:ascii="Calibri" w:cs="Calibri" w:eastAsia="Calibri" w:hAnsi="Calibri"/>
          <w:color w:val="1F2328"/>
          <w:sz w:val="21"/>
          <w:szCs w:val="21"/>
        </w:rPr>
        <w:t xml:space="preserve">Komunikaty/ostrzeżenia meteorologiczne stanowiące podstawę decyzji organizacyjnych,</w:t>
      </w:r>
    </w:p>
    <w:p>
      <w:pPr>
        <w:pStyle w:val="ListParagraph"/>
        <w:numPr>
          <w:ilvl w:val="0"/>
          <w:numId w:val="1"/>
        </w:numPr>
        <w:spacing w:after="80"/>
      </w:pPr>
      <w:r>
        <w:rPr>
          <w:rFonts w:ascii="Calibri" w:cs="Calibri" w:eastAsia="Calibri" w:hAnsi="Calibri"/>
          <w:color w:val="1F2328"/>
          <w:sz w:val="21"/>
          <w:szCs w:val="21"/>
        </w:rPr>
        <w:t xml:space="preserve">Ewentualne wypadki związane z przegrzaniem/wychłodzeniem — dokumentowane zgodnie z procedurą E.81.</w:t>
      </w:r>
    </w:p>
    <w:p>
      <w:pPr>
        <w:pBdr>
          <w:left w:val="single" w:color="0E7C7A" w:sz="24" w:space="6"/>
        </w:pBdr>
        <w:spacing w:after="120" w:before="260"/>
        <w:ind w:left="60"/>
      </w:pPr>
      <w:r>
        <w:rPr>
          <w:rFonts w:ascii="Calibri" w:cs="Calibri" w:eastAsia="Calibri" w:hAnsi="Calibri"/>
          <w:b/>
          <w:bCs/>
          <w:color w:val="1F2328"/>
          <w:sz w:val="23"/>
          <w:szCs w:val="23"/>
        </w:rPr>
        <w:t xml:space="preserve">8. Powiązane dokumenty</w:t>
      </w:r>
    </w:p>
    <w:p>
      <w:pPr>
        <w:spacing w:after="120"/>
        <w:jc w:val="both"/>
      </w:pPr>
      <w:r>
        <w:rPr>
          <w:rFonts w:ascii="Calibri" w:cs="Calibri" w:eastAsia="Calibri" w:hAnsi="Calibri"/>
          <w:b w:val="false"/>
          <w:bCs w:val="false"/>
          <w:color w:val="1F2328"/>
          <w:sz w:val="21"/>
          <w:szCs w:val="21"/>
        </w:rPr>
        <w:t xml:space="preserve">E.5 Instrukcja udzielania pierwszej pomocy, E.1 Instrukcja ogólna bhp.</w:t>
      </w:r>
    </w:p>
    <w:p>
      <w:pPr>
        <w:pBdr>
          <w:left w:val="single" w:color="0E7C7A" w:sz="24" w:space="6"/>
        </w:pBdr>
        <w:spacing w:after="120" w:before="260"/>
        <w:ind w:left="60"/>
      </w:pPr>
      <w:r>
        <w:rPr>
          <w:rFonts w:ascii="Calibri" w:cs="Calibri" w:eastAsia="Calibri" w:hAnsi="Calibri"/>
          <w:b/>
          <w:bCs/>
          <w:color w:val="1F2328"/>
          <w:sz w:val="23"/>
          <w:szCs w:val="23"/>
        </w:rPr>
        <w:t xml:space="preserve">9. Postanowienia końcowe</w:t>
      </w:r>
    </w:p>
    <w:p>
      <w:pPr>
        <w:spacing w:after="120"/>
        <w:jc w:val="both"/>
      </w:pPr>
      <w:r>
        <w:rPr>
          <w:rFonts w:ascii="Calibri" w:cs="Calibri" w:eastAsia="Calibri" w:hAnsi="Calibri"/>
          <w:b w:val="false"/>
          <w:bCs w:val="false"/>
          <w:color w:val="1F2328"/>
          <w:sz w:val="21"/>
          <w:szCs w:val="21"/>
        </w:rPr>
        <w:t xml:space="preserve">Procedura podlega przeglądowi nie rzadziej niż raz w roku.</w:t>
      </w:r>
    </w:p>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10. Historia zmian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Wersja</w:t>
            </w:r>
          </w:p>
        </w:tc>
        <w:tc>
          <w:tcPr>
            <w:tcW w:type="pct" w:w="18%"/>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Data</w:t>
            </w:r>
          </w:p>
        </w:tc>
        <w:tc>
          <w:tcPr>
            <w:tcW w:type="pct" w:w="5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Opis zmian</w:t>
            </w:r>
          </w:p>
        </w:tc>
        <w:tc>
          <w:tcPr>
            <w:tcW w:type="pct" w:w="2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Zmienił</w:t>
            </w:r>
          </w:p>
        </w:tc>
      </w:tr>
      <w:tr>
        <w:tc>
          <w:tcPr>
            <w:tcW w:type="pct" w:w="1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1.0</w:t>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Wydanie pierwsze</w:t>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r>
        <w:tc>
          <w:tcPr>
            <w:tcW w:type="pct" w:w="12%"/>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bl>
    <w:p>
      <w:pPr>
        <w:spacing w:after="2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40"/>
            </w:pPr>
            <w:r>
              <w:rPr>
                <w:rFonts w:ascii="Calibri" w:cs="Calibri" w:eastAsia="Calibri" w:hAnsi="Calibri"/>
                <w:b/>
                <w:bCs/>
                <w:sz w:val="19"/>
                <w:szCs w:val="19"/>
              </w:rPr>
              <w:t xml:space="preserve">Opracował — Specjalista ds. bhp</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w:t>
            </w:r>
          </w:p>
          <w:p>
            <w:r>
              <w:rPr>
                <w:rFonts w:ascii="Calibri" w:cs="Calibri" w:eastAsia="Calibri" w:hAnsi="Calibri"/>
                <w:sz w:val="19"/>
                <w:szCs w:val="19"/>
              </w:rPr>
              <w:t xml:space="preserve">Data: ……………………………………………</w:t>
            </w:r>
          </w:p>
        </w:tc>
        <w:tc>
          <w:tcPr>
            <w:tcW w:type="pct" w:w="50%"/>
            <w:tcBorders>
              <w:top w:val="none"/>
              <w:left w:val="none"/>
              <w:bottom w:val="none"/>
              <w:right w:val="none"/>
            </w:tcBorders>
          </w:tcPr>
          <w:p>
            <w:pPr>
              <w:spacing w:after="40"/>
            </w:pPr>
            <w:r>
              <w:rPr>
                <w:rFonts w:ascii="Calibri" w:cs="Calibri" w:eastAsia="Calibri" w:hAnsi="Calibri"/>
                <w:b/>
                <w:bCs/>
                <w:sz w:val="19"/>
                <w:szCs w:val="19"/>
              </w:rPr>
              <w:t xml:space="preserve">Zatwierdził — Pracodawca</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i pieczęć: ……………………………………………</w:t>
            </w:r>
          </w:p>
          <w:p>
            <w:r>
              <w:rPr>
                <w:rFonts w:ascii="Calibri" w:cs="Calibri" w:eastAsia="Calibri" w:hAnsi="Calibri"/>
                <w:sz w:val="19"/>
                <w:szCs w:val="19"/>
              </w:rPr>
              <w:t xml:space="preserve">Data: ……………………………………………</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7DB" w:sz="6" w:space="4"/>
      </w:pBdr>
      <w:tabs>
        <w:tab w:val="right" w:pos="9026"/>
      </w:tabs>
    </w:pPr>
    <w:r>
      <w:rPr>
        <w:rFonts w:ascii="Calibri" w:cs="Calibri" w:eastAsia="Calibri" w:hAnsi="Calibri"/>
        <w:i/>
        <w:iCs/>
        <w:color w:val="545B66"/>
        <w:sz w:val="15"/>
        <w:szCs w:val="15"/>
      </w:rPr>
      <w:t xml:space="preserve">E.91 — dokument BHP · wzór do dostosowania do specyfiki zakładu pracy</w:t>
    </w:r>
    <w:r>
      <w:rPr>
        <w:rFonts w:ascii="Calibri" w:cs="Calibri" w:eastAsia="Calibri" w:hAnsi="Calibri"/>
      </w:rPr>
      <w:t xml:space="preserve">	</w:t>
    </w:r>
    <w:r>
      <w:rPr>
        <w:rFonts w:ascii="Calibri" w:cs="Calibri" w:eastAsia="Calibri" w:hAnsi="Calibri"/>
        <w:color w:val="545B66"/>
        <w:sz w:val="15"/>
        <w:szCs w:val="15"/>
      </w:rPr>
      <w:t xml:space="preserve">Str. </w:t>
    </w:r>
    <w:r>
      <w:rPr>
        <w:rFonts w:ascii="Calibri" w:cs="Calibri" w:eastAsia="Calibri" w:hAnsi="Calibri"/>
        <w:color w:val="545B66"/>
        <w:sz w:val="15"/>
        <w:szCs w:val="15"/>
      </w:rPr>
      <w:fldChar w:fldCharType="begin"/>
      <w:instrText xml:space="preserve">PAGE</w:instrText>
      <w:fldChar w:fldCharType="separate"/>
      <w:fldChar w:fldCharType="end"/>
    </w:r>
    <w:r>
      <w:rPr>
        <w:rFonts w:ascii="Calibri" w:cs="Calibri" w:eastAsia="Calibri" w:hAnsi="Calibri"/>
        <w:color w:val="545B66"/>
        <w:sz w:val="15"/>
        <w:szCs w:val="15"/>
      </w:rPr>
      <w:t xml:space="preserve"> / </w:t>
    </w:r>
    <w:r>
      <w:rPr>
        <w:rFonts w:ascii="Calibri" w:cs="Calibri" w:eastAsia="Calibri" w:hAnsi="Calibri"/>
        <w:color w:val="545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tblGrid>
    <w:tr>
      <w:tc>
        <w:tcPr>
          <w:tcW w:type="pct" w:w="100%"/>
          <w:tcBorders>
            <w:top w:val="none"/>
            <w:left w:val="none"/>
            <w:bottom w:val="none"/>
            <w:right w:val="none"/>
          </w:tcBorders>
          <w:shd w:fill="24272C" w:val="clear"/>
          <w:tcMar>
            <w:top w:type="dxa" w:w="120"/>
            <w:left w:type="dxa" w:w="150"/>
            <w:bottom w:type="dxa" w:w="120"/>
            <w:right w:type="dxa" w:w="150"/>
          </w:tcMar>
        </w:tcPr>
        <w:p>
          <w:r>
            <w:rPr>
              <w:rFonts w:ascii="Calibri" w:cs="Calibri" w:eastAsia="Calibri" w:hAnsi="Calibri"/>
              <w:b/>
              <w:bCs/>
              <w:color w:val="FFFFFF"/>
              <w:sz w:val="18"/>
              <w:szCs w:val="18"/>
            </w:rPr>
            <w:t xml:space="preserve">[ MIEJSCE NA LOGO ]</w:t>
          </w:r>
          <w:r>
            <w:rPr>
              <w:rFonts w:ascii="Calibri" w:cs="Calibri" w:eastAsia="Calibri" w:hAnsi="Calibri"/>
              <w:b/>
              <w:bCs/>
              <w:color w:val="FFFFFF"/>
              <w:sz w:val="18"/>
              <w:szCs w:val="18"/>
            </w:rPr>
            <w:t xml:space="preserve">      Nazwa firmy / konsultanta BHP      www.twojastrona.pl</w:t>
          </w:r>
        </w:p>
      </w:tc>
    </w:tr>
  </w:tbl>
  <w:p>
    <w:pPr>
      <w:pBdr>
        <w:bottom w:val="single" w:color="0E7C7A" w:sz="24"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2026-08-25T12:25:56.074Z</dcterms:created>
  <dcterms:modified xsi:type="dcterms:W3CDTF">2026-08-25T12:25:56.074Z</dcterms:modified>
</cp:coreProperties>
</file>

<file path=docProps/custom.xml><?xml version="1.0" encoding="utf-8"?>
<Properties xmlns="http://schemas.openxmlformats.org/officeDocument/2006/custom-properties" xmlns:vt="http://schemas.openxmlformats.org/officeDocument/2006/docPropsVTypes"/>
</file>