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Calibri" w:cs="Calibri" w:eastAsia="Calibri" w:hAnsi="Calibri"/>
          <w:b/>
          <w:bCs/>
          <w:color w:val="0E7C7A"/>
          <w:sz w:val="30"/>
          <w:szCs w:val="30"/>
        </w:rPr>
        <w:t xml:space="preserve">E.4   </w:t>
      </w:r>
      <w:r>
        <w:rPr>
          <w:rFonts w:ascii="Calibri" w:cs="Calibri" w:eastAsia="Calibri" w:hAnsi="Calibri"/>
          <w:b/>
          <w:bCs/>
          <w:color w:val="1F2328"/>
          <w:sz w:val="30"/>
          <w:szCs w:val="30"/>
        </w:rPr>
        <w:t xml:space="preserve">Instrukcja postępowania z substancjami i mieszaninami niebezpiecznymi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45B66"/>
          <w:sz w:val="20"/>
          <w:szCs w:val="20"/>
        </w:rPr>
        <w:t xml:space="preserve">Instrukcja obowiązkowa wszędzie, gdzie w procesie pracy stosowane są substancje lub mieszaniny niebezpieczne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45B66"/>
          <w:sz w:val="17"/>
          <w:szCs w:val="17"/>
        </w:rPr>
        <w:t xml:space="preserve">Podstawa prawna: § 41 ust. 1 pkt 3 Rozporządzenia MPiPS z 26.09.1997 r.; Rozporządzenie WE nr 1272/2008 (CLP); art. 221 Kodeksu pracy</w:t>
      </w:r>
    </w:p>
    <w:p>
      <w:pPr>
        <w:pBdr>
          <w:bottom w:val="single" w:color="0E7C7A" w:sz="16" w:space="1"/>
        </w:pBdr>
        <w:spacing w:after="24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Numer dokumentu: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INS-BHP-004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Wersja: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Data wydania: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Strony: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— / —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Opracował: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Specjalista ds. bhp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Zatwierdził: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Pracodawca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Zastępuje: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Wydanie pierwsze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Następny przegląd: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tcBorders>
              <w:top w:val="single" w:color="E4F2F1" w:sz="4"/>
              <w:left w:val="single" w:color="0E7C7A" w:sz="28"/>
              <w:bottom w:val="single" w:color="E4F2F1" w:sz="4"/>
              <w:right w:val="single" w:color="E4F2F1" w:sz="4"/>
            </w:tcBorders>
            <w:shd w:fill="E4F2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F2328"/>
                <w:sz w:val="20"/>
                <w:szCs w:val="20"/>
              </w:rPr>
              <w:t xml:space="preserve">Przed rozpoczęciem pracy z jakąkolwiek substancją chemiczną pracownik jest obowiązany zapoznać się z jej kartą charakterystyki (SDS), dostępną w miejscu pracy lub u przełożonego.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1. Zakres instrukcji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dotyczy wszystkich czynności związanych z magazynowaniem, transportem wewnętrznym, dozowaniem, stosowaniem i utylizacją substancji oraz mieszanin niebezpiecznych (stwarzających zagrożenie) w rozumieniu rozporządzenia CLP, obowiązujących na terenie zakładu pracy.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2. Oznakowanie i klasyfikacja (GHS)</w:t>
      </w:r>
    </w:p>
    <w:p>
      <w:pPr>
        <w:spacing w:after="20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Opakowania substancji niebezpiecznych są oznakowane piktogramami ostrzegawczymi (GHS), hasłem ostrzegawczym, zwrotami wskazującymi rodzaj zagrożenia (H) oraz zwrotami wskazującymi środki ostrożności (P). Zabrania się usuwania, zamalowywania lub zaklejania etykiet na opakowaniach.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Piktogram / hasło</w:t>
            </w:r>
          </w:p>
        </w:tc>
        <w:tc>
          <w:tcPr>
            <w:tcW w:type="pct" w:w="7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Znaczenie</w:t>
            </w:r>
          </w:p>
        </w:tc>
      </w:tr>
      <w:tr>
        <w:tc>
          <w:tcPr>
            <w:tcW w:type="pct" w:w="3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GHS02 — Płomień</w:t>
            </w:r>
          </w:p>
        </w:tc>
        <w:tc>
          <w:tcPr>
            <w:tcW w:type="pct" w:w="7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Substancje łatwopalne — trzymać z dala od źródeł ciepła, iskier, otwartego ognia.</w:t>
            </w:r>
          </w:p>
        </w:tc>
      </w:tr>
      <w:tr>
        <w:tc>
          <w:tcPr>
            <w:tcW w:type="pct" w:w="3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GHS05 — Korozja</w:t>
            </w:r>
          </w:p>
        </w:tc>
        <w:tc>
          <w:tcPr>
            <w:tcW w:type="pct" w:w="7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Substancje żrące — powodują poważne oparzenia skóry i uszkodzenia oczu; niszczą metale.</w:t>
            </w:r>
          </w:p>
        </w:tc>
      </w:tr>
      <w:tr>
        <w:tc>
          <w:tcPr>
            <w:tcW w:type="pct" w:w="3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GHS06 — Czaszka i piszczele</w:t>
            </w:r>
          </w:p>
        </w:tc>
        <w:tc>
          <w:tcPr>
            <w:tcW w:type="pct" w:w="7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Substancje silnie toksyczne — mogą powodować śmierć nawet w małych dawkach.</w:t>
            </w:r>
          </w:p>
        </w:tc>
      </w:tr>
      <w:tr>
        <w:tc>
          <w:tcPr>
            <w:tcW w:type="pct" w:w="3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GHS07 — Wykrzyknik</w:t>
            </w:r>
          </w:p>
        </w:tc>
        <w:tc>
          <w:tcPr>
            <w:tcW w:type="pct" w:w="7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Substancje drażniące, uczulające lub szkodliwe przy długotrwałym narażeniu.</w:t>
            </w:r>
          </w:p>
        </w:tc>
      </w:tr>
      <w:tr>
        <w:tc>
          <w:tcPr>
            <w:tcW w:type="pct" w:w="3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GHS08 — Zagrożenie dla zdrowia</w:t>
            </w:r>
          </w:p>
        </w:tc>
        <w:tc>
          <w:tcPr>
            <w:tcW w:type="pct" w:w="7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Substancje rakotwórcze, mutagenne, działające na rozrodczość lub drogi oddechowe.</w:t>
            </w:r>
          </w:p>
        </w:tc>
      </w:tr>
      <w:tr>
        <w:tc>
          <w:tcPr>
            <w:tcW w:type="pct" w:w="3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GHS09 — Środowisko</w:t>
            </w:r>
          </w:p>
        </w:tc>
        <w:tc>
          <w:tcPr>
            <w:tcW w:type="pct" w:w="7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Substancje niebezpieczne dla środowiska wodnego.</w:t>
            </w:r>
          </w:p>
        </w:tc>
      </w:tr>
      <w:tr>
        <w:tc>
          <w:tcPr>
            <w:tcW w:type="pct" w:w="3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Hasło „Niebezpieczeństwo”</w:t>
            </w:r>
          </w:p>
        </w:tc>
        <w:tc>
          <w:tcPr>
            <w:tcW w:type="pct" w:w="7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Wyższy stopień zagrożenia — wymaga zachowania szczególnej ostrożności.</w:t>
            </w:r>
          </w:p>
        </w:tc>
      </w:tr>
      <w:tr>
        <w:tc>
          <w:tcPr>
            <w:tcW w:type="pct" w:w="3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Hasło „Uwaga”</w:t>
            </w:r>
          </w:p>
        </w:tc>
        <w:tc>
          <w:tcPr>
            <w:tcW w:type="pct" w:w="7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Niższy stopień zagrożenia — ale wciąż wymaga stosowania środków ochrony.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3. Czynności przed rozpoczęciem pracy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Zapoznanie się z kartą charakterystyki substancji (sekcje 2, 4, 6, 7, 8 — zagrożenia, pierwsza pomoc, postępowanie w razie awarii, obchodzenie się i przechowywanie, kontrola narażenia/ochrona osobista),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Sprawdzenie sprawności wentylacji miejscowej/ogólnej oraz dostępności środków ochrony indywidualnej wskazanych w karcie charakterystyki,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Przygotowanie stanowiska pracy — usunięcie źródeł zapłonu w przypadku substancji łatwopalnych, zabezpieczenie przed rozlaniem,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Sprawdzenie dostępności środków do neutralizacji rozlania oraz wyposażenia do udzielania pierwszej pomocy.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4. Zasady bezpiecznego postępowania w trakcie pracy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Stosować substancję wyłącznie zgodnie z jej przeznaczeniem oraz w ilościach niezbędnych do wykonania danej czynności,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Używać przewidzianych środków ochrony indywidualnej (rękawice, okulary/gogle, odzież ochronna, ochrona dróg oddechowych — zgodnie z kartą charakterystyki),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spożywać posiłków, napojów ani nie palić tytoniu w miejscu pracy z substancjami chemicznymi,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Przechowywać substancje w oryginalnych, szczelnie zamkniętych opakowaniach, z dala od źródeł ciepła i w miejscach wyznaczonych,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Substancje niekompatybilne (np. utleniacze i materiały palne, kwasy i zasady) przechowywać oddzielnie.</w:t>
      </w:r>
    </w:p>
    <w:p>
      <w:pPr>
        <w:spacing w:before="16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tcBorders>
              <w:top w:val="single" w:color="FBE1E1" w:sz="4"/>
              <w:left w:val="single" w:color="C0392B" w:sz="28"/>
              <w:bottom w:val="single" w:color="FBE1E1" w:sz="4"/>
              <w:right w:val="single" w:color="FBE1E1" w:sz="4"/>
            </w:tcBorders>
            <w:shd w:fill="FBE1E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F2328"/>
                <w:sz w:val="20"/>
                <w:szCs w:val="20"/>
              </w:rPr>
              <w:t xml:space="preserve">Nie wolno mieszać substancji chemicznych ze sobą, chyba że producent wyraźnie na to zezwala. Niektóre kombinacje (np. wybielacz z amoniakiem lub kwasami) wytwarzają toksyczne gazy i mogą zagrażać życiu.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5. Czynności po zakończeniu pracy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Szczelne zamknięcie i odłożenie opakowań na wyznaczone miejsce,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Umycie rąk i odsłoniętych części ciała zgodnie z zaleceniami karty charakterystyki,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Uporządkowanie stanowiska pracy oraz sprawdzenie braku wycieków.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6. Postępowanie w sytuacjach awaryjnych</w:t>
      </w:r>
    </w:p>
    <w:p>
      <w:pPr>
        <w:spacing w:after="60"/>
        <w:jc w:val="both"/>
      </w:pPr>
      <w:r>
        <w:rPr>
          <w:rFonts w:ascii="Calibri" w:cs="Calibri" w:eastAsia="Calibri" w:hAnsi="Calibri"/>
          <w:b/>
          <w:bCs/>
          <w:color w:val="1F2328"/>
          <w:sz w:val="21"/>
          <w:szCs w:val="21"/>
        </w:rPr>
        <w:t xml:space="preserve">Rozlanie/wyciek substancji: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Odizolować obszar, ograniczyć dostęp osób postronnych,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Użyć środków neutralizujących/wchłaniających wskazanych w karcie charakterystyki (sekcja 6),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Zapewnić wentylację pomieszczenia, unikać wdychania oparów,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Zebrane odpady umieścić w odpowiednio oznakowanych pojemnikach i przekazać do utylizacji zgodnie z przepisami o odpadach.</w:t>
      </w:r>
    </w:p>
    <w:p>
      <w:pPr>
        <w:spacing w:after="60"/>
        <w:jc w:val="both"/>
      </w:pPr>
      <w:r>
        <w:rPr>
          <w:rFonts w:ascii="Calibri" w:cs="Calibri" w:eastAsia="Calibri" w:hAnsi="Calibri"/>
          <w:b/>
          <w:bCs/>
          <w:color w:val="1F2328"/>
          <w:sz w:val="21"/>
          <w:szCs w:val="21"/>
        </w:rPr>
        <w:t xml:space="preserve">Kontakt ze skórą lub oczami: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Natychmiast przemyć skażone miejsce dużą ilością bieżącej wody (co najmniej 15 minut przy kontakcie z oczami),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Zdjąć skażoną odzież, unikając kontaktu z czystą skórą,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utrzymujących się objawów niezwłocznie skontaktować się z lekarzem, zabierając ze sobą kartę charakterystyki substancji.</w:t>
      </w:r>
    </w:p>
    <w:p>
      <w:pPr>
        <w:spacing w:after="60"/>
        <w:jc w:val="both"/>
      </w:pPr>
      <w:r>
        <w:rPr>
          <w:rFonts w:ascii="Calibri" w:cs="Calibri" w:eastAsia="Calibri" w:hAnsi="Calibri"/>
          <w:b/>
          <w:bCs/>
          <w:color w:val="1F2328"/>
          <w:sz w:val="21"/>
          <w:szCs w:val="21"/>
        </w:rPr>
        <w:t xml:space="preserve">Pożar z udziałem substancji chemicznych: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Postępować zgodnie z instrukcją postępowania na wypadek pożaru (dokument E.6), z uwzględnieniem informacji o sposobie gaszenia wskazanym w karcie charakterystyki (sekcja 5).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7. Pierwsza pomoc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Szczegółowe zasady udzielania pierwszej pomocy w razie zatrucia, poparzenia chemicznego lub innego narażenia — patrz karta charakterystyki substancji (sekcja 4) oraz instrukcja udzielania pierwszej pomocy (dokument E.5).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8. Postępowanie z odpadami chemicznymi</w:t>
      </w:r>
    </w:p>
    <w:p>
      <w:pPr>
        <w:spacing w:after="16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Puste opakowania oraz pozostałości substancji niebezpiecznych stanowią odpady niebezpieczne i podlegają segregacji oraz przekazaniu uprawnionym podmiotom zajmującym się gospodarką odpadami.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tcBorders>
              <w:top w:val="single" w:color="FFF3CD" w:sz="4"/>
              <w:left w:val="single" w:color="B8860B" w:sz="28"/>
              <w:bottom w:val="single" w:color="FFF3CD" w:sz="4"/>
              <w:right w:val="single" w:color="FFF3CD" w:sz="4"/>
            </w:tcBorders>
            <w:shd w:fill="FFF3C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F2328"/>
                <w:sz w:val="20"/>
                <w:szCs w:val="20"/>
              </w:rPr>
              <w:t xml:space="preserve">Zabrania się wylewania substancji chemicznych i ich pozostałości do kanalizacji oraz wyrzucania opakowań po nich do odpadów komunalnych.</w:t>
            </w:r>
          </w:p>
        </w:tc>
      </w:tr>
    </w:tbl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9. Postanowienia końcowe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podlega przeglądowi nie rzadziej niż raz w roku oraz każdorazowo po zmianie stosowanych substancji, wprowadzeniu nowych kart charakterystyki lub wystąpieniu zdarzenia związanego z substancją niebezpieczną.</w:t>
      </w:r>
    </w:p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10. Historia zmian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Wersja</w:t>
            </w:r>
          </w:p>
        </w:tc>
        <w:tc>
          <w:tcPr>
            <w:tcW w:type="pct" w:w="18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pct" w:w="5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Opis zmian</w:t>
            </w:r>
          </w:p>
        </w:tc>
        <w:tc>
          <w:tcPr>
            <w:tcW w:type="pct" w:w="2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Zmienił</w:t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1.0</w:t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Wydanie pierwsze</w:t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Opracował — Specjalista ds. bhp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Zatwierdził — Pracodawca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 i pieczęć: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7DB" w:sz="6" w:space="4"/>
      </w:pBdr>
      <w:tabs>
        <w:tab w:val="right" w:pos="9026"/>
      </w:tabs>
    </w:pPr>
    <w:r>
      <w:rPr>
        <w:rFonts w:ascii="Calibri" w:cs="Calibri" w:eastAsia="Calibri" w:hAnsi="Calibri"/>
        <w:i/>
        <w:iCs/>
        <w:color w:val="545B66"/>
        <w:sz w:val="15"/>
        <w:szCs w:val="15"/>
      </w:rPr>
      <w:t xml:space="preserve">E.4 — dokument BHP · wzór do dostosowania do specyfiki zakładu pracy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545B66"/>
        <w:sz w:val="15"/>
        <w:szCs w:val="15"/>
      </w:rPr>
      <w:t xml:space="preserve">Str.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45B66"/>
        <w:sz w:val="15"/>
        <w:szCs w:val="15"/>
      </w:rPr>
      <w:t xml:space="preserve"> /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100"/>
    </w:tblGrid>
    <w:tr>
      <w:tc>
        <w:tcPr>
          <w:tcW w:type="pct" w:w="100%"/>
          <w:tcBorders>
            <w:top w:val="none"/>
            <w:left w:val="none"/>
            <w:bottom w:val="none"/>
            <w:right w:val="none"/>
          </w:tcBorders>
          <w:shd w:fill="24272C" w:val="clear"/>
          <w:tcMar>
            <w:top w:type="dxa" w:w="120"/>
            <w:left w:type="dxa" w:w="150"/>
            <w:bottom w:type="dxa" w:w="120"/>
            <w:right w:type="dxa" w:w="150"/>
          </w:tcMar>
        </w:tcPr>
        <w:p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[ MIEJSCE NA LOGO ]</w:t>
          </w:r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      Nazwa firmy / konsultanta BHP      www.twojastrona.pl</w:t>
          </w:r>
        </w:p>
      </w:tc>
    </w:tr>
  </w:tbl>
  <w:p>
    <w:pPr>
      <w:pBdr>
        <w:bottom w:val="single" w:color="0E7C7A" w:sz="24" w:space="1"/>
      </w:pBdr>
      <w:spacing w:after="0" w:before="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2026-08-24T14:08:38.435Z</dcterms:created>
  <dcterms:modified xsi:type="dcterms:W3CDTF">2026-08-24T14:08:38.455Z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