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postępowania na wypadek pożaru i ewakuacji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Instrukcja obowiązkowa — udostępniana w widocznym miejscu, znana każdemu pracownikowi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Ustawa z 24.08.1991 r. o ochronie przeciwpożarowej; Rozporządzenie MSWiA z 7.06.2010 r. w sprawie ochrony ppoż. budynków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INS-BHP-006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Niniejsza instrukcja obowiązuje WSZYSTKICH pracowników i gości przebywających na terenie zakładu. Znajomość dróg ewakuacyjnych i punktu zbiórki jest obowiązkowa dla każdego.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Punkt(y) zbiórki po ewakuacji: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Osoba odpowiedzialna za ewakuację / koordynator: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Postępowanie w przypadku zauważenia pożaru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spokój — nie wpadaj w panikę,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Natychmiast zaalarmuj osoby znajdujące się w strefie zagrożenia (głośno „POŻAR!”, użyj przycisku ROP jeśli jest dostępny),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Zawiadom straż pożarną — telefon alarmowy 998 lub 112, podając: adres i nazwę obiektu, co się pali, czy są osoby zagrożone, swoje imię i nazwisko oraz numer telefonu,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Zawiadom przełożonego / koordynatora ewakuacji,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pożar jest w zarodku i nie zagraża Twojemu bezpieczeństwu — podejmij próbę gaszenia przy użyciu podręcznego sprzętu gaśniczego,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Jeśli nie możesz ugasić pożaru — niezwłocznie opuść zagrożony obszar, zamykając za sobą drzwi (bez ich blokowania na klucz).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Zasady ewakuacji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Ewakuację ogłasza koordynator ewakuacji lub osoba, która zauważyła zagrożenie,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Poruszaj się oznakowanymi drogami i wyjściami ewakuacyjnymi zgodnie z planem ewakuacji wywieszonym w budynku,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korzystaj z wind — poruszaj się wyłącznie klatkami schodowymi,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spokój, nie biegnij, pomagaj osobom, które tego potrzebują (niepełnosprawnym, gościom),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 opuszczeniu budynku udaj się do wyznaczonego punktu zbiórki i pozostań tam do odwołania,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Koordynator ewakuacji lub osoba wyznaczona sprawdza obecność pracowników na liście i zgłasza przybyłym służbom ratowniczym informację o ewentualnych osobach zaginionych.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Użycie podręcznego sprzętu gaśniczego</w:t>
      </w:r>
    </w:p>
    <w:p>
      <w:pPr>
        <w:spacing w:after="60"/>
        <w:jc w:val="both"/>
      </w:pPr>
      <w:r>
        <w:rPr>
          <w:rFonts w:ascii="Calibri" w:cs="Calibri" w:eastAsia="Calibri" w:hAnsi="Calibri"/>
          <w:b/>
          <w:bCs/>
          <w:color w:val="1F2328"/>
          <w:sz w:val="21"/>
          <w:szCs w:val="21"/>
        </w:rPr>
        <w:t xml:space="preserve">Zasada PASS (skrót stosowany przy gaśnicach):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 — Pociągnij zawleczkę zabezpieczającą,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A — (Aim) Wyceluj dyszę w podstawę ognia, nie w płomienie,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 — (Squeeze) Ściśnij dźwignię, uwalniając środek gaśniczy,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 — (Sweep) Wykonuj ruch zamiatający, obejmując całą podstawę ognia.</w:t>
      </w:r>
    </w:p>
    <w:p>
      <w:pPr>
        <w:spacing w:after="20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Rodzaj gaśnicy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Grupa pożarów</w:t>
            </w:r>
          </w:p>
        </w:tc>
        <w:tc>
          <w:tcPr>
            <w:tcW w:type="pct" w:w="5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Zastosowanie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Proszkowa (ABC)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A, B, C</w:t>
            </w:r>
          </w:p>
        </w:tc>
        <w:tc>
          <w:tcPr>
            <w:tcW w:type="pct" w:w="5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Uniwersalna — ciała stałe, ciecze, gazy palne. Najczęściej spotykana.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Śniegowa (CO₂)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B, C (+ urządzenia elektryczne)</w:t>
            </w:r>
          </w:p>
        </w:tc>
        <w:tc>
          <w:tcPr>
            <w:tcW w:type="pct" w:w="5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Urządzenia elektryczne pod napięciem, ciecze i gazy palne — nie zostawia zanieczyszczeń.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Pianowa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A, B</w:t>
            </w:r>
          </w:p>
        </w:tc>
        <w:tc>
          <w:tcPr>
            <w:tcW w:type="pct" w:w="5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Ciała stałe i ciecze palne — nie stosować przy urządzeniach pod napięciem.</w:t>
            </w:r>
          </w:p>
        </w:tc>
      </w:tr>
      <w:tr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Wodna z dodatkami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A</w:t>
            </w:r>
          </w:p>
        </w:tc>
        <w:tc>
          <w:tcPr>
            <w:tcW w:type="pct" w:w="5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Materiały stałe pochodzenia organicznego (drewno, papier, tekstylia).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Zabrania się gaszenia urządzeń elektrycznych pod napięciem wodą lub gaśnicą pianową — grozi to porażeniem prądem. Używaj wyłącznie gaśnicy śniegowej (CO₂) lub proszkowej.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Bezwzględne zakazy podczas pożaru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korzystania z wind podczas ewakuacji,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gaszenia urządzeń elektrycznych pod napięciem wodą lub gaśnicą pianową,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powrotu do budynku po rzeczy osobiste przed odwołaniem alarmu przez służby,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blokowania, zastawiania i zamykania na klucz dróg i wyjść ewakuacyjnych.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Osoby odpowiedzialne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Koordynator ewakuacji odpowiada za sprawne przeprowadzenie ewakuacji, sprawdzenie obecności pracowników w punkcie zbiórki oraz przekazanie informacji przybyłym służbom ratowniczym. Pracodawca zapewnia okresowe (co najmniej raz na 2 lata) praktyczne sprawdzenie organizacji ewakuacji (próbna ewakuacja).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po zdarzeniu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Po zakończeniu akcji ratowniczej i uzyskaniu zgody służb na powrót do budynku, zdarzenie należy udokumentować, a jeśli doszło do wypadku przy pracy — zastosować procedurę zgłaszania wypadków (patrz dokumenty z kategorii C — Dokumentacja wypadkowa).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roku, po każdej próbnej ewakuacji oraz po zmianie organizacji dróg ewakuacyjnych lub rozmieszczenia sprzętu ppoż.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2026-08-24T14:10:21.702Z</dcterms:created>
  <dcterms:modified xsi:type="dcterms:W3CDTF">2026-08-24T14:10:21.703Z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