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0E7C7A"/>
          <w:sz w:val="30"/>
          <w:szCs w:val="30"/>
        </w:rPr>
        <w:t xml:space="preserve">M.2   </w:t>
      </w:r>
      <w:r>
        <w:rPr>
          <w:rFonts w:ascii="Calibri" w:cs="Calibri" w:eastAsia="Calibri" w:hAnsi="Calibri"/>
          <w:b/>
          <w:bCs/>
          <w:color w:val="24272C"/>
          <w:sz w:val="30"/>
          <w:szCs w:val="30"/>
        </w:rPr>
        <w:t xml:space="preserve">Roczna analiza stanu bezpieczeństwa i higieny pracy w zakładzie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Obowiązkowy dokument sporządzany przez służbę bhp i przedstawiany pracodawcy nie rzadziej niż raz w roku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0E7C7A"/>
          <w:sz w:val="17"/>
          <w:szCs w:val="17"/>
        </w:rPr>
        <w:t xml:space="preserve">Podstawa prawna: § 2 ust. 1 pkt 3 Rozporządzenia RM z 2.09.1997 r. w sprawie służby bezpieczeństwa i higieny pracy</w:t>
      </w:r>
    </w:p>
    <w:p>
      <w:pPr>
        <w:pBdr>
          <w:bottom w:val="single" w:color="0E7C7A" w:sz="16" w:space="1"/>
        </w:pBd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Numer dokumentu:</w:t>
            </w:r>
          </w:p>
        </w:tc>
        <w:tc>
          <w:tcPr>
            <w:tcW w:type="pct" w:w="2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4272C"/>
                <w:sz w:val="19"/>
                <w:szCs w:val="19"/>
              </w:rPr>
              <w:t xml:space="preserve">ANALIZA-BHP</w:t>
            </w:r>
          </w:p>
        </w:tc>
        <w:tc>
          <w:tcPr>
            <w:tcW w:type="pct" w:w="2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Rok, którego dotyczy analiza:</w:t>
            </w:r>
          </w:p>
        </w:tc>
        <w:tc>
          <w:tcPr>
            <w:tcW w:type="pct" w:w="2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4272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Opracował:</w:t>
            </w:r>
          </w:p>
        </w:tc>
        <w:tc>
          <w:tcPr>
            <w:tcW w:type="pct" w:w="2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4272C"/>
                <w:sz w:val="19"/>
                <w:szCs w:val="19"/>
              </w:rPr>
              <w:t xml:space="preserve">Specjalista ds. bhp</w:t>
            </w:r>
          </w:p>
        </w:tc>
        <w:tc>
          <w:tcPr>
            <w:tcW w:type="pct" w:w="2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Data opracowania:</w:t>
            </w:r>
          </w:p>
        </w:tc>
        <w:tc>
          <w:tcPr>
            <w:tcW w:type="pct" w:w="2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4272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Przedstawiono pracodawcy w dniu:</w:t>
            </w:r>
          </w:p>
        </w:tc>
        <w:tc>
          <w:tcPr>
            <w:tcW w:type="pct" w:w="2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4272C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Zatwierdził:</w:t>
            </w:r>
          </w:p>
        </w:tc>
        <w:tc>
          <w:tcPr>
            <w:tcW w:type="pct" w:w="2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4272C"/>
                <w:sz w:val="19"/>
                <w:szCs w:val="19"/>
              </w:rPr>
              <w:t xml:space="preserve">Pracodawca</w:t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E4F2F1" w:sz="4"/>
              <w:left w:val="single" w:color="0E7C7A" w:sz="28"/>
              <w:bottom w:val="single" w:color="E4F2F1" w:sz="4"/>
              <w:right w:val="single" w:color="E4F2F1" w:sz="4"/>
            </w:tcBorders>
            <w:shd w:fill="E4F2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24272C"/>
                <w:sz w:val="20"/>
                <w:szCs w:val="20"/>
              </w:rPr>
              <w:t xml:space="preserve">Analiza roczna jest jednym z podstawowych narzędzi oceny skuteczności systemu zarządzania bhp w zakładzie — jej wnioski powinny bezpośrednio przekładać się na plan działań na kolejny rok.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8"/>
        </w:pBdr>
        <w:spacing w:after="140" w:before="280"/>
        <w:ind w:left="20"/>
      </w:pPr>
      <w:r>
        <w:rPr>
          <w:rFonts w:ascii="Calibri" w:cs="Calibri" w:eastAsia="Calibri" w:hAnsi="Calibri"/>
          <w:b/>
          <w:bCs/>
          <w:color w:val="24272C"/>
          <w:sz w:val="24"/>
          <w:szCs w:val="24"/>
        </w:rPr>
        <w:t xml:space="preserve">1. Wstęp i zakres analizy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72C"/>
          <w:sz w:val="21"/>
          <w:szCs w:val="21"/>
        </w:rPr>
        <w:t xml:space="preserve">Niniejsza analiza obejmuje ocenę stanu bezpieczeństwa i higieny pracy w zakładzie za okres wskazany w metryce dokumentu, sporządzoną na podstawie danych z rejestrów, kontroli, ocen ryzyka zawodowego oraz obserwacji własnych służby bhp. Struktura analizy uwzględnia zagadnienia wskazane w dobrej praktyce sporządzania rocznych analiz stanu bhp.</w:t>
      </w:r>
    </w:p>
    <w:p>
      <w:pPr>
        <w:pBdr>
          <w:left w:val="single" w:color="0E7C7A" w:sz="24" w:space="8"/>
        </w:pBdr>
        <w:spacing w:after="140" w:before="280"/>
        <w:ind w:left="20"/>
      </w:pPr>
      <w:r>
        <w:rPr>
          <w:rFonts w:ascii="Calibri" w:cs="Calibri" w:eastAsia="Calibri" w:hAnsi="Calibri"/>
          <w:b/>
          <w:bCs/>
          <w:color w:val="24272C"/>
          <w:sz w:val="24"/>
          <w:szCs w:val="24"/>
        </w:rPr>
        <w:t xml:space="preserve">2. Struktura zatrudnienia i charakterystyka zakładu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9"/>
                <w:szCs w:val="19"/>
              </w:rPr>
              <w:t xml:space="preserve">Liczba zatrudnionych na koniec okresu:</w:t>
            </w:r>
          </w:p>
        </w:tc>
        <w:tc>
          <w:tcPr>
            <w:tcW w:type="pct" w:w="5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4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9"/>
                <w:szCs w:val="19"/>
              </w:rPr>
              <w:t xml:space="preserve">Liczba stanowisk pracy:</w:t>
            </w:r>
          </w:p>
        </w:tc>
        <w:tc>
          <w:tcPr>
            <w:tcW w:type="pct" w:w="5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4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9"/>
                <w:szCs w:val="19"/>
              </w:rPr>
              <w:t xml:space="preserve">Zmiany organizacyjne w analizowanym okresie:</w:t>
            </w:r>
          </w:p>
        </w:tc>
        <w:tc>
          <w:tcPr>
            <w:tcW w:type="pct" w:w="5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4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9"/>
                <w:szCs w:val="19"/>
              </w:rPr>
              <w:t xml:space="preserve">Nowe maszyny/procesy wprowadzone w okresie:</w:t>
            </w:r>
          </w:p>
        </w:tc>
        <w:tc>
          <w:tcPr>
            <w:tcW w:type="pct" w:w="5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pBdr>
          <w:left w:val="single" w:color="0E7C7A" w:sz="24" w:space="8"/>
        </w:pBdr>
        <w:spacing w:after="140" w:before="280"/>
        <w:ind w:left="20"/>
      </w:pPr>
      <w:r>
        <w:rPr>
          <w:rFonts w:ascii="Calibri" w:cs="Calibri" w:eastAsia="Calibri" w:hAnsi="Calibri"/>
          <w:b/>
          <w:bCs/>
          <w:color w:val="24272C"/>
          <w:sz w:val="24"/>
          <w:szCs w:val="24"/>
        </w:rPr>
        <w:t xml:space="preserve">3. Badania profilaktyczne pracowników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9"/>
                <w:szCs w:val="19"/>
              </w:rPr>
              <w:t xml:space="preserve">Liczba pracowników z aktualnymi badaniami profilaktycznymi na koniec okresu:</w:t>
            </w:r>
          </w:p>
        </w:tc>
        <w:tc>
          <w:tcPr>
            <w:tcW w:type="pct" w:w="5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4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9"/>
                <w:szCs w:val="19"/>
              </w:rPr>
              <w:t xml:space="preserve">Liczba pracowników z przeterminowanymi badaniami na koniec okresu:</w:t>
            </w:r>
          </w:p>
        </w:tc>
        <w:tc>
          <w:tcPr>
            <w:tcW w:type="pct" w:w="5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4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9"/>
                <w:szCs w:val="19"/>
              </w:rPr>
              <w:t xml:space="preserve">Liczba badań wstępnych / okresowych / kontrolnych wykonanych w okresie:</w:t>
            </w:r>
          </w:p>
        </w:tc>
        <w:tc>
          <w:tcPr>
            <w:tcW w:type="pct" w:w="5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24272C"/>
          <w:sz w:val="17"/>
          <w:szCs w:val="17"/>
        </w:rPr>
        <w:t xml:space="preserve">Podsumowanie na podstawie rejestru badań profilaktycznych i zestawienia terminów ważności (dokumenty B.2, B.3).</w:t>
      </w:r>
    </w:p>
    <w:p>
      <w:pPr>
        <w:pBdr>
          <w:left w:val="single" w:color="0E7C7A" w:sz="24" w:space="8"/>
        </w:pBdr>
        <w:spacing w:after="140" w:before="280"/>
        <w:ind w:left="20"/>
      </w:pPr>
      <w:r>
        <w:rPr>
          <w:rFonts w:ascii="Calibri" w:cs="Calibri" w:eastAsia="Calibri" w:hAnsi="Calibri"/>
          <w:b/>
          <w:bCs/>
          <w:color w:val="24272C"/>
          <w:sz w:val="24"/>
          <w:szCs w:val="24"/>
        </w:rPr>
        <w:t xml:space="preserve">4. Wypadki przy pracy i choroby zawodowe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9"/>
                <w:szCs w:val="19"/>
              </w:rPr>
              <w:t xml:space="preserve">Liczba wypadków przy pracy ogółem:</w:t>
            </w:r>
          </w:p>
        </w:tc>
        <w:tc>
          <w:tcPr>
            <w:tcW w:type="pct" w:w="5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4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9"/>
                <w:szCs w:val="19"/>
              </w:rPr>
              <w:t xml:space="preserve">w tym: lekkie / ciężkie / śmiertelne:</w:t>
            </w:r>
          </w:p>
        </w:tc>
        <w:tc>
          <w:tcPr>
            <w:tcW w:type="pct" w:w="5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4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9"/>
                <w:szCs w:val="19"/>
              </w:rPr>
              <w:t xml:space="preserve">Wskaźnik częstotliwości wypadków (Wc):</w:t>
            </w:r>
          </w:p>
        </w:tc>
        <w:tc>
          <w:tcPr>
            <w:tcW w:type="pct" w:w="5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4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9"/>
                <w:szCs w:val="19"/>
              </w:rPr>
              <w:t xml:space="preserve">Wskaźnik ciężkości wypadków (Wcz):</w:t>
            </w:r>
          </w:p>
        </w:tc>
        <w:tc>
          <w:tcPr>
            <w:tcW w:type="pct" w:w="5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4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9"/>
                <w:szCs w:val="19"/>
              </w:rPr>
              <w:t xml:space="preserve">Liczba stwierdzonych chorób zawodowych:</w:t>
            </w:r>
          </w:p>
        </w:tc>
        <w:tc>
          <w:tcPr>
            <w:tcW w:type="pct" w:w="5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4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9"/>
                <w:szCs w:val="19"/>
              </w:rPr>
              <w:t xml:space="preserve">Liczba dni niezdolności do pracy z powodu wypadków:</w:t>
            </w:r>
          </w:p>
        </w:tc>
        <w:tc>
          <w:tcPr>
            <w:tcW w:type="pct" w:w="5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spacing w:after="1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24272C"/>
          <w:sz w:val="18"/>
          <w:szCs w:val="18"/>
        </w:rPr>
        <w:t xml:space="preserve">Główne przyczyny zaistniałych wypadków oraz wnioski profilaktyczne (odniesienie do dokumentu C.10):</w:t>
      </w:r>
    </w:p>
    <w:p>
      <w:pPr>
        <w:pBdr>
          <w:bottom w:val="single" w:color="D9DCE1" w:sz="6" w:space="4"/>
        </w:pBd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pBdr>
          <w:bottom w:val="single" w:color="D9DCE1" w:sz="6" w:space="4"/>
        </w:pBd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pBdr>
          <w:bottom w:val="single" w:color="D9DCE1" w:sz="6" w:space="4"/>
        </w:pBd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spacing w:before="200"/>
      </w:pPr>
    </w:p>
    <w:p>
      <w:pPr>
        <w:pBdr>
          <w:left w:val="single" w:color="0E7C7A" w:sz="24" w:space="8"/>
        </w:pBdr>
        <w:spacing w:after="140" w:before="280"/>
        <w:ind w:left="20"/>
      </w:pPr>
      <w:r>
        <w:rPr>
          <w:rFonts w:ascii="Calibri" w:cs="Calibri" w:eastAsia="Calibri" w:hAnsi="Calibri"/>
          <w:b/>
          <w:bCs/>
          <w:color w:val="24272C"/>
          <w:sz w:val="24"/>
          <w:szCs w:val="24"/>
        </w:rPr>
        <w:t xml:space="preserve">5. Zdarzenia potencjalnie wypadkowe (near-miss)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9"/>
                <w:szCs w:val="19"/>
              </w:rPr>
              <w:t xml:space="preserve">Liczba zgłoszonych zdarzeń potencjalnie wypadkowych w okresie:</w:t>
            </w:r>
          </w:p>
        </w:tc>
        <w:tc>
          <w:tcPr>
            <w:tcW w:type="pct" w:w="5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4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9"/>
                <w:szCs w:val="19"/>
              </w:rPr>
              <w:t xml:space="preserve">Liczba wdrożonych działań zapobiegawczych na ich podstawie:</w:t>
            </w:r>
          </w:p>
        </w:tc>
        <w:tc>
          <w:tcPr>
            <w:tcW w:type="pct" w:w="5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spacing w:after="1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24272C"/>
          <w:sz w:val="18"/>
          <w:szCs w:val="18"/>
        </w:rPr>
        <w:t xml:space="preserve">Zaobserwowane trendy i najczęstsze rodzaje zgłaszanych zdarzeń, na podstawie rejestru zdarzeń potencjalnie wypadkowych (dokument C.6) oraz procedury E.82:</w:t>
      </w:r>
    </w:p>
    <w:p>
      <w:pPr>
        <w:pBdr>
          <w:bottom w:val="single" w:color="D9DCE1" w:sz="6" w:space="4"/>
        </w:pBd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pBdr>
          <w:bottom w:val="single" w:color="D9DCE1" w:sz="6" w:space="4"/>
        </w:pBd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spacing w:before="200"/>
      </w:pPr>
    </w:p>
    <w:p>
      <w:pPr>
        <w:pBdr>
          <w:left w:val="single" w:color="0E7C7A" w:sz="24" w:space="8"/>
        </w:pBdr>
        <w:spacing w:after="140" w:before="280"/>
        <w:ind w:left="20"/>
      </w:pPr>
      <w:r>
        <w:rPr>
          <w:rFonts w:ascii="Calibri" w:cs="Calibri" w:eastAsia="Calibri" w:hAnsi="Calibri"/>
          <w:b/>
          <w:bCs/>
          <w:color w:val="24272C"/>
          <w:sz w:val="24"/>
          <w:szCs w:val="24"/>
        </w:rPr>
        <w:t xml:space="preserve">6. Wyniki kontroli warunków pracy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9"/>
                <w:szCs w:val="19"/>
              </w:rPr>
              <w:t xml:space="preserve">Liczba przeprowadzonych kontroli wewnętrznych:</w:t>
            </w:r>
          </w:p>
        </w:tc>
        <w:tc>
          <w:tcPr>
            <w:tcW w:type="pct" w:w="5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4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9"/>
                <w:szCs w:val="19"/>
              </w:rPr>
              <w:t xml:space="preserve">Liczba kontroli zewnętrznych PIP w okresie:</w:t>
            </w:r>
          </w:p>
        </w:tc>
        <w:tc>
          <w:tcPr>
            <w:tcW w:type="pct" w:w="5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4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9"/>
                <w:szCs w:val="19"/>
              </w:rPr>
              <w:t xml:space="preserve">Liczba kontroli zewnętrznych PIS (Sanepid) w okresie:</w:t>
            </w:r>
          </w:p>
        </w:tc>
        <w:tc>
          <w:tcPr>
            <w:tcW w:type="pct" w:w="5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4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9"/>
                <w:szCs w:val="19"/>
              </w:rPr>
              <w:t xml:space="preserve">Liczba kontroli zewnętrznych PSP (straż pożarna) w okresie:</w:t>
            </w:r>
          </w:p>
        </w:tc>
        <w:tc>
          <w:tcPr>
            <w:tcW w:type="pct" w:w="5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4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9"/>
                <w:szCs w:val="19"/>
              </w:rPr>
              <w:t xml:space="preserve">Liczba kontroli/badań UDT w okresie:</w:t>
            </w:r>
          </w:p>
        </w:tc>
        <w:tc>
          <w:tcPr>
            <w:tcW w:type="pct" w:w="5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4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9"/>
                <w:szCs w:val="19"/>
              </w:rPr>
              <w:t xml:space="preserve">Liczba kontroli ZUS w okresie:</w:t>
            </w:r>
          </w:p>
        </w:tc>
        <w:tc>
          <w:tcPr>
            <w:tcW w:type="pct" w:w="5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4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9"/>
                <w:szCs w:val="19"/>
              </w:rPr>
              <w:t xml:space="preserve">Liczba wydanych nakazów/zaleceń przez organy zewnętrzne:</w:t>
            </w:r>
          </w:p>
        </w:tc>
        <w:tc>
          <w:tcPr>
            <w:tcW w:type="pct" w:w="5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4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9"/>
                <w:szCs w:val="19"/>
              </w:rPr>
              <w:t xml:space="preserve">Liczba zaleceń zrealizowanych / w toku / przeterminowanych:</w:t>
            </w:r>
          </w:p>
        </w:tc>
        <w:tc>
          <w:tcPr>
            <w:tcW w:type="pct" w:w="5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24272C"/>
          <w:sz w:val="17"/>
          <w:szCs w:val="17"/>
        </w:rPr>
        <w:t xml:space="preserve">Podsumowanie na podstawie rejestru kontroli (dokument M.3) i rejestru zaleceń pokontrolnych (dokument M.6).</w:t>
      </w:r>
    </w:p>
    <w:p>
      <w:pPr>
        <w:pBdr>
          <w:left w:val="single" w:color="0E7C7A" w:sz="24" w:space="8"/>
        </w:pBdr>
        <w:spacing w:after="140" w:before="280"/>
        <w:ind w:left="20"/>
      </w:pPr>
      <w:r>
        <w:rPr>
          <w:rFonts w:ascii="Calibri" w:cs="Calibri" w:eastAsia="Calibri" w:hAnsi="Calibri"/>
          <w:b/>
          <w:bCs/>
          <w:color w:val="24272C"/>
          <w:sz w:val="24"/>
          <w:szCs w:val="24"/>
        </w:rPr>
        <w:t xml:space="preserve">7. Działalność komisji BHP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9"/>
                <w:szCs w:val="19"/>
              </w:rPr>
              <w:t xml:space="preserve">Liczba posiedzeń komisji bhp w okresie (jeśli dotyczy):</w:t>
            </w:r>
          </w:p>
        </w:tc>
        <w:tc>
          <w:tcPr>
            <w:tcW w:type="pct" w:w="5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4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9"/>
                <w:szCs w:val="19"/>
              </w:rPr>
              <w:t xml:space="preserve">Liczba wniosków/zadań sformułowanych przez komisję:</w:t>
            </w:r>
          </w:p>
        </w:tc>
        <w:tc>
          <w:tcPr>
            <w:tcW w:type="pct" w:w="5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4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9"/>
                <w:szCs w:val="19"/>
              </w:rPr>
              <w:t xml:space="preserve">Liczba wniosków zrealizowanych:</w:t>
            </w:r>
          </w:p>
        </w:tc>
        <w:tc>
          <w:tcPr>
            <w:tcW w:type="pct" w:w="5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24272C"/>
          <w:sz w:val="17"/>
          <w:szCs w:val="17"/>
        </w:rPr>
        <w:t xml:space="preserve">Kluczowe tematy poruszane na posiedzeniach komisji, na podstawie protokołów (dokument M.4):</w:t>
      </w:r>
    </w:p>
    <w:p>
      <w:pPr>
        <w:pBdr>
          <w:left w:val="single" w:color="0E7C7A" w:sz="24" w:space="8"/>
        </w:pBdr>
        <w:spacing w:after="140" w:before="280"/>
        <w:ind w:left="20"/>
      </w:pPr>
      <w:r>
        <w:rPr>
          <w:rFonts w:ascii="Calibri" w:cs="Calibri" w:eastAsia="Calibri" w:hAnsi="Calibri"/>
          <w:b/>
          <w:bCs/>
          <w:color w:val="24272C"/>
          <w:sz w:val="24"/>
          <w:szCs w:val="24"/>
        </w:rPr>
        <w:t xml:space="preserve">8. Ocena ryzyka zawodowego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9"/>
                <w:szCs w:val="19"/>
              </w:rPr>
              <w:t xml:space="preserve">Liczba stanowisk z aktualną oceną ryzyka:</w:t>
            </w:r>
          </w:p>
        </w:tc>
        <w:tc>
          <w:tcPr>
            <w:tcW w:type="pct" w:w="5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4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9"/>
                <w:szCs w:val="19"/>
              </w:rPr>
              <w:t xml:space="preserve">Liczba stanowisk wymagających aktualizacji oceny:</w:t>
            </w:r>
          </w:p>
        </w:tc>
        <w:tc>
          <w:tcPr>
            <w:tcW w:type="pct" w:w="5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4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9"/>
                <w:szCs w:val="19"/>
              </w:rPr>
              <w:t xml:space="preserve">Stanowiska o podwyższonym ryzyku zidentyfikowane w okresie:</w:t>
            </w:r>
          </w:p>
        </w:tc>
        <w:tc>
          <w:tcPr>
            <w:tcW w:type="pct" w:w="5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pBdr>
          <w:left w:val="single" w:color="0E7C7A" w:sz="24" w:space="8"/>
        </w:pBdr>
        <w:spacing w:after="140" w:before="280"/>
        <w:ind w:left="20"/>
      </w:pPr>
      <w:r>
        <w:rPr>
          <w:rFonts w:ascii="Calibri" w:cs="Calibri" w:eastAsia="Calibri" w:hAnsi="Calibri"/>
          <w:b/>
          <w:bCs/>
          <w:color w:val="24272C"/>
          <w:sz w:val="24"/>
          <w:szCs w:val="24"/>
        </w:rPr>
        <w:t xml:space="preserve">9. Szkolenia bhp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9"/>
                <w:szCs w:val="19"/>
              </w:rPr>
              <w:t xml:space="preserve">Liczba pracowników przeszkolonych (wstępnie):</w:t>
            </w:r>
          </w:p>
        </w:tc>
        <w:tc>
          <w:tcPr>
            <w:tcW w:type="pct" w:w="5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4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9"/>
                <w:szCs w:val="19"/>
              </w:rPr>
              <w:t xml:space="preserve">Liczba pracowników przeszkolonych (okresowo):</w:t>
            </w:r>
          </w:p>
        </w:tc>
        <w:tc>
          <w:tcPr>
            <w:tcW w:type="pct" w:w="5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4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9"/>
                <w:szCs w:val="19"/>
              </w:rPr>
              <w:t xml:space="preserve">Liczba pracowników z przeterminowanym szkoleniem na koniec okresu:</w:t>
            </w:r>
          </w:p>
        </w:tc>
        <w:tc>
          <w:tcPr>
            <w:tcW w:type="pct" w:w="5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pBdr>
          <w:left w:val="single" w:color="0E7C7A" w:sz="24" w:space="8"/>
        </w:pBdr>
        <w:spacing w:after="140" w:before="280"/>
        <w:ind w:left="20"/>
      </w:pPr>
      <w:r>
        <w:rPr>
          <w:rFonts w:ascii="Calibri" w:cs="Calibri" w:eastAsia="Calibri" w:hAnsi="Calibri"/>
          <w:b/>
          <w:bCs/>
          <w:color w:val="24272C"/>
          <w:sz w:val="24"/>
          <w:szCs w:val="24"/>
        </w:rPr>
        <w:t xml:space="preserve">10. Uprawnienia kwalifikacyjne pracowników</w:t>
      </w:r>
    </w:p>
    <w:p>
      <w:pPr>
        <w:spacing w:after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72C"/>
          <w:sz w:val="21"/>
          <w:szCs w:val="21"/>
        </w:rPr>
        <w:t xml:space="preserve">Stan uprawnień operatorskich i zawodowych (m.in. wózki widłowe, spawacze, uprawnienia SEP, obsługa UDT):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9"/>
                <w:szCs w:val="19"/>
              </w:rPr>
              <w:t xml:space="preserve">Liczba pracowników z aktualnymi uprawnieniami kwalifikacyjnymi:</w:t>
            </w:r>
          </w:p>
        </w:tc>
        <w:tc>
          <w:tcPr>
            <w:tcW w:type="pct" w:w="5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4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9"/>
                <w:szCs w:val="19"/>
              </w:rPr>
              <w:t xml:space="preserve">Liczba pracowników z uprawnieniami wygasającymi w ciągu najbliższych 90 dni:</w:t>
            </w:r>
          </w:p>
        </w:tc>
        <w:tc>
          <w:tcPr>
            <w:tcW w:type="pct" w:w="5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24272C"/>
          <w:sz w:val="17"/>
          <w:szCs w:val="17"/>
        </w:rPr>
        <w:t xml:space="preserve">Podsumowanie na podstawie zestawienia uprawnień zawodowych (dokument J.5).</w:t>
      </w:r>
    </w:p>
    <w:p>
      <w:pPr>
        <w:pBdr>
          <w:left w:val="single" w:color="0E7C7A" w:sz="24" w:space="8"/>
        </w:pBdr>
        <w:spacing w:after="140" w:before="280"/>
        <w:ind w:left="20"/>
      </w:pPr>
      <w:r>
        <w:rPr>
          <w:rFonts w:ascii="Calibri" w:cs="Calibri" w:eastAsia="Calibri" w:hAnsi="Calibri"/>
          <w:b/>
          <w:bCs/>
          <w:color w:val="24272C"/>
          <w:sz w:val="24"/>
          <w:szCs w:val="24"/>
        </w:rPr>
        <w:t xml:space="preserve">11. Badania i pomiary czynników szkodliwych</w:t>
      </w:r>
    </w:p>
    <w:p>
      <w:pPr>
        <w:spacing w:after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72C"/>
          <w:sz w:val="21"/>
          <w:szCs w:val="21"/>
        </w:rPr>
        <w:t xml:space="preserve">Podsumowanie wyników pomiarów środowiska pracy (hałas, pyły, czynniki chemiczne, oświetlenie, mikroklimat) — patrz kategoria F. Pomiary środowiska pracy oraz dokument F.10.</w:t>
      </w:r>
    </w:p>
    <w:p>
      <w:pPr>
        <w:spacing w:after="100"/>
        <w:ind w:left="360" w:hanging="260"/>
      </w:pPr>
      <w:r>
        <w:rPr>
          <w:rFonts w:ascii="Calibri" w:cs="Calibri" w:eastAsia="Calibri" w:hAnsi="Calibri"/>
          <w:b/>
          <w:bCs/>
          <w:color w:val="0E7C7A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24272C"/>
          <w:sz w:val="21"/>
          <w:szCs w:val="21"/>
        </w:rPr>
        <w:t xml:space="preserve">Liczba stanowisk z przekroczeniami wartości dopuszczalnych: ……………………………………</w:t>
      </w:r>
    </w:p>
    <w:p>
      <w:pPr>
        <w:spacing w:after="100"/>
        <w:ind w:left="360" w:hanging="260"/>
      </w:pPr>
      <w:r>
        <w:rPr>
          <w:rFonts w:ascii="Calibri" w:cs="Calibri" w:eastAsia="Calibri" w:hAnsi="Calibri"/>
          <w:b/>
          <w:bCs/>
          <w:color w:val="0E7C7A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24272C"/>
          <w:sz w:val="21"/>
          <w:szCs w:val="21"/>
        </w:rPr>
        <w:t xml:space="preserve">Podjęte działania korygujące: ……………………………………</w:t>
      </w:r>
    </w:p>
    <w:p>
      <w:pPr>
        <w:pBdr>
          <w:left w:val="single" w:color="0E7C7A" w:sz="24" w:space="8"/>
        </w:pBdr>
        <w:spacing w:after="140" w:before="280"/>
        <w:ind w:left="20"/>
      </w:pPr>
      <w:r>
        <w:rPr>
          <w:rFonts w:ascii="Calibri" w:cs="Calibri" w:eastAsia="Calibri" w:hAnsi="Calibri"/>
          <w:b/>
          <w:bCs/>
          <w:color w:val="24272C"/>
          <w:sz w:val="24"/>
          <w:szCs w:val="24"/>
        </w:rPr>
        <w:t xml:space="preserve">12. Środki ochrony indywidualnej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72C"/>
          <w:sz w:val="21"/>
          <w:szCs w:val="21"/>
        </w:rPr>
        <w:t xml:space="preserve">Ocena adekwatności doboru i stanu ŚOI na podstawie dokumentów H.1–H.4 oraz zgłoszeń pracowników.</w:t>
      </w:r>
    </w:p>
    <w:p>
      <w:pPr>
        <w:pBdr>
          <w:left w:val="single" w:color="0E7C7A" w:sz="24" w:space="8"/>
        </w:pBdr>
        <w:spacing w:after="140" w:before="280"/>
        <w:ind w:left="20"/>
      </w:pPr>
      <w:r>
        <w:rPr>
          <w:rFonts w:ascii="Calibri" w:cs="Calibri" w:eastAsia="Calibri" w:hAnsi="Calibri"/>
          <w:b/>
          <w:bCs/>
          <w:color w:val="24272C"/>
          <w:sz w:val="24"/>
          <w:szCs w:val="24"/>
        </w:rPr>
        <w:t xml:space="preserve">13. Tematy specyficzne dla branży zakładu</w:t>
      </w:r>
    </w:p>
    <w:p>
      <w:pPr>
        <w:spacing w:after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72C"/>
          <w:sz w:val="21"/>
          <w:szCs w:val="21"/>
        </w:rPr>
        <w:t xml:space="preserve">Poza zagadnieniami standardowymi, w zakładzie mogą występować dodatkowe tematy wynikające ze specyfiki branży lub prowadzonej działalności (np. czynniki CMR/biologiczne, ATEX, dozór techniczny, prace na wysokości). Wypisz, jakie to mogą być tematy w Twoim zakładzie:</w:t>
      </w:r>
    </w:p>
    <w:p>
      <w:pPr>
        <w:pBdr>
          <w:bottom w:val="single" w:color="D9DCE1" w:sz="6" w:space="4"/>
        </w:pBd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pBdr>
          <w:bottom w:val="single" w:color="D9DCE1" w:sz="6" w:space="4"/>
        </w:pBd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pBdr>
          <w:bottom w:val="single" w:color="D9DCE1" w:sz="6" w:space="4"/>
        </w:pBd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pBdr>
          <w:bottom w:val="single" w:color="D9DCE1" w:sz="6" w:space="4"/>
        </w:pBd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spacing w:before="200"/>
      </w:pPr>
    </w:p>
    <w:p>
      <w:pPr>
        <w:pBdr>
          <w:left w:val="single" w:color="0E7C7A" w:sz="24" w:space="8"/>
        </w:pBdr>
        <w:spacing w:after="140" w:before="280"/>
        <w:ind w:left="20"/>
      </w:pPr>
      <w:r>
        <w:rPr>
          <w:rFonts w:ascii="Calibri" w:cs="Calibri" w:eastAsia="Calibri" w:hAnsi="Calibri"/>
          <w:b/>
          <w:bCs/>
          <w:color w:val="24272C"/>
          <w:sz w:val="24"/>
          <w:szCs w:val="24"/>
        </w:rPr>
        <w:t xml:space="preserve">14. Realizacja zaleceń z poprzedniej analizy rocznej</w:t>
      </w:r>
    </w:p>
    <w:p>
      <w:pPr>
        <w:spacing w:after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72C"/>
          <w:sz w:val="21"/>
          <w:szCs w:val="21"/>
        </w:rPr>
        <w:t xml:space="preserve">Stopień realizacji działań zaplanowanych w analizie za poprzedni okres:</w:t>
      </w:r>
    </w:p>
    <w:p>
      <w:pPr>
        <w:pBdr>
          <w:bottom w:val="single" w:color="D9DCE1" w:sz="6" w:space="4"/>
        </w:pBd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pBdr>
          <w:bottom w:val="single" w:color="D9DCE1" w:sz="6" w:space="4"/>
        </w:pBd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pBdr>
          <w:bottom w:val="single" w:color="D9DCE1" w:sz="6" w:space="4"/>
        </w:pBd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spacing w:before="200"/>
      </w:pPr>
    </w:p>
    <w:p>
      <w:pPr>
        <w:pBdr>
          <w:left w:val="single" w:color="0E7C7A" w:sz="24" w:space="8"/>
        </w:pBdr>
        <w:spacing w:after="140" w:before="280"/>
        <w:ind w:left="20"/>
      </w:pPr>
      <w:r>
        <w:rPr>
          <w:rFonts w:ascii="Calibri" w:cs="Calibri" w:eastAsia="Calibri" w:hAnsi="Calibri"/>
          <w:b/>
          <w:bCs/>
          <w:color w:val="24272C"/>
          <w:sz w:val="24"/>
          <w:szCs w:val="24"/>
        </w:rPr>
        <w:t xml:space="preserve">15. Wnioski i rekomendacje na kolejny rok</w:t>
      </w:r>
    </w:p>
    <w:p>
      <w:pPr>
        <w:spacing w:after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72C"/>
          <w:sz w:val="21"/>
          <w:szCs w:val="21"/>
        </w:rPr>
        <w:t xml:space="preserve">Kluczowe wnioski z analizy oraz proponowane priorytetowe działania na kolejny okres:</w:t>
      </w:r>
    </w:p>
    <w:p>
      <w:pPr>
        <w:pBdr>
          <w:bottom w:val="single" w:color="D9DCE1" w:sz="6" w:space="4"/>
        </w:pBd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pBdr>
          <w:bottom w:val="single" w:color="D9DCE1" w:sz="6" w:space="4"/>
        </w:pBd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pBdr>
          <w:bottom w:val="single" w:color="D9DCE1" w:sz="6" w:space="4"/>
        </w:pBd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pBdr>
          <w:bottom w:val="single" w:color="D9DCE1" w:sz="6" w:space="4"/>
        </w:pBd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pBdr>
          <w:bottom w:val="single" w:color="D9DCE1" w:sz="6" w:space="4"/>
        </w:pBd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spacing w:before="400"/>
      </w:pPr>
    </w:p>
    <w:p>
      <w:pPr>
        <w:pBdr>
          <w:left w:val="single" w:color="0E7C7A" w:sz="24" w:space="8"/>
        </w:pBdr>
        <w:spacing w:after="140" w:before="280"/>
        <w:ind w:left="20"/>
      </w:pPr>
      <w:r>
        <w:rPr>
          <w:rFonts w:ascii="Calibri" w:cs="Calibri" w:eastAsia="Calibri" w:hAnsi="Calibri"/>
          <w:b/>
          <w:bCs/>
          <w:color w:val="24272C"/>
          <w:sz w:val="24"/>
          <w:szCs w:val="24"/>
        </w:rPr>
        <w:t xml:space="preserve">Historia zmian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Wersja</w:t>
            </w:r>
          </w:p>
        </w:tc>
        <w:tc>
          <w:tcPr>
            <w:tcW w:type="pct" w:w="18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pct" w:w="50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Opis zmian</w:t>
            </w:r>
          </w:p>
        </w:tc>
        <w:tc>
          <w:tcPr>
            <w:tcW w:type="pct" w:w="20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Zmienił</w:t>
            </w:r>
          </w:p>
        </w:tc>
      </w:tr>
      <w:tr>
        <w:tc>
          <w:tcPr>
            <w:tcW w:type="pct" w:w="1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C"/>
                <w:sz w:val="19"/>
                <w:szCs w:val="19"/>
              </w:rPr>
              <w:t xml:space="preserve">1.0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5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C"/>
                <w:sz w:val="19"/>
                <w:szCs w:val="19"/>
              </w:rPr>
              <w:t xml:space="preserve">Wydanie pierwsze</w:t>
            </w:r>
          </w:p>
        </w:tc>
        <w:tc>
          <w:tcPr>
            <w:tcW w:type="pct" w:w="2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1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5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Opracował — Specjalista ds. bhp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Zatwierdził — Pracodawca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 i pieczęć: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CE1" w:sz="4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6B7280"/>
        <w:sz w:val="15"/>
        <w:szCs w:val="15"/>
      </w:rPr>
      <w:t xml:space="preserve">M.2 — dokument BHP · wzór do dostosowania do specyfiki zakładu pracy</w:t>
    </w:r>
    <w:r>
      <w:rPr>
        <w:rFonts w:ascii="Calibri" w:cs="Calibri" w:eastAsia="Calibri" w:hAnsi="Calibri"/>
        <w:color w:val="6B7280"/>
        <w:sz w:val="15"/>
        <w:szCs w:val="15"/>
      </w:rPr>
      <w:t xml:space="preserve">	Str. </w:t>
    </w:r>
    <w:r>
      <w:rPr>
        <w:rFonts w:ascii="Calibri" w:cs="Calibri" w:eastAsia="Calibri" w:hAnsi="Calibri"/>
        <w:b/>
        <w:bCs/>
        <w:color w:val="0E7C7A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5"/>
        <w:szCs w:val="15"/>
      </w:rPr>
      <w:t xml:space="preserve"> / </w:t>
    </w:r>
    <w:r>
      <w:rPr>
        <w:rFonts w:ascii="Calibri" w:cs="Calibri" w:eastAsia="Calibri" w:hAnsi="Calibri"/>
        <w:b/>
        <w:bCs/>
        <w:color w:val="0E7C7A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7C7A" w:sz="12" w:space="4"/>
      </w:pBdr>
      <w:shd w:fill="24272C" w:val="clear"/>
      <w:tabs>
        <w:tab w:val="right" w:pos="9026"/>
      </w:tabs>
    </w:pPr>
    <w:r>
      <w:rPr>
        <w:rFonts w:ascii="Calibri" w:cs="Calibri" w:eastAsia="Calibri" w:hAnsi="Calibri"/>
        <w:b/>
        <w:bCs/>
        <w:color w:val="FFFFFF"/>
        <w:sz w:val="16"/>
        <w:szCs w:val="16"/>
      </w:rPr>
      <w:t xml:space="preserve">  [ MIEJSCE NA LOGO ]     Nazwa firmy / konsultanta BHP     www.twojastrona.pl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2026-09-02T19:51:19.352Z</dcterms:created>
  <dcterms:modified xsi:type="dcterms:W3CDTF">2026-09-02T19:51:19.364Z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