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0E7C7A"/>
          <w:sz w:val="30"/>
          <w:szCs w:val="30"/>
        </w:rPr>
        <w:t xml:space="preserve">O.4   </w:t>
      </w:r>
      <w:r>
        <w:rPr>
          <w:rFonts w:ascii="Calibri" w:cs="Calibri" w:eastAsia="Calibri" w:hAnsi="Calibri"/>
          <w:b/>
          <w:bCs/>
          <w:color w:val="24272C"/>
          <w:sz w:val="30"/>
          <w:szCs w:val="30"/>
        </w:rPr>
        <w:t xml:space="preserve">Umowa / zlecenie obsługi BHP z zewnętrznym specjalistą (JDG / firma BHP)</w:t>
      </w:r>
    </w:p>
    <w:p>
      <w:pPr>
        <w:spacing w:after="60"/>
      </w:pPr>
      <w:r>
        <w:rPr>
          <w:rFonts w:ascii="Calibri" w:cs="Calibri" w:eastAsia="Calibri" w:hAnsi="Calibri"/>
          <w:i/>
          <w:iCs/>
          <w:color w:val="6B7280"/>
          <w:sz w:val="20"/>
          <w:szCs w:val="20"/>
        </w:rPr>
        <w:t xml:space="preserve">SZABLON — umowa o świadczenie usług w zakresie bhp, zawierana między zakładem pracy (zleceniodawcą) a specjalistą/firmą bhp (zleceniobiorcą)</w:t>
      </w:r>
    </w:p>
    <w:p>
      <w:pPr>
        <w:spacing w:after="200"/>
      </w:pPr>
      <w:r>
        <w:rPr>
          <w:rFonts w:ascii="Calibri" w:cs="Calibri" w:eastAsia="Calibri" w:hAnsi="Calibri"/>
          <w:i/>
          <w:iCs/>
          <w:color w:val="0E7C7A"/>
          <w:sz w:val="17"/>
          <w:szCs w:val="17"/>
        </w:rPr>
        <w:t xml:space="preserve">Podstawa prawna: Art. 23711 § 2 Kodeksu pracy (możliwość powierzenia zadań służby bhp specjalistom spoza zakładu pracy w przypadku braku kompetentnych pracowników); Rozporządzenie RM z 2.09.1997 r. w sprawie służby bhp; art. 734–751 Kodeksu cywilnego (umowa zlecenia)</w:t>
      </w:r>
    </w:p>
    <w:p>
      <w:pPr>
        <w:pBdr>
          <w:bottom w:val="single" w:color="0E7C7A" w:sz="16" w:space="1"/>
        </w:pBd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D9DCE1" w:sz="4"/>
              <w:left w:val="single" w:color="D9DCE1" w:sz="4"/>
              <w:bottom w:val="single" w:color="D9DCE1" w:sz="4"/>
              <w:right w:val="single" w:color="D9DCE1" w:sz="4"/>
            </w:tcBorders>
            <w:shd w:fill="F5F6F7" w:val="clear"/>
            <w:tcMar>
              <w:top w:type="dxa" w:w="80"/>
              <w:left w:type="dxa" w:w="100"/>
              <w:bottom w:type="dxa" w:w="80"/>
              <w:right w:type="dxa" w:w="100"/>
            </w:tcMar>
          </w:tcPr>
          <w:p>
            <w:r>
              <w:rPr>
                <w:rFonts w:ascii="Calibri" w:cs="Calibri" w:eastAsia="Calibri" w:hAnsi="Calibri"/>
                <w:b/>
                <w:bCs/>
                <w:color w:val="6B7280"/>
                <w:sz w:val="18"/>
                <w:szCs w:val="18"/>
              </w:rPr>
              <w:t xml:space="preserve">Nr umowy:</w:t>
            </w:r>
          </w:p>
        </w:tc>
        <w:tc>
          <w:tcPr>
            <w:tcW w:type="pct" w:w="25%"/>
            <w:tcBorders>
              <w:top w:val="single" w:color="D9DCE1" w:sz="4"/>
              <w:left w:val="single" w:color="D9DCE1" w:sz="4"/>
              <w:bottom w:val="single" w:color="D9DCE1" w:sz="4"/>
              <w:right w:val="single" w:color="D9DCE1" w:sz="4"/>
            </w:tcBorders>
            <w:tcMar>
              <w:top w:type="dxa" w:w="80"/>
              <w:left w:type="dxa" w:w="100"/>
              <w:bottom w:type="dxa" w:w="80"/>
              <w:right w:type="dxa" w:w="100"/>
            </w:tcMar>
          </w:tcPr>
          <w:p>
            <w:r>
              <w:rPr>
                <w:rFonts w:ascii="Calibri" w:cs="Calibri" w:eastAsia="Calibri" w:hAnsi="Calibri"/>
                <w:color w:val="24272C"/>
                <w:sz w:val="19"/>
                <w:szCs w:val="19"/>
              </w:rPr>
              <w:t xml:space="preserve"/>
            </w:r>
          </w:p>
        </w:tc>
        <w:tc>
          <w:tcPr>
            <w:tcW w:type="pct" w:w="25%"/>
            <w:tcBorders>
              <w:top w:val="single" w:color="D9DCE1" w:sz="4"/>
              <w:left w:val="single" w:color="D9DCE1" w:sz="4"/>
              <w:bottom w:val="single" w:color="D9DCE1" w:sz="4"/>
              <w:right w:val="single" w:color="D9DCE1" w:sz="4"/>
            </w:tcBorders>
            <w:shd w:fill="F5F6F7" w:val="clear"/>
            <w:tcMar>
              <w:top w:type="dxa" w:w="80"/>
              <w:left w:type="dxa" w:w="100"/>
              <w:bottom w:type="dxa" w:w="80"/>
              <w:right w:type="dxa" w:w="100"/>
            </w:tcMar>
          </w:tcPr>
          <w:p>
            <w:r>
              <w:rPr>
                <w:rFonts w:ascii="Calibri" w:cs="Calibri" w:eastAsia="Calibri" w:hAnsi="Calibri"/>
                <w:b/>
                <w:bCs/>
                <w:color w:val="6B7280"/>
                <w:sz w:val="18"/>
                <w:szCs w:val="18"/>
              </w:rPr>
              <w:t xml:space="preserve">Data zawarcia:</w:t>
            </w:r>
          </w:p>
        </w:tc>
        <w:tc>
          <w:tcPr>
            <w:tcW w:type="pct" w:w="25%"/>
            <w:tcBorders>
              <w:top w:val="single" w:color="D9DCE1" w:sz="4"/>
              <w:left w:val="single" w:color="D9DCE1" w:sz="4"/>
              <w:bottom w:val="single" w:color="D9DCE1" w:sz="4"/>
              <w:right w:val="single" w:color="D9DCE1" w:sz="4"/>
            </w:tcBorders>
            <w:tcMar>
              <w:top w:type="dxa" w:w="80"/>
              <w:left w:type="dxa" w:w="100"/>
              <w:bottom w:type="dxa" w:w="80"/>
              <w:right w:type="dxa" w:w="100"/>
            </w:tcMar>
          </w:tcPr>
          <w:p>
            <w:r>
              <w:rPr>
                <w:rFonts w:ascii="Calibri" w:cs="Calibri" w:eastAsia="Calibri" w:hAnsi="Calibri"/>
                <w:color w:val="24272C"/>
                <w:sz w:val="19"/>
                <w:szCs w:val="19"/>
              </w:rPr>
              <w:t xml:space="preserve"/>
            </w:r>
          </w:p>
        </w:tc>
      </w:tr>
      <w:tr>
        <w:tc>
          <w:tcPr>
            <w:tcW w:type="pct" w:w="25%"/>
            <w:tcBorders>
              <w:top w:val="single" w:color="D9DCE1" w:sz="4"/>
              <w:left w:val="single" w:color="D9DCE1" w:sz="4"/>
              <w:bottom w:val="single" w:color="D9DCE1" w:sz="4"/>
              <w:right w:val="single" w:color="D9DCE1" w:sz="4"/>
            </w:tcBorders>
            <w:shd w:fill="F5F6F7" w:val="clear"/>
            <w:tcMar>
              <w:top w:type="dxa" w:w="80"/>
              <w:left w:type="dxa" w:w="100"/>
              <w:bottom w:type="dxa" w:w="80"/>
              <w:right w:type="dxa" w:w="100"/>
            </w:tcMar>
          </w:tcPr>
          <w:p>
            <w:r>
              <w:rPr>
                <w:rFonts w:ascii="Calibri" w:cs="Calibri" w:eastAsia="Calibri" w:hAnsi="Calibri"/>
                <w:b/>
                <w:bCs/>
                <w:color w:val="6B7280"/>
                <w:sz w:val="18"/>
                <w:szCs w:val="18"/>
              </w:rPr>
              <w:t xml:space="preserve">Miejsce zawarcia:</w:t>
            </w:r>
          </w:p>
        </w:tc>
        <w:tc>
          <w:tcPr>
            <w:tcW w:type="pct" w:w="25%"/>
            <w:tcBorders>
              <w:top w:val="single" w:color="D9DCE1" w:sz="4"/>
              <w:left w:val="single" w:color="D9DCE1" w:sz="4"/>
              <w:bottom w:val="single" w:color="D9DCE1" w:sz="4"/>
              <w:right w:val="single" w:color="D9DCE1" w:sz="4"/>
            </w:tcBorders>
            <w:tcMar>
              <w:top w:type="dxa" w:w="80"/>
              <w:left w:type="dxa" w:w="100"/>
              <w:bottom w:type="dxa" w:w="80"/>
              <w:right w:type="dxa" w:w="100"/>
            </w:tcMar>
          </w:tcPr>
          <w:p>
            <w:r>
              <w:rPr>
                <w:rFonts w:ascii="Calibri" w:cs="Calibri" w:eastAsia="Calibri" w:hAnsi="Calibri"/>
                <w:color w:val="24272C"/>
                <w:sz w:val="19"/>
                <w:szCs w:val="19"/>
              </w:rPr>
              <w:t xml:space="preserve"/>
            </w:r>
          </w:p>
        </w:tc>
        <w:tc>
          <w:tcPr>
            <w:tcW w:type="pct" w:w="25%"/>
            <w:tcBorders>
              <w:top w:val="single" w:color="D9DCE1" w:sz="4"/>
              <w:left w:val="single" w:color="D9DCE1" w:sz="4"/>
              <w:bottom w:val="single" w:color="D9DCE1" w:sz="4"/>
              <w:right w:val="single" w:color="D9DCE1" w:sz="4"/>
            </w:tcBorders>
            <w:shd w:fill="F5F6F7" w:val="clear"/>
            <w:tcMar>
              <w:top w:type="dxa" w:w="80"/>
              <w:left w:type="dxa" w:w="100"/>
              <w:bottom w:type="dxa" w:w="80"/>
              <w:right w:type="dxa" w:w="100"/>
            </w:tcMar>
          </w:tcPr>
          <w:p>
            <w:r>
              <w:rPr>
                <w:rFonts w:ascii="Calibri" w:cs="Calibri" w:eastAsia="Calibri" w:hAnsi="Calibri"/>
                <w:b/>
                <w:bCs/>
                <w:color w:val="6B7280"/>
                <w:sz w:val="18"/>
                <w:szCs w:val="18"/>
              </w:rPr>
              <w:t xml:space="preserve">Okres obowiązywania:</w:t>
            </w:r>
          </w:p>
        </w:tc>
        <w:tc>
          <w:tcPr>
            <w:tcW w:type="pct" w:w="25%"/>
            <w:tcBorders>
              <w:top w:val="single" w:color="D9DCE1" w:sz="4"/>
              <w:left w:val="single" w:color="D9DCE1" w:sz="4"/>
              <w:bottom w:val="single" w:color="D9DCE1" w:sz="4"/>
              <w:right w:val="single" w:color="D9DCE1" w:sz="4"/>
            </w:tcBorders>
            <w:tcMar>
              <w:top w:type="dxa" w:w="80"/>
              <w:left w:type="dxa" w:w="100"/>
              <w:bottom w:type="dxa" w:w="80"/>
              <w:right w:type="dxa" w:w="100"/>
            </w:tcMar>
          </w:tcPr>
          <w:p>
            <w:r>
              <w:rPr>
                <w:rFonts w:ascii="Calibri" w:cs="Calibri" w:eastAsia="Calibri" w:hAnsi="Calibri"/>
                <w:color w:val="24272C"/>
                <w:sz w:val="19"/>
                <w:szCs w:val="19"/>
              </w:rPr>
              <w:t xml:space="preserve"/>
            </w:r>
          </w:p>
        </w:tc>
      </w:tr>
    </w:tbl>
    <w:p>
      <w:pPr>
        <w:spacing w:after="100" w:before="200"/>
      </w:pPr>
    </w:p>
    <w:tbl>
      <w:tblPr>
        <w:tblW w:type="pct" w:w="100%"/>
        <w:tblBorders>
          <w:top w:val="none"/>
          <w:left w:val="none"/>
          <w:bottom w:val="none"/>
          <w:right w:val="none"/>
          <w:insideH w:val="none"/>
          <w:insideV w:val="none"/>
        </w:tblBorders>
      </w:tblPr>
      <w:tblGrid>
        <w:gridCol w:w="100"/>
      </w:tblGrid>
      <w:tr>
        <w:tc>
          <w:tcPr>
            <w:tcW w:type="pct" w:w="100%"/>
            <w:tcBorders>
              <w:top w:val="single" w:color="E4F2F1" w:sz="4"/>
              <w:left w:val="single" w:color="0E7C7A" w:sz="28"/>
              <w:bottom w:val="single" w:color="E4F2F1" w:sz="4"/>
              <w:right w:val="single" w:color="E4F2F1" w:sz="4"/>
            </w:tcBorders>
            <w:shd w:fill="E4F2F1" w:val="clear"/>
            <w:tcMar>
              <w:top w:type="dxa" w:w="140"/>
              <w:left w:type="dxa" w:w="180"/>
              <w:bottom w:type="dxa" w:w="140"/>
              <w:right w:type="dxa" w:w="180"/>
            </w:tcMar>
          </w:tcPr>
          <w:p>
            <w:r>
              <w:rPr>
                <w:rFonts w:ascii="Calibri" w:cs="Calibri" w:eastAsia="Calibri" w:hAnsi="Calibri"/>
                <w:color w:val="24272C"/>
                <w:sz w:val="20"/>
                <w:szCs w:val="20"/>
              </w:rPr>
              <w:t xml:space="preserve">Zgodnie z art. 23711 § 2 Kodeksu pracy, pracodawca — w przypadku braku kompetentnych pracowników — może powierzyć wykonywanie zadań służby bhp specjaliście spoza zakładu pracy — pod warunkiem posiadania przez niego odpowiednich kwalifikacji. Pracodawca zatrudniający do 10 pracowników (albo do 50 przy kategorii ryzyka nie wyższej niż trzecia) może sam wykonywać zadania służby bhp po odbyciu odpowiedniego szkolenia.</w:t>
            </w:r>
          </w:p>
        </w:tc>
      </w:tr>
    </w:tbl>
    <w:p>
      <w:pPr>
        <w:spacing w:before="200"/>
      </w:pPr>
    </w:p>
    <w:p>
      <w:pPr>
        <w:pBdr>
          <w:left w:val="single" w:color="0E7C7A" w:sz="24" w:space="8"/>
        </w:pBdr>
        <w:spacing w:after="140" w:before="280"/>
        <w:ind w:left="20"/>
      </w:pPr>
      <w:r>
        <w:rPr>
          <w:rFonts w:ascii="Calibri" w:cs="Calibri" w:eastAsia="Calibri" w:hAnsi="Calibri"/>
          <w:b/>
          <w:bCs/>
          <w:color w:val="24272C"/>
          <w:sz w:val="24"/>
          <w:szCs w:val="24"/>
        </w:rPr>
        <w:t xml:space="preserve">§ 1. Strony umowy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8%"/>
            <w:tcBorders>
              <w:top w:val="single" w:color="D9DCE1" w:sz="4"/>
              <w:left w:val="single" w:color="D9DCE1" w:sz="4"/>
              <w:bottom w:val="single" w:color="D9DCE1" w:sz="4"/>
              <w:right w:val="single" w:color="D9DCE1" w:sz="4"/>
            </w:tcBorders>
            <w:shd w:fill="F5F6F7" w:val="clear"/>
            <w:tcMar>
              <w:top w:type="dxa" w:w="60"/>
              <w:left w:type="dxa" w:w="80"/>
              <w:bottom w:type="dxa" w:w="60"/>
              <w:right w:type="dxa" w:w="80"/>
            </w:tcMar>
            <w:vAlign w:val="center"/>
          </w:tcPr>
          <w:p>
            <w:pPr>
              <w:jc w:val="left"/>
            </w:pPr>
            <w:r>
              <w:rPr>
                <w:rFonts w:ascii="Calibri" w:cs="Calibri" w:eastAsia="Calibri" w:hAnsi="Calibri"/>
                <w:b/>
                <w:bCs/>
                <w:i w:val="false"/>
                <w:iCs w:val="false"/>
                <w:color w:val="24272C"/>
                <w:sz w:val="19"/>
                <w:szCs w:val="19"/>
              </w:rPr>
              <w:t xml:space="preserve">ZLECENIODAWCA (nazwa firmy, adres, NIP, REGON, reprezentowany przez):</w:t>
            </w:r>
          </w:p>
        </w:tc>
        <w:tc>
          <w:tcPr>
            <w:tcW w:type="pct" w:w="62%"/>
            <w:tcBorders>
              <w:top w:val="single" w:color="D9DCE1" w:sz="4"/>
              <w:left w:val="single" w:color="D9DCE1" w:sz="4"/>
              <w:bottom w:val="single" w:color="D9DCE1" w:sz="4"/>
              <w:right w:val="single" w:color="D9DCE1" w:sz="4"/>
            </w:tcBorders>
            <w:shd w:fill="FDF1D6" w:val="clear"/>
            <w:tcMar>
              <w:top w:type="dxa" w:w="60"/>
              <w:left w:type="dxa" w:w="80"/>
              <w:bottom w:type="dxa" w:w="60"/>
              <w:right w:type="dxa" w:w="80"/>
            </w:tcMar>
            <w:vAlign w:val="center"/>
          </w:tcPr>
          <w:p>
            <w:r>
              <w:rPr>
                <w:rFonts w:ascii="Calibri" w:cs="Calibri" w:eastAsia="Calibri" w:hAnsi="Calibri"/>
                <w:sz w:val="19"/>
                <w:szCs w:val="19"/>
              </w:rPr>
              <w:t xml:space="preserve"> </w:t>
            </w:r>
          </w:p>
        </w:tc>
      </w:tr>
      <w:tr>
        <w:tc>
          <w:tcPr>
            <w:tcW w:type="pct" w:w="38%"/>
            <w:tcBorders>
              <w:top w:val="single" w:color="D9DCE1" w:sz="4"/>
              <w:left w:val="single" w:color="D9DCE1" w:sz="4"/>
              <w:bottom w:val="single" w:color="D9DCE1" w:sz="4"/>
              <w:right w:val="single" w:color="D9DCE1" w:sz="4"/>
            </w:tcBorders>
            <w:shd w:fill="F5F6F7" w:val="clear"/>
            <w:tcMar>
              <w:top w:type="dxa" w:w="60"/>
              <w:left w:type="dxa" w:w="80"/>
              <w:bottom w:type="dxa" w:w="60"/>
              <w:right w:type="dxa" w:w="80"/>
            </w:tcMar>
            <w:vAlign w:val="center"/>
          </w:tcPr>
          <w:p>
            <w:pPr>
              <w:jc w:val="left"/>
            </w:pPr>
            <w:r>
              <w:rPr>
                <w:rFonts w:ascii="Calibri" w:cs="Calibri" w:eastAsia="Calibri" w:hAnsi="Calibri"/>
                <w:b/>
                <w:bCs/>
                <w:i w:val="false"/>
                <w:iCs w:val="false"/>
                <w:color w:val="24272C"/>
                <w:sz w:val="19"/>
                <w:szCs w:val="19"/>
              </w:rPr>
              <w:t xml:space="preserve">ZLECENIOBIORCA (imię i nazwisko / nazwa firmy, adres, NIP, nr wpisu do CEIDG, kwalifikacje):</w:t>
            </w:r>
          </w:p>
        </w:tc>
        <w:tc>
          <w:tcPr>
            <w:tcW w:type="pct" w:w="62%"/>
            <w:tcBorders>
              <w:top w:val="single" w:color="D9DCE1" w:sz="4"/>
              <w:left w:val="single" w:color="D9DCE1" w:sz="4"/>
              <w:bottom w:val="single" w:color="D9DCE1" w:sz="4"/>
              <w:right w:val="single" w:color="D9DCE1" w:sz="4"/>
            </w:tcBorders>
            <w:shd w:fill="FDF1D6" w:val="clear"/>
            <w:tcMar>
              <w:top w:type="dxa" w:w="60"/>
              <w:left w:type="dxa" w:w="80"/>
              <w:bottom w:type="dxa" w:w="60"/>
              <w:right w:type="dxa" w:w="80"/>
            </w:tcMar>
            <w:vAlign w:val="center"/>
          </w:tcPr>
          <w:p>
            <w:r>
              <w:rPr>
                <w:rFonts w:ascii="Calibri" w:cs="Calibri" w:eastAsia="Calibri" w:hAnsi="Calibri"/>
                <w:sz w:val="19"/>
                <w:szCs w:val="19"/>
              </w:rPr>
              <w:t xml:space="preserve"> </w:t>
            </w:r>
          </w:p>
        </w:tc>
      </w:tr>
    </w:tbl>
    <w:p>
      <w:pPr>
        <w:pBdr>
          <w:left w:val="single" w:color="0E7C7A" w:sz="24" w:space="8"/>
        </w:pBdr>
        <w:spacing w:after="140" w:before="280"/>
        <w:ind w:left="20"/>
      </w:pPr>
      <w:r>
        <w:rPr>
          <w:rFonts w:ascii="Calibri" w:cs="Calibri" w:eastAsia="Calibri" w:hAnsi="Calibri"/>
          <w:b/>
          <w:bCs/>
          <w:color w:val="24272C"/>
          <w:sz w:val="24"/>
          <w:szCs w:val="24"/>
        </w:rPr>
        <w:t xml:space="preserve">§ 2. Przedmiot umowy</w:t>
      </w:r>
    </w:p>
    <w:p>
      <w:pPr>
        <w:spacing w:after="160"/>
        <w:jc w:val="left"/>
      </w:pPr>
      <w:r>
        <w:rPr>
          <w:rFonts w:ascii="Calibri" w:cs="Calibri" w:eastAsia="Calibri" w:hAnsi="Calibri"/>
          <w:b w:val="false"/>
          <w:bCs w:val="false"/>
          <w:i w:val="false"/>
          <w:iCs w:val="false"/>
          <w:color w:val="24272C"/>
          <w:sz w:val="21"/>
          <w:szCs w:val="21"/>
        </w:rPr>
        <w:t xml:space="preserve">1. Zleceniodawca powierza, a Zleceniobiorca przyjmuje do wykonania zadania służby bezpieczeństwa i higieny pracy określone w Rozporządzeniu Rady Ministrów z 2.09.1997 r. w sprawie służby bhp, w zakresie wskazanym w § 3 niniejszej umowy.</w:t>
      </w:r>
    </w:p>
    <w:p>
      <w:pPr>
        <w:spacing w:after="160"/>
        <w:jc w:val="left"/>
      </w:pPr>
      <w:r>
        <w:rPr>
          <w:rFonts w:ascii="Calibri" w:cs="Calibri" w:eastAsia="Calibri" w:hAnsi="Calibri"/>
          <w:b w:val="false"/>
          <w:bCs w:val="false"/>
          <w:i w:val="false"/>
          <w:iCs w:val="false"/>
          <w:color w:val="24272C"/>
          <w:sz w:val="21"/>
          <w:szCs w:val="21"/>
        </w:rPr>
        <w:t xml:space="preserve">2. Zleceniobiorca oświadcza, że posiada kwalifikacje wymagane od pracowników służby bhp, zgodnie z odrębnymi przepisami.</w:t>
      </w:r>
    </w:p>
    <w:p>
      <w:pPr>
        <w:pBdr>
          <w:left w:val="single" w:color="0E7C7A" w:sz="24" w:space="8"/>
        </w:pBdr>
        <w:spacing w:after="140" w:before="280"/>
        <w:ind w:left="20"/>
      </w:pPr>
      <w:r>
        <w:rPr>
          <w:rFonts w:ascii="Calibri" w:cs="Calibri" w:eastAsia="Calibri" w:hAnsi="Calibri"/>
          <w:b/>
          <w:bCs/>
          <w:color w:val="24272C"/>
          <w:sz w:val="24"/>
          <w:szCs w:val="24"/>
        </w:rPr>
        <w:t xml:space="preserve">§ 3. Zakres obowiązków Zleceniobiorcy</w:t>
      </w:r>
    </w:p>
    <w:p>
      <w:pPr>
        <w:spacing w:after="100"/>
        <w:jc w:val="left"/>
      </w:pPr>
      <w:r>
        <w:rPr>
          <w:rFonts w:ascii="Calibri" w:cs="Calibri" w:eastAsia="Calibri" w:hAnsi="Calibri"/>
          <w:b w:val="false"/>
          <w:bCs w:val="false"/>
          <w:i w:val="false"/>
          <w:iCs w:val="false"/>
          <w:color w:val="24272C"/>
          <w:sz w:val="21"/>
          <w:szCs w:val="21"/>
        </w:rPr>
        <w:t xml:space="preserve">W ramach niniejszej umowy Zleceniobiorca zobowiązuje się w szczególności do:</w:t>
      </w:r>
    </w:p>
    <w:p>
      <w:pPr>
        <w:spacing w:after="100"/>
        <w:ind w:left="360" w:hanging="260"/>
      </w:pPr>
      <w:r>
        <w:rPr>
          <w:rFonts w:ascii="Calibri" w:cs="Calibri" w:eastAsia="Calibri" w:hAnsi="Calibri"/>
          <w:b/>
          <w:bCs/>
          <w:color w:val="0E7C7A"/>
          <w:sz w:val="21"/>
          <w:szCs w:val="21"/>
        </w:rPr>
        <w:t xml:space="preserve">•  </w:t>
      </w:r>
      <w:r>
        <w:rPr>
          <w:rFonts w:ascii="Calibri" w:cs="Calibri" w:eastAsia="Calibri" w:hAnsi="Calibri"/>
          <w:color w:val="24272C"/>
          <w:sz w:val="21"/>
          <w:szCs w:val="21"/>
        </w:rPr>
        <w:t xml:space="preserve">Przeprowadzania kontroli warunków pracy oraz przestrzegania przepisów i zasad bhp,</w:t>
      </w:r>
    </w:p>
    <w:p>
      <w:pPr>
        <w:spacing w:after="100"/>
        <w:ind w:left="360" w:hanging="260"/>
      </w:pPr>
      <w:r>
        <w:rPr>
          <w:rFonts w:ascii="Calibri" w:cs="Calibri" w:eastAsia="Calibri" w:hAnsi="Calibri"/>
          <w:b/>
          <w:bCs/>
          <w:color w:val="0E7C7A"/>
          <w:sz w:val="21"/>
          <w:szCs w:val="21"/>
        </w:rPr>
        <w:t xml:space="preserve">•  </w:t>
      </w:r>
      <w:r>
        <w:rPr>
          <w:rFonts w:ascii="Calibri" w:cs="Calibri" w:eastAsia="Calibri" w:hAnsi="Calibri"/>
          <w:color w:val="24272C"/>
          <w:sz w:val="21"/>
          <w:szCs w:val="21"/>
        </w:rPr>
        <w:t xml:space="preserve">Bieżącego informowania zleceniodawcy o stwierdzonych zagrożeniach wraz z wnioskami zmierzającymi do ich usunięcia,</w:t>
      </w:r>
    </w:p>
    <w:p>
      <w:pPr>
        <w:spacing w:after="100"/>
        <w:ind w:left="360" w:hanging="260"/>
      </w:pPr>
      <w:r>
        <w:rPr>
          <w:rFonts w:ascii="Calibri" w:cs="Calibri" w:eastAsia="Calibri" w:hAnsi="Calibri"/>
          <w:b/>
          <w:bCs/>
          <w:color w:val="0E7C7A"/>
          <w:sz w:val="21"/>
          <w:szCs w:val="21"/>
        </w:rPr>
        <w:t xml:space="preserve">•  </w:t>
      </w:r>
      <w:r>
        <w:rPr>
          <w:rFonts w:ascii="Calibri" w:cs="Calibri" w:eastAsia="Calibri" w:hAnsi="Calibri"/>
          <w:color w:val="24272C"/>
          <w:sz w:val="21"/>
          <w:szCs w:val="21"/>
        </w:rPr>
        <w:t xml:space="preserve">Sporządzania i przedstawiania zleceniodawcy okresowych analiz stanu bhp, nie rzadziej niż raz w roku,</w:t>
      </w:r>
    </w:p>
    <w:p>
      <w:pPr>
        <w:spacing w:after="100"/>
        <w:ind w:left="360" w:hanging="260"/>
      </w:pPr>
      <w:r>
        <w:rPr>
          <w:rFonts w:ascii="Calibri" w:cs="Calibri" w:eastAsia="Calibri" w:hAnsi="Calibri"/>
          <w:b/>
          <w:bCs/>
          <w:color w:val="0E7C7A"/>
          <w:sz w:val="21"/>
          <w:szCs w:val="21"/>
        </w:rPr>
        <w:t xml:space="preserve">•  </w:t>
      </w:r>
      <w:r>
        <w:rPr>
          <w:rFonts w:ascii="Calibri" w:cs="Calibri" w:eastAsia="Calibri" w:hAnsi="Calibri"/>
          <w:color w:val="24272C"/>
          <w:sz w:val="21"/>
          <w:szCs w:val="21"/>
        </w:rPr>
        <w:t xml:space="preserve">Udziału w ustalaniu okoliczności i przyczyn wypadków przy pracy oraz prowadzeniu związanej z tym dokumentacji,</w:t>
      </w:r>
    </w:p>
    <w:p>
      <w:pPr>
        <w:spacing w:after="100"/>
        <w:ind w:left="360" w:hanging="260"/>
      </w:pPr>
      <w:r>
        <w:rPr>
          <w:rFonts w:ascii="Calibri" w:cs="Calibri" w:eastAsia="Calibri" w:hAnsi="Calibri"/>
          <w:b/>
          <w:bCs/>
          <w:color w:val="0E7C7A"/>
          <w:sz w:val="21"/>
          <w:szCs w:val="21"/>
        </w:rPr>
        <w:t xml:space="preserve">•  </w:t>
      </w:r>
      <w:r>
        <w:rPr>
          <w:rFonts w:ascii="Calibri" w:cs="Calibri" w:eastAsia="Calibri" w:hAnsi="Calibri"/>
          <w:color w:val="24272C"/>
          <w:sz w:val="21"/>
          <w:szCs w:val="21"/>
        </w:rPr>
        <w:t xml:space="preserve">Doradztwa w zakresie stosowania przepisów oraz zasad bhp,</w:t>
      </w:r>
    </w:p>
    <w:p>
      <w:pPr>
        <w:spacing w:after="100"/>
        <w:ind w:left="360" w:hanging="260"/>
      </w:pPr>
      <w:r>
        <w:rPr>
          <w:rFonts w:ascii="Calibri" w:cs="Calibri" w:eastAsia="Calibri" w:hAnsi="Calibri"/>
          <w:b/>
          <w:bCs/>
          <w:color w:val="0E7C7A"/>
          <w:sz w:val="21"/>
          <w:szCs w:val="21"/>
        </w:rPr>
        <w:t xml:space="preserve">•  </w:t>
      </w:r>
      <w:r>
        <w:rPr>
          <w:rFonts w:ascii="Calibri" w:cs="Calibri" w:eastAsia="Calibri" w:hAnsi="Calibri"/>
          <w:color w:val="24272C"/>
          <w:sz w:val="21"/>
          <w:szCs w:val="21"/>
        </w:rPr>
        <w:t xml:space="preserve">Organizowania lub prowadzenia szkoleń bhp,</w:t>
      </w:r>
    </w:p>
    <w:p>
      <w:pPr>
        <w:spacing w:after="100"/>
        <w:ind w:left="360" w:hanging="260"/>
      </w:pPr>
      <w:r>
        <w:rPr>
          <w:rFonts w:ascii="Calibri" w:cs="Calibri" w:eastAsia="Calibri" w:hAnsi="Calibri"/>
          <w:b/>
          <w:bCs/>
          <w:color w:val="0E7C7A"/>
          <w:sz w:val="21"/>
          <w:szCs w:val="21"/>
        </w:rPr>
        <w:t xml:space="preserve">•  </w:t>
      </w:r>
      <w:r>
        <w:rPr>
          <w:rFonts w:ascii="Calibri" w:cs="Calibri" w:eastAsia="Calibri" w:hAnsi="Calibri"/>
          <w:color w:val="24272C"/>
          <w:sz w:val="21"/>
          <w:szCs w:val="21"/>
        </w:rPr>
        <w:t xml:space="preserve">Opracowywania i opiniowania instrukcji bhp oraz oceny ryzyka zawodowego,</w:t>
      </w:r>
    </w:p>
    <w:p>
      <w:pPr>
        <w:spacing w:after="100"/>
        <w:ind w:left="360" w:hanging="260"/>
      </w:pPr>
      <w:r>
        <w:rPr>
          <w:rFonts w:ascii="Calibri" w:cs="Calibri" w:eastAsia="Calibri" w:hAnsi="Calibri"/>
          <w:b/>
          <w:bCs/>
          <w:color w:val="0E7C7A"/>
          <w:sz w:val="21"/>
          <w:szCs w:val="21"/>
        </w:rPr>
        <w:t xml:space="preserve">•  </w:t>
      </w:r>
      <w:r>
        <w:rPr>
          <w:rFonts w:ascii="Calibri" w:cs="Calibri" w:eastAsia="Calibri" w:hAnsi="Calibri"/>
          <w:color w:val="24272C"/>
          <w:sz w:val="21"/>
          <w:szCs w:val="21"/>
        </w:rPr>
        <w:t xml:space="preserve">Współpracy z właściwymi organami Państwowej Inspekcji Pracy i Państwowej Inspekcji Sanitarnej.</w:t>
      </w:r>
    </w:p>
    <w:p>
      <w:pPr>
        <w:spacing w:after="100"/>
        <w:jc w:val="left"/>
      </w:pPr>
      <w:r>
        <w:rPr>
          <w:rFonts w:ascii="Calibri" w:cs="Calibri" w:eastAsia="Calibri" w:hAnsi="Calibri"/>
          <w:b w:val="false"/>
          <w:bCs w:val="false"/>
          <w:i w:val="false"/>
          <w:iCs w:val="false"/>
          <w:color w:val="24272C"/>
          <w:sz w:val="21"/>
          <w:szCs w:val="21"/>
        </w:rPr>
        <w:t xml:space="preserve">Szczegółowy, indywidualnie ustalony zakres usług:</w:t>
      </w:r>
    </w:p>
    <w:p>
      <w:pPr>
        <w:pBdr>
          <w:bottom w:val="single" w:color="D9DCE1" w:sz="6" w:space="4"/>
        </w:pBdr>
        <w:spacing w:after="100"/>
      </w:pPr>
      <w:r>
        <w:rPr>
          <w:rFonts w:ascii="Calibri" w:cs="Calibri" w:eastAsia="Calibri" w:hAnsi="Calibri"/>
          <w:sz w:val="20"/>
          <w:szCs w:val="20"/>
        </w:rPr>
        <w:t xml:space="preserve"> </w:t>
      </w:r>
    </w:p>
    <w:p>
      <w:pPr>
        <w:pBdr>
          <w:bottom w:val="single" w:color="D9DCE1" w:sz="6" w:space="4"/>
        </w:pBdr>
        <w:spacing w:after="100"/>
      </w:pPr>
      <w:r>
        <w:rPr>
          <w:rFonts w:ascii="Calibri" w:cs="Calibri" w:eastAsia="Calibri" w:hAnsi="Calibri"/>
          <w:sz w:val="20"/>
          <w:szCs w:val="20"/>
        </w:rPr>
        <w:t xml:space="preserve"> </w:t>
      </w:r>
    </w:p>
    <w:p>
      <w:pPr>
        <w:pBdr>
          <w:bottom w:val="single" w:color="D9DCE1" w:sz="6" w:space="4"/>
        </w:pBdr>
        <w:spacing w:after="100"/>
      </w:pPr>
      <w:r>
        <w:rPr>
          <w:rFonts w:ascii="Calibri" w:cs="Calibri" w:eastAsia="Calibri" w:hAnsi="Calibri"/>
          <w:sz w:val="20"/>
          <w:szCs w:val="20"/>
        </w:rPr>
        <w:t xml:space="preserve"> </w:t>
      </w:r>
    </w:p>
    <w:p>
      <w:pPr>
        <w:spacing w:before="200"/>
      </w:pPr>
    </w:p>
    <w:p>
      <w:pPr>
        <w:pBdr>
          <w:left w:val="single" w:color="0E7C7A" w:sz="24" w:space="8"/>
        </w:pBdr>
        <w:spacing w:after="140" w:before="280"/>
        <w:ind w:left="20"/>
      </w:pPr>
      <w:r>
        <w:rPr>
          <w:rFonts w:ascii="Calibri" w:cs="Calibri" w:eastAsia="Calibri" w:hAnsi="Calibri"/>
          <w:b/>
          <w:bCs/>
          <w:color w:val="24272C"/>
          <w:sz w:val="24"/>
          <w:szCs w:val="24"/>
        </w:rPr>
        <w:t xml:space="preserve">§ 4. Zakres i częstotliwość obecności w zakładzie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8%"/>
            <w:tcBorders>
              <w:top w:val="single" w:color="D9DCE1" w:sz="4"/>
              <w:left w:val="single" w:color="D9DCE1" w:sz="4"/>
              <w:bottom w:val="single" w:color="D9DCE1" w:sz="4"/>
              <w:right w:val="single" w:color="D9DCE1" w:sz="4"/>
            </w:tcBorders>
            <w:shd w:fill="F5F6F7" w:val="clear"/>
            <w:tcMar>
              <w:top w:type="dxa" w:w="60"/>
              <w:left w:type="dxa" w:w="80"/>
              <w:bottom w:type="dxa" w:w="60"/>
              <w:right w:type="dxa" w:w="80"/>
            </w:tcMar>
            <w:vAlign w:val="center"/>
          </w:tcPr>
          <w:p>
            <w:pPr>
              <w:jc w:val="left"/>
            </w:pPr>
            <w:r>
              <w:rPr>
                <w:rFonts w:ascii="Calibri" w:cs="Calibri" w:eastAsia="Calibri" w:hAnsi="Calibri"/>
                <w:b/>
                <w:bCs/>
                <w:i w:val="false"/>
                <w:iCs w:val="false"/>
                <w:color w:val="24272C"/>
                <w:sz w:val="19"/>
                <w:szCs w:val="19"/>
              </w:rPr>
              <w:t xml:space="preserve">Liczba wizyt w zakładzie / miesiąc:</w:t>
            </w:r>
          </w:p>
        </w:tc>
        <w:tc>
          <w:tcPr>
            <w:tcW w:type="pct" w:w="62%"/>
            <w:tcBorders>
              <w:top w:val="single" w:color="D9DCE1" w:sz="4"/>
              <w:left w:val="single" w:color="D9DCE1" w:sz="4"/>
              <w:bottom w:val="single" w:color="D9DCE1" w:sz="4"/>
              <w:right w:val="single" w:color="D9DCE1" w:sz="4"/>
            </w:tcBorders>
            <w:shd w:fill="FDF1D6" w:val="clear"/>
            <w:tcMar>
              <w:top w:type="dxa" w:w="60"/>
              <w:left w:type="dxa" w:w="80"/>
              <w:bottom w:type="dxa" w:w="60"/>
              <w:right w:type="dxa" w:w="80"/>
            </w:tcMar>
            <w:vAlign w:val="center"/>
          </w:tcPr>
          <w:p>
            <w:r>
              <w:rPr>
                <w:rFonts w:ascii="Calibri" w:cs="Calibri" w:eastAsia="Calibri" w:hAnsi="Calibri"/>
                <w:sz w:val="19"/>
                <w:szCs w:val="19"/>
              </w:rPr>
              <w:t xml:space="preserve"> </w:t>
            </w:r>
          </w:p>
        </w:tc>
      </w:tr>
      <w:tr>
        <w:tc>
          <w:tcPr>
            <w:tcW w:type="pct" w:w="38%"/>
            <w:tcBorders>
              <w:top w:val="single" w:color="D9DCE1" w:sz="4"/>
              <w:left w:val="single" w:color="D9DCE1" w:sz="4"/>
              <w:bottom w:val="single" w:color="D9DCE1" w:sz="4"/>
              <w:right w:val="single" w:color="D9DCE1" w:sz="4"/>
            </w:tcBorders>
            <w:shd w:fill="F5F6F7" w:val="clear"/>
            <w:tcMar>
              <w:top w:type="dxa" w:w="60"/>
              <w:left w:type="dxa" w:w="80"/>
              <w:bottom w:type="dxa" w:w="60"/>
              <w:right w:type="dxa" w:w="80"/>
            </w:tcMar>
            <w:vAlign w:val="center"/>
          </w:tcPr>
          <w:p>
            <w:pPr>
              <w:jc w:val="left"/>
            </w:pPr>
            <w:r>
              <w:rPr>
                <w:rFonts w:ascii="Calibri" w:cs="Calibri" w:eastAsia="Calibri" w:hAnsi="Calibri"/>
                <w:b/>
                <w:bCs/>
                <w:i w:val="false"/>
                <w:iCs w:val="false"/>
                <w:color w:val="24272C"/>
                <w:sz w:val="19"/>
                <w:szCs w:val="19"/>
              </w:rPr>
              <w:t xml:space="preserve">Tryb kontaktu poza wizytami (telefon/e-mail/inny):</w:t>
            </w:r>
          </w:p>
        </w:tc>
        <w:tc>
          <w:tcPr>
            <w:tcW w:type="pct" w:w="62%"/>
            <w:tcBorders>
              <w:top w:val="single" w:color="D9DCE1" w:sz="4"/>
              <w:left w:val="single" w:color="D9DCE1" w:sz="4"/>
              <w:bottom w:val="single" w:color="D9DCE1" w:sz="4"/>
              <w:right w:val="single" w:color="D9DCE1" w:sz="4"/>
            </w:tcBorders>
            <w:shd w:fill="FDF1D6" w:val="clear"/>
            <w:tcMar>
              <w:top w:type="dxa" w:w="60"/>
              <w:left w:type="dxa" w:w="80"/>
              <w:bottom w:type="dxa" w:w="60"/>
              <w:right w:type="dxa" w:w="80"/>
            </w:tcMar>
            <w:vAlign w:val="center"/>
          </w:tcPr>
          <w:p>
            <w:r>
              <w:rPr>
                <w:rFonts w:ascii="Calibri" w:cs="Calibri" w:eastAsia="Calibri" w:hAnsi="Calibri"/>
                <w:sz w:val="19"/>
                <w:szCs w:val="19"/>
              </w:rPr>
              <w:t xml:space="preserve"> </w:t>
            </w:r>
          </w:p>
        </w:tc>
      </w:tr>
      <w:tr>
        <w:tc>
          <w:tcPr>
            <w:tcW w:type="pct" w:w="38%"/>
            <w:tcBorders>
              <w:top w:val="single" w:color="D9DCE1" w:sz="4"/>
              <w:left w:val="single" w:color="D9DCE1" w:sz="4"/>
              <w:bottom w:val="single" w:color="D9DCE1" w:sz="4"/>
              <w:right w:val="single" w:color="D9DCE1" w:sz="4"/>
            </w:tcBorders>
            <w:shd w:fill="F5F6F7" w:val="clear"/>
            <w:tcMar>
              <w:top w:type="dxa" w:w="60"/>
              <w:left w:type="dxa" w:w="80"/>
              <w:bottom w:type="dxa" w:w="60"/>
              <w:right w:type="dxa" w:w="80"/>
            </w:tcMar>
            <w:vAlign w:val="center"/>
          </w:tcPr>
          <w:p>
            <w:pPr>
              <w:jc w:val="left"/>
            </w:pPr>
            <w:r>
              <w:rPr>
                <w:rFonts w:ascii="Calibri" w:cs="Calibri" w:eastAsia="Calibri" w:hAnsi="Calibri"/>
                <w:b/>
                <w:bCs/>
                <w:i w:val="false"/>
                <w:iCs w:val="false"/>
                <w:color w:val="24272C"/>
                <w:sz w:val="19"/>
                <w:szCs w:val="19"/>
              </w:rPr>
              <w:t xml:space="preserve">Czas reakcji na zgłoszenie pilne:</w:t>
            </w:r>
          </w:p>
        </w:tc>
        <w:tc>
          <w:tcPr>
            <w:tcW w:type="pct" w:w="62%"/>
            <w:tcBorders>
              <w:top w:val="single" w:color="D9DCE1" w:sz="4"/>
              <w:left w:val="single" w:color="D9DCE1" w:sz="4"/>
              <w:bottom w:val="single" w:color="D9DCE1" w:sz="4"/>
              <w:right w:val="single" w:color="D9DCE1" w:sz="4"/>
            </w:tcBorders>
            <w:shd w:fill="FDF1D6" w:val="clear"/>
            <w:tcMar>
              <w:top w:type="dxa" w:w="60"/>
              <w:left w:type="dxa" w:w="80"/>
              <w:bottom w:type="dxa" w:w="60"/>
              <w:right w:type="dxa" w:w="80"/>
            </w:tcMar>
            <w:vAlign w:val="center"/>
          </w:tcPr>
          <w:p>
            <w:r>
              <w:rPr>
                <w:rFonts w:ascii="Calibri" w:cs="Calibri" w:eastAsia="Calibri" w:hAnsi="Calibri"/>
                <w:sz w:val="19"/>
                <w:szCs w:val="19"/>
              </w:rPr>
              <w:t xml:space="preserve"> </w:t>
            </w:r>
          </w:p>
        </w:tc>
      </w:tr>
    </w:tbl>
    <w:p>
      <w:pPr>
        <w:pBdr>
          <w:left w:val="single" w:color="0E7C7A" w:sz="24" w:space="8"/>
        </w:pBdr>
        <w:spacing w:after="140" w:before="280"/>
        <w:ind w:left="20"/>
      </w:pPr>
      <w:r>
        <w:rPr>
          <w:rFonts w:ascii="Calibri" w:cs="Calibri" w:eastAsia="Calibri" w:hAnsi="Calibri"/>
          <w:b/>
          <w:bCs/>
          <w:color w:val="24272C"/>
          <w:sz w:val="24"/>
          <w:szCs w:val="24"/>
        </w:rPr>
        <w:t xml:space="preserve">§ 5. Wynagrodzenie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8%"/>
            <w:tcBorders>
              <w:top w:val="single" w:color="D9DCE1" w:sz="4"/>
              <w:left w:val="single" w:color="D9DCE1" w:sz="4"/>
              <w:bottom w:val="single" w:color="D9DCE1" w:sz="4"/>
              <w:right w:val="single" w:color="D9DCE1" w:sz="4"/>
            </w:tcBorders>
            <w:shd w:fill="F5F6F7" w:val="clear"/>
            <w:tcMar>
              <w:top w:type="dxa" w:w="60"/>
              <w:left w:type="dxa" w:w="80"/>
              <w:bottom w:type="dxa" w:w="60"/>
              <w:right w:type="dxa" w:w="80"/>
            </w:tcMar>
            <w:vAlign w:val="center"/>
          </w:tcPr>
          <w:p>
            <w:pPr>
              <w:jc w:val="left"/>
            </w:pPr>
            <w:r>
              <w:rPr>
                <w:rFonts w:ascii="Calibri" w:cs="Calibri" w:eastAsia="Calibri" w:hAnsi="Calibri"/>
                <w:b/>
                <w:bCs/>
                <w:i w:val="false"/>
                <w:iCs w:val="false"/>
                <w:color w:val="24272C"/>
                <w:sz w:val="19"/>
                <w:szCs w:val="19"/>
              </w:rPr>
              <w:t xml:space="preserve">Wysokość wynagrodzenia:</w:t>
            </w:r>
          </w:p>
        </w:tc>
        <w:tc>
          <w:tcPr>
            <w:tcW w:type="pct" w:w="62%"/>
            <w:tcBorders>
              <w:top w:val="single" w:color="D9DCE1" w:sz="4"/>
              <w:left w:val="single" w:color="D9DCE1" w:sz="4"/>
              <w:bottom w:val="single" w:color="D9DCE1" w:sz="4"/>
              <w:right w:val="single" w:color="D9DCE1" w:sz="4"/>
            </w:tcBorders>
            <w:shd w:fill="FDF1D6" w:val="clear"/>
            <w:tcMar>
              <w:top w:type="dxa" w:w="60"/>
              <w:left w:type="dxa" w:w="80"/>
              <w:bottom w:type="dxa" w:w="60"/>
              <w:right w:type="dxa" w:w="80"/>
            </w:tcMar>
            <w:vAlign w:val="center"/>
          </w:tcPr>
          <w:p>
            <w:r>
              <w:rPr>
                <w:rFonts w:ascii="Calibri" w:cs="Calibri" w:eastAsia="Calibri" w:hAnsi="Calibri"/>
                <w:sz w:val="19"/>
                <w:szCs w:val="19"/>
              </w:rPr>
              <w:t xml:space="preserve"> </w:t>
            </w:r>
          </w:p>
        </w:tc>
      </w:tr>
      <w:tr>
        <w:tc>
          <w:tcPr>
            <w:tcW w:type="pct" w:w="38%"/>
            <w:tcBorders>
              <w:top w:val="single" w:color="D9DCE1" w:sz="4"/>
              <w:left w:val="single" w:color="D9DCE1" w:sz="4"/>
              <w:bottom w:val="single" w:color="D9DCE1" w:sz="4"/>
              <w:right w:val="single" w:color="D9DCE1" w:sz="4"/>
            </w:tcBorders>
            <w:shd w:fill="F5F6F7" w:val="clear"/>
            <w:tcMar>
              <w:top w:type="dxa" w:w="60"/>
              <w:left w:type="dxa" w:w="80"/>
              <w:bottom w:type="dxa" w:w="60"/>
              <w:right w:type="dxa" w:w="80"/>
            </w:tcMar>
            <w:vAlign w:val="center"/>
          </w:tcPr>
          <w:p>
            <w:pPr>
              <w:jc w:val="left"/>
            </w:pPr>
            <w:r>
              <w:rPr>
                <w:rFonts w:ascii="Calibri" w:cs="Calibri" w:eastAsia="Calibri" w:hAnsi="Calibri"/>
                <w:b/>
                <w:bCs/>
                <w:i w:val="false"/>
                <w:iCs w:val="false"/>
                <w:color w:val="24272C"/>
                <w:sz w:val="19"/>
                <w:szCs w:val="19"/>
              </w:rPr>
              <w:t xml:space="preserve">Sposób i termin płatności:</w:t>
            </w:r>
          </w:p>
        </w:tc>
        <w:tc>
          <w:tcPr>
            <w:tcW w:type="pct" w:w="62%"/>
            <w:tcBorders>
              <w:top w:val="single" w:color="D9DCE1" w:sz="4"/>
              <w:left w:val="single" w:color="D9DCE1" w:sz="4"/>
              <w:bottom w:val="single" w:color="D9DCE1" w:sz="4"/>
              <w:right w:val="single" w:color="D9DCE1" w:sz="4"/>
            </w:tcBorders>
            <w:shd w:fill="FDF1D6" w:val="clear"/>
            <w:tcMar>
              <w:top w:type="dxa" w:w="60"/>
              <w:left w:type="dxa" w:w="80"/>
              <w:bottom w:type="dxa" w:w="60"/>
              <w:right w:type="dxa" w:w="80"/>
            </w:tcMar>
            <w:vAlign w:val="center"/>
          </w:tcPr>
          <w:p>
            <w:r>
              <w:rPr>
                <w:rFonts w:ascii="Calibri" w:cs="Calibri" w:eastAsia="Calibri" w:hAnsi="Calibri"/>
                <w:sz w:val="19"/>
                <w:szCs w:val="19"/>
              </w:rPr>
              <w:t xml:space="preserve"> </w:t>
            </w:r>
          </w:p>
        </w:tc>
      </w:tr>
      <w:tr>
        <w:tc>
          <w:tcPr>
            <w:tcW w:type="pct" w:w="38%"/>
            <w:tcBorders>
              <w:top w:val="single" w:color="D9DCE1" w:sz="4"/>
              <w:left w:val="single" w:color="D9DCE1" w:sz="4"/>
              <w:bottom w:val="single" w:color="D9DCE1" w:sz="4"/>
              <w:right w:val="single" w:color="D9DCE1" w:sz="4"/>
            </w:tcBorders>
            <w:shd w:fill="F5F6F7" w:val="clear"/>
            <w:tcMar>
              <w:top w:type="dxa" w:w="60"/>
              <w:left w:type="dxa" w:w="80"/>
              <w:bottom w:type="dxa" w:w="60"/>
              <w:right w:type="dxa" w:w="80"/>
            </w:tcMar>
            <w:vAlign w:val="center"/>
          </w:tcPr>
          <w:p>
            <w:pPr>
              <w:jc w:val="left"/>
            </w:pPr>
            <w:r>
              <w:rPr>
                <w:rFonts w:ascii="Calibri" w:cs="Calibri" w:eastAsia="Calibri" w:hAnsi="Calibri"/>
                <w:b/>
                <w:bCs/>
                <w:i w:val="false"/>
                <w:iCs w:val="false"/>
                <w:color w:val="24272C"/>
                <w:sz w:val="19"/>
                <w:szCs w:val="19"/>
              </w:rPr>
              <w:t xml:space="preserve">Forma rozliczenia (ryczałt miesięczny / wg stawki godzinowej / inna):</w:t>
            </w:r>
          </w:p>
        </w:tc>
        <w:tc>
          <w:tcPr>
            <w:tcW w:type="pct" w:w="62%"/>
            <w:tcBorders>
              <w:top w:val="single" w:color="D9DCE1" w:sz="4"/>
              <w:left w:val="single" w:color="D9DCE1" w:sz="4"/>
              <w:bottom w:val="single" w:color="D9DCE1" w:sz="4"/>
              <w:right w:val="single" w:color="D9DCE1" w:sz="4"/>
            </w:tcBorders>
            <w:shd w:fill="FDF1D6" w:val="clear"/>
            <w:tcMar>
              <w:top w:type="dxa" w:w="60"/>
              <w:left w:type="dxa" w:w="80"/>
              <w:bottom w:type="dxa" w:w="60"/>
              <w:right w:type="dxa" w:w="80"/>
            </w:tcMar>
            <w:vAlign w:val="center"/>
          </w:tcPr>
          <w:p>
            <w:r>
              <w:rPr>
                <w:rFonts w:ascii="Calibri" w:cs="Calibri" w:eastAsia="Calibri" w:hAnsi="Calibri"/>
                <w:sz w:val="19"/>
                <w:szCs w:val="19"/>
              </w:rPr>
              <w:t xml:space="preserve"> </w:t>
            </w:r>
          </w:p>
        </w:tc>
      </w:tr>
    </w:tbl>
    <w:p>
      <w:pPr>
        <w:pBdr>
          <w:left w:val="single" w:color="0E7C7A" w:sz="24" w:space="8"/>
        </w:pBdr>
        <w:spacing w:after="140" w:before="280"/>
        <w:ind w:left="20"/>
      </w:pPr>
      <w:r>
        <w:rPr>
          <w:rFonts w:ascii="Calibri" w:cs="Calibri" w:eastAsia="Calibri" w:hAnsi="Calibri"/>
          <w:b/>
          <w:bCs/>
          <w:color w:val="24272C"/>
          <w:sz w:val="24"/>
          <w:szCs w:val="24"/>
        </w:rPr>
        <w:t xml:space="preserve">§ 6. Odpowiedzialność stron</w:t>
      </w:r>
    </w:p>
    <w:p>
      <w:pPr>
        <w:spacing w:after="160"/>
        <w:jc w:val="left"/>
      </w:pPr>
      <w:r>
        <w:rPr>
          <w:rFonts w:ascii="Calibri" w:cs="Calibri" w:eastAsia="Calibri" w:hAnsi="Calibri"/>
          <w:b w:val="false"/>
          <w:bCs w:val="false"/>
          <w:i w:val="false"/>
          <w:iCs w:val="false"/>
          <w:color w:val="24272C"/>
          <w:sz w:val="21"/>
          <w:szCs w:val="21"/>
        </w:rPr>
        <w:t xml:space="preserve">1. Zleceniobiorca ponosi odpowiedzialność za należyte wykonanie powierzonych zadań, zgodnie z obowiązującymi przepisami prawa i zasadami wiedzy technicznej.</w:t>
      </w:r>
    </w:p>
    <w:p>
      <w:pPr>
        <w:spacing w:after="160"/>
        <w:jc w:val="left"/>
      </w:pPr>
      <w:r>
        <w:rPr>
          <w:rFonts w:ascii="Calibri" w:cs="Calibri" w:eastAsia="Calibri" w:hAnsi="Calibri"/>
          <w:b w:val="false"/>
          <w:bCs w:val="false"/>
          <w:i w:val="false"/>
          <w:iCs w:val="false"/>
          <w:color w:val="24272C"/>
          <w:sz w:val="21"/>
          <w:szCs w:val="21"/>
        </w:rPr>
        <w:t xml:space="preserve">2. Powierzenie wykonywania zadań służby bhp specjaliście zewnętrznemu nie zwalnia pracodawcy z odpowiedzialności za stan bezpieczeństwa i higieny pracy w zakładzie, wynikającej z Kodeksu pracy.</w:t>
      </w:r>
    </w:p>
    <w:p>
      <w:pPr>
        <w:spacing w:after="160"/>
        <w:jc w:val="left"/>
      </w:pPr>
      <w:r>
        <w:rPr>
          <w:rFonts w:ascii="Calibri" w:cs="Calibri" w:eastAsia="Calibri" w:hAnsi="Calibri"/>
          <w:b w:val="false"/>
          <w:bCs w:val="false"/>
          <w:i w:val="false"/>
          <w:iCs w:val="false"/>
          <w:color w:val="24272C"/>
          <w:sz w:val="21"/>
          <w:szCs w:val="21"/>
        </w:rPr>
        <w:t xml:space="preserve">3. Zleceniodawca zobowiązuje się do zapewnienia Zleceniobiorcy dostępu do informacji, dokumentacji i pomieszczeń niezbędnych do prawidłowego wykonania przedmiotu umowy.</w:t>
      </w:r>
    </w:p>
    <w:p>
      <w:pPr>
        <w:pBdr>
          <w:left w:val="single" w:color="0E7C7A" w:sz="24" w:space="8"/>
        </w:pBdr>
        <w:spacing w:after="140" w:before="280"/>
        <w:ind w:left="20"/>
      </w:pPr>
      <w:r>
        <w:rPr>
          <w:rFonts w:ascii="Calibri" w:cs="Calibri" w:eastAsia="Calibri" w:hAnsi="Calibri"/>
          <w:b/>
          <w:bCs/>
          <w:color w:val="24272C"/>
          <w:sz w:val="24"/>
          <w:szCs w:val="24"/>
        </w:rPr>
        <w:t xml:space="preserve">§ 7. Poufność</w:t>
      </w:r>
    </w:p>
    <w:p>
      <w:pPr>
        <w:spacing w:after="160"/>
        <w:jc w:val="left"/>
      </w:pPr>
      <w:r>
        <w:rPr>
          <w:rFonts w:ascii="Calibri" w:cs="Calibri" w:eastAsia="Calibri" w:hAnsi="Calibri"/>
          <w:b w:val="false"/>
          <w:bCs w:val="false"/>
          <w:i w:val="false"/>
          <w:iCs w:val="false"/>
          <w:color w:val="24272C"/>
          <w:sz w:val="21"/>
          <w:szCs w:val="21"/>
        </w:rPr>
        <w:t xml:space="preserve">Strony zobowiązują się do zachowania w tajemnicy informacji uzyskanych w związku z wykonywaniem niniejszej umowy, w szczególności dotyczących organizacji, technologii i danych osobowych pracowników zleceniodawcy.</w:t>
      </w:r>
    </w:p>
    <w:p>
      <w:pPr>
        <w:pBdr>
          <w:left w:val="single" w:color="0E7C7A" w:sz="24" w:space="8"/>
        </w:pBdr>
        <w:spacing w:after="140" w:before="280"/>
        <w:ind w:left="20"/>
      </w:pPr>
      <w:r>
        <w:rPr>
          <w:rFonts w:ascii="Calibri" w:cs="Calibri" w:eastAsia="Calibri" w:hAnsi="Calibri"/>
          <w:b/>
          <w:bCs/>
          <w:color w:val="24272C"/>
          <w:sz w:val="24"/>
          <w:szCs w:val="24"/>
        </w:rPr>
        <w:t xml:space="preserve">§ 8. Okres obowiązywania i rozwiązanie umowy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8%"/>
            <w:tcBorders>
              <w:top w:val="single" w:color="D9DCE1" w:sz="4"/>
              <w:left w:val="single" w:color="D9DCE1" w:sz="4"/>
              <w:bottom w:val="single" w:color="D9DCE1" w:sz="4"/>
              <w:right w:val="single" w:color="D9DCE1" w:sz="4"/>
            </w:tcBorders>
            <w:shd w:fill="F5F6F7" w:val="clear"/>
            <w:tcMar>
              <w:top w:type="dxa" w:w="60"/>
              <w:left w:type="dxa" w:w="80"/>
              <w:bottom w:type="dxa" w:w="60"/>
              <w:right w:type="dxa" w:w="80"/>
            </w:tcMar>
            <w:vAlign w:val="center"/>
          </w:tcPr>
          <w:p>
            <w:pPr>
              <w:jc w:val="left"/>
            </w:pPr>
            <w:r>
              <w:rPr>
                <w:rFonts w:ascii="Calibri" w:cs="Calibri" w:eastAsia="Calibri" w:hAnsi="Calibri"/>
                <w:b/>
                <w:bCs/>
                <w:i w:val="false"/>
                <w:iCs w:val="false"/>
                <w:color w:val="24272C"/>
                <w:sz w:val="19"/>
                <w:szCs w:val="19"/>
              </w:rPr>
              <w:t xml:space="preserve">Umowa zawarta na czas (określony/nieokreślony):</w:t>
            </w:r>
          </w:p>
        </w:tc>
        <w:tc>
          <w:tcPr>
            <w:tcW w:type="pct" w:w="62%"/>
            <w:tcBorders>
              <w:top w:val="single" w:color="D9DCE1" w:sz="4"/>
              <w:left w:val="single" w:color="D9DCE1" w:sz="4"/>
              <w:bottom w:val="single" w:color="D9DCE1" w:sz="4"/>
              <w:right w:val="single" w:color="D9DCE1" w:sz="4"/>
            </w:tcBorders>
            <w:shd w:fill="FDF1D6" w:val="clear"/>
            <w:tcMar>
              <w:top w:type="dxa" w:w="60"/>
              <w:left w:type="dxa" w:w="80"/>
              <w:bottom w:type="dxa" w:w="60"/>
              <w:right w:type="dxa" w:w="80"/>
            </w:tcMar>
            <w:vAlign w:val="center"/>
          </w:tcPr>
          <w:p>
            <w:r>
              <w:rPr>
                <w:rFonts w:ascii="Calibri" w:cs="Calibri" w:eastAsia="Calibri" w:hAnsi="Calibri"/>
                <w:sz w:val="19"/>
                <w:szCs w:val="19"/>
              </w:rPr>
              <w:t xml:space="preserve"> </w:t>
            </w:r>
          </w:p>
        </w:tc>
      </w:tr>
      <w:tr>
        <w:tc>
          <w:tcPr>
            <w:tcW w:type="pct" w:w="38%"/>
            <w:tcBorders>
              <w:top w:val="single" w:color="D9DCE1" w:sz="4"/>
              <w:left w:val="single" w:color="D9DCE1" w:sz="4"/>
              <w:bottom w:val="single" w:color="D9DCE1" w:sz="4"/>
              <w:right w:val="single" w:color="D9DCE1" w:sz="4"/>
            </w:tcBorders>
            <w:shd w:fill="F5F6F7" w:val="clear"/>
            <w:tcMar>
              <w:top w:type="dxa" w:w="60"/>
              <w:left w:type="dxa" w:w="80"/>
              <w:bottom w:type="dxa" w:w="60"/>
              <w:right w:type="dxa" w:w="80"/>
            </w:tcMar>
            <w:vAlign w:val="center"/>
          </w:tcPr>
          <w:p>
            <w:pPr>
              <w:jc w:val="left"/>
            </w:pPr>
            <w:r>
              <w:rPr>
                <w:rFonts w:ascii="Calibri" w:cs="Calibri" w:eastAsia="Calibri" w:hAnsi="Calibri"/>
                <w:b/>
                <w:bCs/>
                <w:i w:val="false"/>
                <w:iCs w:val="false"/>
                <w:color w:val="24272C"/>
                <w:sz w:val="19"/>
                <w:szCs w:val="19"/>
              </w:rPr>
              <w:t xml:space="preserve">Okres wypowiedzenia:</w:t>
            </w:r>
          </w:p>
        </w:tc>
        <w:tc>
          <w:tcPr>
            <w:tcW w:type="pct" w:w="62%"/>
            <w:tcBorders>
              <w:top w:val="single" w:color="D9DCE1" w:sz="4"/>
              <w:left w:val="single" w:color="D9DCE1" w:sz="4"/>
              <w:bottom w:val="single" w:color="D9DCE1" w:sz="4"/>
              <w:right w:val="single" w:color="D9DCE1" w:sz="4"/>
            </w:tcBorders>
            <w:shd w:fill="FDF1D6" w:val="clear"/>
            <w:tcMar>
              <w:top w:type="dxa" w:w="60"/>
              <w:left w:type="dxa" w:w="80"/>
              <w:bottom w:type="dxa" w:w="60"/>
              <w:right w:type="dxa" w:w="80"/>
            </w:tcMar>
            <w:vAlign w:val="center"/>
          </w:tcPr>
          <w:p>
            <w:r>
              <w:rPr>
                <w:rFonts w:ascii="Calibri" w:cs="Calibri" w:eastAsia="Calibri" w:hAnsi="Calibri"/>
                <w:sz w:val="19"/>
                <w:szCs w:val="19"/>
              </w:rPr>
              <w:t xml:space="preserve"> </w:t>
            </w:r>
          </w:p>
        </w:tc>
      </w:tr>
    </w:tbl>
    <w:p>
      <w:pPr>
        <w:pBdr>
          <w:left w:val="single" w:color="0E7C7A" w:sz="24" w:space="8"/>
        </w:pBdr>
        <w:spacing w:after="140" w:before="280"/>
        <w:ind w:left="20"/>
      </w:pPr>
      <w:r>
        <w:rPr>
          <w:rFonts w:ascii="Calibri" w:cs="Calibri" w:eastAsia="Calibri" w:hAnsi="Calibri"/>
          <w:b/>
          <w:bCs/>
          <w:color w:val="24272C"/>
          <w:sz w:val="24"/>
          <w:szCs w:val="24"/>
        </w:rPr>
        <w:t xml:space="preserve">§ 9. Postanowienia końcowe</w:t>
      </w:r>
    </w:p>
    <w:p>
      <w:pPr>
        <w:spacing w:after="160"/>
        <w:jc w:val="left"/>
      </w:pPr>
      <w:r>
        <w:rPr>
          <w:rFonts w:ascii="Calibri" w:cs="Calibri" w:eastAsia="Calibri" w:hAnsi="Calibri"/>
          <w:b w:val="false"/>
          <w:bCs w:val="false"/>
          <w:i w:val="false"/>
          <w:iCs w:val="false"/>
          <w:color w:val="24272C"/>
          <w:sz w:val="21"/>
          <w:szCs w:val="21"/>
        </w:rPr>
        <w:t xml:space="preserve">1. Zmiany niniejszej umowy wymagają formy pisemnej pod rygorem nieważności.</w:t>
      </w:r>
    </w:p>
    <w:p>
      <w:pPr>
        <w:spacing w:after="160"/>
        <w:jc w:val="left"/>
      </w:pPr>
      <w:r>
        <w:rPr>
          <w:rFonts w:ascii="Calibri" w:cs="Calibri" w:eastAsia="Calibri" w:hAnsi="Calibri"/>
          <w:b w:val="false"/>
          <w:bCs w:val="false"/>
          <w:i w:val="false"/>
          <w:iCs w:val="false"/>
          <w:color w:val="24272C"/>
          <w:sz w:val="21"/>
          <w:szCs w:val="21"/>
        </w:rPr>
        <w:t xml:space="preserve">2. W sprawach nieuregulowanych niniejszą umową zastosowanie mają przepisy Kodeksu cywilnego oraz Kodeksu pracy w zakresie dotyczącym służby bhp.</w:t>
      </w:r>
    </w:p>
    <w:p>
      <w:pPr>
        <w:spacing w:after="160"/>
        <w:jc w:val="left"/>
      </w:pPr>
      <w:r>
        <w:rPr>
          <w:rFonts w:ascii="Calibri" w:cs="Calibri" w:eastAsia="Calibri" w:hAnsi="Calibri"/>
          <w:b w:val="false"/>
          <w:bCs w:val="false"/>
          <w:i w:val="false"/>
          <w:iCs w:val="false"/>
          <w:color w:val="24272C"/>
          <w:sz w:val="21"/>
          <w:szCs w:val="21"/>
        </w:rPr>
        <w:t xml:space="preserve">3. Umowę sporządzono w dwóch jednobrzmiących egzemplarzach, po jednym dla każdej ze stron.</w:t>
      </w:r>
    </w:p>
    <w:p>
      <w:pPr>
        <w:spacing w:after="260" w:before="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left w:val="none"/>
              <w:bottom w:val="none"/>
              <w:right w:val="none"/>
            </w:tcBorders>
          </w:tcPr>
          <w:p>
            <w:pPr>
              <w:spacing w:after="60"/>
            </w:pPr>
            <w:r>
              <w:rPr>
                <w:rFonts w:ascii="Calibri" w:cs="Calibri" w:eastAsia="Calibri" w:hAnsi="Calibri"/>
                <w:sz w:val="20"/>
                <w:szCs w:val="20"/>
              </w:rPr>
              <w:t xml:space="preserve">……………………………………………………</w:t>
            </w:r>
          </w:p>
          <w:p>
            <w:r>
              <w:rPr>
                <w:rFonts w:ascii="Calibri" w:cs="Calibri" w:eastAsia="Calibri" w:hAnsi="Calibri"/>
                <w:i/>
                <w:iCs/>
                <w:color w:val="6B7280"/>
                <w:sz w:val="17"/>
                <w:szCs w:val="17"/>
              </w:rPr>
              <w:t xml:space="preserve">Zleceniodawca</w:t>
            </w:r>
          </w:p>
        </w:tc>
        <w:tc>
          <w:tcPr>
            <w:tcW w:type="pct" w:w="50%"/>
            <w:tcBorders>
              <w:top w:val="none"/>
              <w:left w:val="none"/>
              <w:bottom w:val="none"/>
              <w:right w:val="none"/>
            </w:tcBorders>
          </w:tcPr>
          <w:p>
            <w:pPr>
              <w:spacing w:after="60"/>
            </w:pPr>
            <w:r>
              <w:rPr>
                <w:rFonts w:ascii="Calibri" w:cs="Calibri" w:eastAsia="Calibri" w:hAnsi="Calibri"/>
                <w:sz w:val="20"/>
                <w:szCs w:val="20"/>
              </w:rPr>
              <w:t xml:space="preserve">……………………………………………………</w:t>
            </w:r>
          </w:p>
          <w:p>
            <w:r>
              <w:rPr>
                <w:rFonts w:ascii="Calibri" w:cs="Calibri" w:eastAsia="Calibri" w:hAnsi="Calibri"/>
                <w:i/>
                <w:iCs/>
                <w:color w:val="6B7280"/>
                <w:sz w:val="17"/>
                <w:szCs w:val="17"/>
              </w:rPr>
              <w:t xml:space="preserve">Zleceniobiorca</w:t>
            </w:r>
          </w:p>
        </w:tc>
      </w:tr>
    </w:tbl>
    <w:p>
      <w:pPr>
        <w:pBdr>
          <w:top w:val="single" w:color="D9DCE1" w:sz="6" w:space="8"/>
        </w:pBdr>
        <w:spacing w:before="500"/>
      </w:pPr>
    </w:p>
    <w:p>
      <w:pPr>
        <w:spacing w:after="0"/>
        <w:jc w:val="left"/>
      </w:pPr>
      <w:r>
        <w:rPr>
          <w:rFonts w:ascii="Calibri" w:cs="Calibri" w:eastAsia="Calibri" w:hAnsi="Calibri"/>
          <w:b w:val="false"/>
          <w:bCs w:val="false"/>
          <w:i/>
          <w:iCs/>
          <w:color w:val="24272C"/>
          <w:sz w:val="17"/>
          <w:szCs w:val="17"/>
        </w:rPr>
        <w:t xml:space="preserve">Niniejszy szablon ma charakter pomocniczy — przed użyciem w praktyce zaleca się konsultację z prawnikiem w celu dostosowania treści do konkretnej sytuacji i ewentualnej weryfikacji zgodności z aktualnym stanem prawnym.</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CE1" w:sz="4" w:space="4"/>
      </w:pBdr>
      <w:tabs>
        <w:tab w:val="right" w:pos="9026"/>
      </w:tabs>
    </w:pPr>
    <w:r>
      <w:rPr>
        <w:rFonts w:ascii="Calibri" w:cs="Calibri" w:eastAsia="Calibri" w:hAnsi="Calibri"/>
        <w:i/>
        <w:iCs/>
        <w:color w:val="6B7280"/>
        <w:sz w:val="15"/>
        <w:szCs w:val="15"/>
      </w:rPr>
      <w:t xml:space="preserve">O.4 — dokument BHP · wzór do dostosowania do specyfiki zakładu pracy</w:t>
    </w:r>
    <w:r>
      <w:rPr>
        <w:rFonts w:ascii="Calibri" w:cs="Calibri" w:eastAsia="Calibri" w:hAnsi="Calibri"/>
        <w:color w:val="6B7280"/>
        <w:sz w:val="15"/>
        <w:szCs w:val="15"/>
      </w:rPr>
      <w:t xml:space="preserve">	Str. </w:t>
    </w:r>
    <w:r>
      <w:rPr>
        <w:rFonts w:ascii="Calibri" w:cs="Calibri" w:eastAsia="Calibri" w:hAnsi="Calibri"/>
        <w:b/>
        <w:bCs/>
        <w:color w:val="0E7C7A"/>
        <w:sz w:val="17"/>
        <w:szCs w:val="17"/>
      </w:rPr>
      <w:fldChar w:fldCharType="begin"/>
      <w:instrText xml:space="preserve">PAGE</w:instrText>
      <w:fldChar w:fldCharType="separate"/>
      <w:fldChar w:fldCharType="end"/>
    </w:r>
    <w:r>
      <w:rPr>
        <w:rFonts w:ascii="Calibri" w:cs="Calibri" w:eastAsia="Calibri" w:hAnsi="Calibri"/>
        <w:color w:val="6B7280"/>
        <w:sz w:val="15"/>
        <w:szCs w:val="15"/>
      </w:rPr>
      <w:t xml:space="preserve"> / </w:t>
    </w:r>
    <w:r>
      <w:rPr>
        <w:rFonts w:ascii="Calibri" w:cs="Calibri" w:eastAsia="Calibri" w:hAnsi="Calibri"/>
        <w:b/>
        <w:bCs/>
        <w:color w:val="0E7C7A"/>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7A" w:sz="12" w:space="4"/>
      </w:pBdr>
      <w:shd w:fill="24272C" w:val="clear"/>
      <w:tabs>
        <w:tab w:val="right" w:pos="9026"/>
      </w:tabs>
    </w:pPr>
    <w:r>
      <w:rPr>
        <w:rFonts w:ascii="Calibri" w:cs="Calibri" w:eastAsia="Calibri" w:hAnsi="Calibri"/>
        <w:b/>
        <w:bCs/>
        <w:color w:val="FFFFFF"/>
        <w:sz w:val="16"/>
        <w:szCs w:val="16"/>
      </w:rPr>
      <w:t xml:space="preserve">  [ MIEJSCE NA LOGO ]     Nazwa firmy / konsultanta BHP     www.twojastrona.pl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2026-09-02T09:17:59.008Z</dcterms:created>
  <dcterms:modified xsi:type="dcterms:W3CDTF">2026-09-02T09:17:59.008Z</dcterms:modified>
</cp:coreProperties>
</file>

<file path=docProps/custom.xml><?xml version="1.0" encoding="utf-8"?>
<Properties xmlns="http://schemas.openxmlformats.org/officeDocument/2006/custom-properties" xmlns:vt="http://schemas.openxmlformats.org/officeDocument/2006/docPropsVTypes"/>
</file>