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 xml:space="preserve">PEŁNOMOCNICTWO</w:t>
      </w:r>
    </w:p>
    <w:p/>
    <w:p>
      <w:pPr>
        <w:jc w:val="right"/>
      </w:pPr>
      <w:r>
        <w:t xml:space="preserve">30 kwietnia 2026</w:t>
      </w:r>
    </w:p>
    <w:p/>
    <w:p>
      <w:r>
        <w:t xml:space="preserve">Ja, niżej podpisany(-a) </w:t>
        <w:t xml:space="preserve">Anastazja Wełniak</w:t>
        <w:t xml:space="preserve">, urodzony(-a) </w:t>
        <w:t xml:space="preserve">1998-04-29</w:t>
        <w:t xml:space="preserve">, obywatelstwa </w:t>
        <w:t xml:space="preserve">Ukraina</w:t>
        <w:t xml:space="preserve">, niniejszym udzielam pełnomocnictwa Kancelarii GetMyPermit do reprezentowania mnie w sprawie pobytowej </w:t>
        <w:t xml:space="preserve">25/899</w:t>
        <w:t xml:space="preserve"> (kategoria: </w:t>
        <w:t xml:space="preserve">Pobyt — praca</w:t>
        <w:t xml:space="preserve">) przed właściwymi organami administracji publicznej Rzeczypospolitej Polskiej.</w:t>
      </w:r>
    </w:p>
    <w:p/>
    <w:p>
      <w:r>
        <w:t xml:space="preserve">Pełnomocnictwo obejmuje w szczególności:</w:t>
      </w:r>
    </w:p>
    <w:p>
      <w:pPr>
        <w:pStyle w:val="ListBullet"/>
      </w:pPr>
      <w:r>
        <w:t xml:space="preserve">— składanie wniosków, pism, dokumentów i oświadczeń;</w:t>
      </w:r>
    </w:p>
    <w:p>
      <w:pPr>
        <w:pStyle w:val="ListBullet"/>
      </w:pPr>
      <w:r>
        <w:t xml:space="preserve">— odbiór decyzji, postanowień i pism;</w:t>
      </w:r>
    </w:p>
    <w:p>
      <w:pPr>
        <w:pStyle w:val="ListBullet"/>
      </w:pPr>
      <w:r>
        <w:t xml:space="preserve">— zapoznanie z aktami sprawy;</w:t>
      </w:r>
    </w:p>
    <w:p>
      <w:pPr>
        <w:pStyle w:val="ListBullet"/>
      </w:pPr>
      <w:r>
        <w:t xml:space="preserve">— ustanawianie pełnomocnika substytucyjnego.</w:t>
      </w:r>
    </w:p>
    <w:p/>
    <w:p>
      <w:r>
        <w:t xml:space="preserve">Pełnomocnictwo jest ważne do czasu zakończenia sprawy lub jego pisemnego cofnięcia.</w:t>
      </w:r>
    </w:p>
    <w:p/>
    <w:p/>
    <w:p>
      <w:pPr>
        <w:jc w:val="right"/>
      </w:pPr>
      <w:r>
        <w:rPr>
          <w:i/>
        </w:rPr>
        <w:t xml:space="preserve">___________________________</w:t>
      </w:r>
    </w:p>
    <w:p>
      <w:pPr>
        <w:jc w:val="right"/>
      </w:pPr>
      <w:r>
        <w:rPr>
          <w:i/>
        </w:rPr>
        <w:t xml:space="preserve">(podpis czytelny mocodawcy)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