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color w:val="0000FF"/>
          <w:sz w:val="36"/>
          <w:b/>
          <w:szCs w:val="36"/>
          <w:bCs/>
          <w:rFonts w:ascii="Calibri" w:cs="Times New Roman" w:hAnsi="Calibri"/>
          <w:lang w:val="en-US"/>
        </w:rPr>
        <w:t>Quantum Chemistry Methods for Predicting and Interpreting Nonlinear Optical (NLO) Properties</w:t>
      </w:r>
    </w:p>
    <w:p>
      <w:pPr>
        <w:pStyle w:val="style0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cs="Times New Roman" w:hAnsi="Calibri"/>
          <w:lang w:val="en-US"/>
        </w:rPr>
        <w:t xml:space="preserve">Benoît CHAMPAGNE </w:t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cs="Times New Roman" w:hAnsi="Calibri"/>
          <w:lang w:val="en-US"/>
        </w:rPr>
        <w:t>Krakow (Poland), 2014-2015 (1</w:t>
      </w:r>
      <w:r>
        <w:rPr>
          <w:sz w:val="28"/>
          <w:b/>
          <w:szCs w:val="28"/>
          <w:bCs/>
          <w:rFonts w:ascii="Calibri" w:cs="Times New Roman" w:hAnsi="Calibri"/>
          <w:lang w:val="en-US"/>
        </w:rPr>
        <w:t>st</w:t>
      </w:r>
      <w:r>
        <w:rPr>
          <w:sz w:val="28"/>
          <w:b/>
          <w:szCs w:val="28"/>
          <w:bCs/>
          <w:rFonts w:ascii="Calibri" w:cs="Times New Roman" w:hAnsi="Calibri"/>
          <w:lang w:val="en-US"/>
        </w:rPr>
        <w:t xml:space="preserve"> semester) – 40 H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Wednesday 22</w:t>
      </w:r>
      <w:r>
        <w:rPr>
          <w:color w:val="C0504D"/>
          <w:b/>
          <w:bCs/>
          <w:rFonts w:ascii="Calibri" w:cs="Times New Roman" w:hAnsi="Calibri"/>
          <w:lang w:val="en-US"/>
        </w:rPr>
        <w:t>nd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</w:t>
      </w:r>
      <w:r>
        <w:rPr>
          <w:color w:val="C0504D"/>
          <w:b/>
          <w:bCs/>
          <w:rFonts w:ascii="Calibri" w:cs="Times New Roman" w:hAnsi="Calibri"/>
          <w:lang w:val="en-US"/>
        </w:rPr>
        <w:t>afternoon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 xml:space="preserve">I. </w:t>
        <w:tab/>
        <w:t>Context, definitions, and motivations (1/2 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  <w:lang w:val="fr-BE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II.</w:t>
        <w:tab/>
        <w:t>Elements of quantum chemistry (1/2 H)</w:t>
      </w:r>
    </w:p>
    <w:p>
      <w:pPr>
        <w:pStyle w:val="style0"/>
        <w:spacing w:after="40" w:before="40" w:line="280" w:lineRule="atLeast"/>
      </w:pPr>
      <w:r>
        <w:rPr>
          <w:bCs/>
          <w:rFonts w:ascii="Calibri" w:hAnsi="Calibri"/>
        </w:rPr>
        <w:tab/>
        <w:tab/>
        <w:t>II.A. From the Born-Oppenheimer approximation to the HF method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III.</w:t>
        <w:tab/>
        <w:t>(Hyper)polarizability expressions (1 H)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 xml:space="preserve">IV. </w:t>
        <w:tab/>
        <w:t>(Hyper)polarizabilities as responses properties (2H)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IV.A. The CPHF scheme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IV.B. The FF method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IV.C. The TDHF scheme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Thursday 23</w:t>
      </w:r>
      <w:r>
        <w:rPr>
          <w:color w:val="C0504D"/>
          <w:b/>
          <w:bCs/>
          <w:rFonts w:ascii="Calibri" w:cs="Times New Roman" w:hAnsi="Calibri"/>
          <w:lang w:val="en-US"/>
        </w:rPr>
        <w:t>rd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morning</w:t>
      </w:r>
    </w:p>
    <w:p>
      <w:pPr>
        <w:pStyle w:val="style0"/>
        <w:jc w:val="both"/>
        <w:ind w:hanging="1843" w:left="1843" w:right="0"/>
        <w:spacing w:after="40" w:before="40" w:line="280" w:lineRule="atLeast"/>
      </w:pPr>
      <w:r>
        <w:rPr>
          <w:b/>
          <w:bCs/>
          <w:rFonts w:ascii="Calibri" w:hAnsi="Calibri"/>
        </w:rPr>
        <w:t>Computer Lab 1 </w:t>
      </w:r>
      <w:r>
        <w:rPr>
          <w:bCs/>
          <w:rFonts w:ascii="Calibri" w:hAnsi="Calibri"/>
        </w:rPr>
        <w:t xml:space="preserve">: How to choose the field amplitude in a Hartree-Fock/Finite Field calculation of the polarizability, first and second hyperpolarizabilities of </w:t>
      </w:r>
      <w:r>
        <w:rPr>
          <w:i/>
          <w:bCs/>
          <w:rFonts w:ascii="Calibri" w:hAnsi="Calibri"/>
        </w:rPr>
        <w:t>p</w:t>
      </w:r>
      <w:r>
        <w:rPr>
          <w:bCs/>
          <w:rFonts w:ascii="Calibri" w:hAnsi="Calibri"/>
        </w:rPr>
        <w:t xml:space="preserve">-nitroaniline ? – comparison with the CPHF methods </w:t>
      </w:r>
      <w:r>
        <w:rPr>
          <w:b/>
          <w:bCs/>
          <w:rFonts w:ascii="Calibri" w:hAnsi="Calibri"/>
        </w:rPr>
        <w:t>(3H)</w:t>
      </w:r>
      <w:r>
        <w:rPr>
          <w:bCs/>
          <w:rFonts w:ascii="Calibri" w:hAnsi="Calibri"/>
        </w:rPr>
        <w:t>.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Thursday 23</w:t>
      </w:r>
      <w:r>
        <w:rPr>
          <w:color w:val="C0504D"/>
          <w:b/>
          <w:bCs/>
          <w:rFonts w:ascii="Calibri" w:cs="Times New Roman" w:hAnsi="Calibri"/>
          <w:lang w:val="en-US"/>
        </w:rPr>
        <w:t>rd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afternoon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V.</w:t>
        <w:tab/>
        <w:t>Electron correlation effects (4H)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ab/>
        <w:t>V.A. Wavefunction methods (MPPT, CI, CC)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V.B. Response approaches at the correlated level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V.C. DFT and TDDFT response methods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 xml:space="preserve">V.D. Wavefunction methods and basis set effects on </w:t>
      </w:r>
      <w:r>
        <w:rPr>
          <w:rFonts w:ascii="Symbol" w:hAnsi="Symbol"/>
        </w:rPr>
        <w:t></w:t>
      </w:r>
      <w:r>
        <w:rPr>
          <w:rFonts w:ascii="Calibri" w:hAnsi="Calibri"/>
        </w:rPr>
        <w:t xml:space="preserve"> and </w:t>
      </w:r>
      <w:r>
        <w:rPr>
          <w:rFonts w:ascii="Symbol" w:hAnsi="Symbol"/>
        </w:rPr>
        <w:t>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ab/>
        <w:t>1. Small molecules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ab/>
        <w:t>2. Large molecules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V.E. Assessment of DFT approaches</w:t>
        <w:tab/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ab/>
        <w:t>1. Extended systems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ab/>
        <w:t>2. Small/reference molecules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ab/>
        <w:tab/>
        <w:tab/>
      </w:r>
      <w:r>
        <w:rPr>
          <w:rFonts w:ascii="Calibri" w:hAnsi="Calibri"/>
        </w:rPr>
        <w:t>3. Molecular switches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Friday 24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[the results will be analyzed later]</w:t>
      </w:r>
    </w:p>
    <w:p>
      <w:pPr>
        <w:pStyle w:val="style0"/>
        <w:jc w:val="both"/>
        <w:ind w:hanging="1843" w:left="1843" w:right="0"/>
        <w:spacing w:after="40" w:before="40" w:line="280" w:lineRule="atLeast"/>
      </w:pPr>
      <w:r>
        <w:rPr>
          <w:b/>
          <w:bCs/>
          <w:rFonts w:ascii="Calibri" w:hAnsi="Calibri"/>
        </w:rPr>
        <w:t>Computer Lab 2 </w:t>
      </w:r>
      <w:r>
        <w:rPr>
          <w:bCs/>
          <w:rFonts w:ascii="Calibri" w:hAnsi="Calibri"/>
        </w:rPr>
        <w:t xml:space="preserve">: Effect of the basis set on the polarizability, first and second hyperpolarizabilities of formaldehyde and </w:t>
      </w:r>
      <w:r>
        <w:rPr>
          <w:i/>
          <w:bCs/>
          <w:rFonts w:ascii="Calibri" w:hAnsi="Calibri"/>
        </w:rPr>
        <w:t>p</w:t>
      </w:r>
      <w:r>
        <w:rPr>
          <w:bCs/>
          <w:rFonts w:ascii="Calibri" w:hAnsi="Calibri"/>
        </w:rPr>
        <w:t xml:space="preserve">-nitroaniline </w:t>
      </w:r>
      <w:r>
        <w:rPr>
          <w:b/>
          <w:bCs/>
          <w:rFonts w:ascii="Calibri" w:hAnsi="Calibri"/>
        </w:rPr>
        <w:t>(3H)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Wednesday 5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afternoon 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VI.</w:t>
        <w:tab/>
        <w:t>(Hyper)polarizabilities from perturbation theory (3H)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VI.A. Rayleigh-Schrödinger PT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VI.B. Basic SOS expressions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VI.C. SOS/CI expressions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VI.D. Variations on the SOS expressions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Thursday 6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morning [+ discussion on basis set effects] </w:t>
      </w:r>
    </w:p>
    <w:p>
      <w:pPr>
        <w:pStyle w:val="style0"/>
        <w:jc w:val="both"/>
        <w:ind w:hanging="851" w:left="851" w:right="0"/>
        <w:spacing w:after="40" w:before="40" w:line="280" w:lineRule="atLeast"/>
      </w:pPr>
      <w:r>
        <w:rPr>
          <w:b/>
          <w:bCs/>
          <w:rFonts w:ascii="Calibri" w:hAnsi="Calibri"/>
        </w:rPr>
        <w:t>Computer Lab 3 </w:t>
      </w:r>
      <w:r>
        <w:rPr>
          <w:bCs/>
          <w:rFonts w:ascii="Calibri" w:hAnsi="Calibri"/>
        </w:rPr>
        <w:t xml:space="preserve">: </w:t>
      </w:r>
      <w:bookmarkStart w:id="0" w:name="_GoBack"/>
      <w:bookmarkEnd w:id="0"/>
      <w:r>
        <w:rPr>
          <w:bCs/>
          <w:rFonts w:ascii="Calibri" w:hAnsi="Calibri"/>
        </w:rPr>
        <w:t xml:space="preserve">Effect of electron correlation (wavefunction and DFT) on the polarizability, first and second hyperpolarizabilities of formaldehyde and </w:t>
      </w:r>
      <w:r>
        <w:rPr>
          <w:i/>
          <w:bCs/>
          <w:rFonts w:ascii="Calibri" w:hAnsi="Calibri"/>
        </w:rPr>
        <w:t>p</w:t>
      </w:r>
      <w:r>
        <w:rPr>
          <w:bCs/>
          <w:rFonts w:ascii="Calibri" w:hAnsi="Calibri"/>
        </w:rPr>
        <w:t xml:space="preserve">-nitroaniline </w:t>
      </w:r>
      <w:r>
        <w:rPr>
          <w:b/>
          <w:bCs/>
          <w:rFonts w:ascii="Calibri" w:hAnsi="Calibri"/>
        </w:rPr>
        <w:t>(3H)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Thursday 6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afternoon 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VII.</w:t>
        <w:tab/>
        <w:t>Illustrations</w:t>
      </w:r>
      <w:r>
        <w:rPr>
          <w:b/>
          <w:rFonts w:ascii="Calibri" w:hAnsi="Calibri"/>
        </w:rPr>
        <w:t xml:space="preserve"> dealing with </w:t>
      </w:r>
      <w:r>
        <w:rPr>
          <w:b/>
          <w:rFonts w:ascii="Symbol" w:hAnsi="Symbol"/>
        </w:rPr>
        <w:t></w:t>
      </w:r>
      <w:r>
        <w:rPr>
          <w:b/>
          <w:bCs/>
          <w:rFonts w:ascii="Calibri" w:hAnsi="Calibri"/>
        </w:rPr>
        <w:t xml:space="preserve"> (3H)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 xml:space="preserve">VII.A. D/A effects on </w:t>
      </w:r>
      <w:r>
        <w:rPr>
          <w:rFonts w:ascii="Symbol" w:hAnsi="Symbol"/>
        </w:rPr>
        <w:t>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ab/>
        <w:t xml:space="preserve">VII.A. Size and shape effects on </w:t>
      </w:r>
      <w:r>
        <w:rPr>
          <w:rFonts w:ascii="Symbol" w:hAnsi="Symbol"/>
        </w:rPr>
        <w:t>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VII.B. Molecular switches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Friday 7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afternoon 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VIII.</w:t>
        <w:tab/>
        <w:t>Illustrations</w:t>
      </w:r>
      <w:r>
        <w:rPr>
          <w:b/>
          <w:rFonts w:ascii="Calibri" w:hAnsi="Calibri"/>
        </w:rPr>
        <w:t xml:space="preserve"> dealing with </w:t>
      </w:r>
      <w:r>
        <w:rPr>
          <w:b/>
          <w:rFonts w:ascii="Symbol" w:hAnsi="Symbol"/>
        </w:rPr>
        <w:t></w:t>
      </w:r>
      <w:r>
        <w:rPr>
          <w:b/>
          <w:bCs/>
          <w:rFonts w:ascii="Calibri" w:hAnsi="Calibri"/>
        </w:rPr>
        <w:t xml:space="preserve"> (3H)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ab/>
        <w:t>VIII.A.</w:t>
      </w:r>
      <w:r>
        <w:rPr>
          <w:rFonts w:ascii="Symbol" w:hAnsi="Symbol"/>
        </w:rPr>
        <w:t></w:t>
      </w:r>
      <w:r>
        <w:rPr>
          <w:rFonts w:ascii="Calibri" w:hAnsi="Calibri"/>
        </w:rPr>
        <w:t xml:space="preserve"> of π-conjugated systems, BLA and size effects 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VIII.B. D/A effects on</w:t>
      </w:r>
      <w:r>
        <w:rPr>
          <w:rFonts w:ascii="Symbol" w:hAnsi="Symbol"/>
        </w:rPr>
        <w:t>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VIII.C.</w:t>
      </w:r>
      <w:r>
        <w:rPr>
          <w:rFonts w:ascii="Symbol" w:hAnsi="Symbol"/>
        </w:rPr>
        <w:t></w:t>
      </w:r>
      <w:r>
        <w:rPr>
          <w:rFonts w:ascii="Calibri" w:hAnsi="Calibri"/>
        </w:rPr>
        <w:t xml:space="preserve"> of open-shell systems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Friday 7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morning </w:t>
      </w:r>
    </w:p>
    <w:p>
      <w:pPr>
        <w:pStyle w:val="style0"/>
        <w:jc w:val="both"/>
        <w:ind w:hanging="1701" w:left="1701" w:right="0"/>
        <w:spacing w:after="40" w:before="40" w:line="280" w:lineRule="atLeast"/>
      </w:pPr>
      <w:r>
        <w:rPr>
          <w:b/>
          <w:bCs/>
          <w:rFonts w:ascii="Calibri" w:hAnsi="Calibri"/>
        </w:rPr>
        <w:t>Computer Lab 4 </w:t>
      </w:r>
      <w:r>
        <w:rPr>
          <w:bCs/>
          <w:rFonts w:ascii="Calibri" w:hAnsi="Calibri"/>
        </w:rPr>
        <w:t xml:space="preserve">: Designing π-conjugated systems with large first and second hyperpolarizabilities – choice of the nature and position of the substituents </w:t>
      </w:r>
      <w:r>
        <w:rPr>
          <w:b/>
          <w:bCs/>
          <w:rFonts w:ascii="Calibri" w:hAnsi="Calibri"/>
        </w:rPr>
        <w:t>(3H)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  <w:t>January 2015 (probably 26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to 29</w:t>
      </w:r>
      <w:r>
        <w:rPr>
          <w:color w:val="C0504D"/>
          <w:b/>
          <w:bCs/>
          <w:rFonts w:ascii="Calibri" w:cs="Times New Roman" w:hAnsi="Calibri"/>
          <w:lang w:val="en-US"/>
        </w:rPr>
        <w:t>th</w:t>
      </w:r>
      <w:r>
        <w:rPr>
          <w:color w:val="C0504D"/>
          <w:b/>
          <w:bCs/>
          <w:rFonts w:ascii="Calibri" w:cs="Times New Roman" w:hAnsi="Calibri"/>
          <w:lang w:val="en-US"/>
        </w:rPr>
        <w:t xml:space="preserve"> – to be announced</w:t>
      </w:r>
      <w:r>
        <w:rPr>
          <w:color w:val="C0504D"/>
          <w:b/>
          <w:bCs/>
          <w:rFonts w:ascii="Calibri" w:cs="Times New Roman" w:hAnsi="Calibri"/>
          <w:lang w:val="en-US"/>
        </w:rPr>
        <w:t>)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IX.</w:t>
        <w:tab/>
        <w:t>Vibrational hyperpolarizabilities (4H)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ab/>
        <w:t>I.X.A. Bishop-Kirtman perturbation theory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I.X.B. ∞-optical frequency approximation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I.X.C. FF-NR scheme and FIC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I.X.D. Zero-point vibrational average contributions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I.X.E. Illustrations on the importance of the vibrational contributions</w:t>
      </w:r>
    </w:p>
    <w:p>
      <w:pPr>
        <w:pStyle w:val="style0"/>
        <w:jc w:val="both"/>
        <w:ind w:hanging="851" w:left="851" w:right="0"/>
        <w:spacing w:after="40" w:before="40" w:line="280" w:lineRule="atLeast"/>
      </w:pPr>
      <w:r>
        <w:rPr>
          <w:b/>
          <w:bCs/>
          <w:rFonts w:ascii="Calibri" w:hAnsi="Calibri"/>
        </w:rPr>
      </w:r>
    </w:p>
    <w:p>
      <w:pPr>
        <w:pStyle w:val="style0"/>
        <w:jc w:val="both"/>
        <w:ind w:hanging="2127" w:left="2127" w:right="0"/>
        <w:spacing w:after="40" w:before="40" w:line="280" w:lineRule="atLeast"/>
      </w:pPr>
      <w:r>
        <w:rPr>
          <w:b/>
          <w:bCs/>
          <w:rFonts w:ascii="Calibri" w:hAnsi="Calibri"/>
        </w:rPr>
        <w:t>Computer Lab 5 </w:t>
      </w:r>
      <w:r>
        <w:rPr>
          <w:bCs/>
          <w:rFonts w:ascii="Calibri" w:hAnsi="Calibri"/>
        </w:rPr>
        <w:t xml:space="preserve">: Electronic versus vibrational polarizabilities, first and second hyperpolarizabilities of formaldehyde and </w:t>
      </w:r>
      <w:r>
        <w:rPr>
          <w:i/>
          <w:bCs/>
          <w:rFonts w:ascii="Calibri" w:hAnsi="Calibri"/>
        </w:rPr>
        <w:t>p</w:t>
      </w:r>
      <w:r>
        <w:rPr>
          <w:bCs/>
          <w:rFonts w:ascii="Calibri" w:hAnsi="Calibri"/>
        </w:rPr>
        <w:t xml:space="preserve">-nitroaniline </w:t>
      </w:r>
      <w:r>
        <w:rPr>
          <w:b/>
          <w:bCs/>
          <w:rFonts w:ascii="Calibri" w:hAnsi="Calibri"/>
        </w:rPr>
        <w:t>(3H)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hAnsi="Calibri"/>
        </w:rPr>
        <w:t>X.</w:t>
        <w:tab/>
        <w:t>Effects of the surrounding (4H)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ab/>
        <w:t>X.A. Solvent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  <w:tab/>
        <w:tab/>
        <w:t>X.B. Solid state</w:t>
      </w:r>
    </w:p>
    <w:p>
      <w:pPr>
        <w:pStyle w:val="style0"/>
        <w:spacing w:after="40" w:before="40" w:line="280" w:lineRule="atLeast"/>
      </w:pPr>
      <w:r>
        <w:rPr>
          <w:rFonts w:ascii="Calibri" w:hAnsi="Calibri"/>
        </w:rPr>
      </w:r>
    </w:p>
    <w:p>
      <w:pPr>
        <w:pStyle w:val="style0"/>
        <w:jc w:val="center"/>
      </w:pPr>
      <w:r>
        <w:rPr>
          <w:color w:val="0000FF"/>
          <w:sz w:val="36"/>
          <w:b/>
          <w:szCs w:val="36"/>
          <w:bCs/>
          <w:rFonts w:ascii="Calibri" w:cs="Times New Roman" w:hAnsi="Calibri"/>
          <w:lang w:val="en-US"/>
        </w:rPr>
        <w:t>Vibrational spectroscopies and their simulations</w:t>
      </w:r>
    </w:p>
    <w:p>
      <w:pPr>
        <w:pStyle w:val="style0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cs="Times New Roman" w:hAnsi="Calibri"/>
          <w:lang w:val="en-US"/>
        </w:rPr>
        <w:t xml:space="preserve">Benoît CHAMPAGNE </w:t>
      </w:r>
    </w:p>
    <w:p>
      <w:pPr>
        <w:pStyle w:val="style0"/>
        <w:jc w:val="center"/>
      </w:pPr>
      <w:r>
        <w:rPr>
          <w:sz w:val="28"/>
          <w:b/>
          <w:szCs w:val="28"/>
          <w:bCs/>
          <w:rFonts w:ascii="Calibri" w:cs="Times New Roman" w:hAnsi="Calibri"/>
          <w:lang w:val="en-US"/>
        </w:rPr>
        <w:t>Krakow (Poland), 2014-2015 (2</w:t>
      </w:r>
      <w:r>
        <w:rPr>
          <w:sz w:val="28"/>
          <w:b/>
          <w:szCs w:val="28"/>
          <w:bCs/>
          <w:rFonts w:ascii="Calibri" w:cs="Times New Roman" w:hAnsi="Calibri"/>
          <w:lang w:val="en-US"/>
        </w:rPr>
        <w:t>nd</w:t>
      </w:r>
      <w:r>
        <w:rPr>
          <w:sz w:val="28"/>
          <w:b/>
          <w:szCs w:val="28"/>
          <w:bCs/>
          <w:rFonts w:ascii="Calibri" w:cs="Times New Roman" w:hAnsi="Calibri"/>
          <w:lang w:val="en-US"/>
        </w:rPr>
        <w:t xml:space="preserve"> semester) – 20 H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spacing w:after="40" w:before="40" w:line="280" w:lineRule="atLeast"/>
      </w:pPr>
      <w:r>
        <w:rPr>
          <w:color w:val="C0504D"/>
          <w:b/>
          <w:bCs/>
          <w:rFonts w:ascii="Calibri" w:cs="Times New Roman" w:hAnsi="Calibri"/>
          <w:lang w:val="en-US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  <w:t>I. Vibrational frequencies and normal modes</w:t>
      </w:r>
    </w:p>
    <w:p>
      <w:pPr>
        <w:pStyle w:val="style0"/>
        <w:spacing w:after="40" w:before="40" w:line="280" w:lineRule="atLeast"/>
      </w:pPr>
      <w:r>
        <w:rPr>
          <w:bCs/>
          <w:rFonts w:ascii="Calibri" w:cs="Times New Roman" w:hAnsi="Calibri"/>
          <w:lang w:val="en-US"/>
        </w:rPr>
        <w:tab/>
        <w:tab/>
        <w:t>I.A. Hessian and force constants</w:t>
      </w:r>
    </w:p>
    <w:p>
      <w:pPr>
        <w:pStyle w:val="style0"/>
        <w:spacing w:after="40" w:before="40" w:line="280" w:lineRule="atLeast"/>
      </w:pPr>
      <w:r>
        <w:rPr>
          <w:bCs/>
          <w:rFonts w:ascii="Calibri" w:cs="Times New Roman" w:hAnsi="Calibri"/>
          <w:lang w:val="en-US"/>
        </w:rPr>
        <w:tab/>
        <w:tab/>
        <w:t>I.B. Anharmonicity corrections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fr-BE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  <w:t>II. IR, Raman, and hyper-Raman spectroscopy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  <w:t>III. Sum-Frequency generation (SFG)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  <w:t>IV Chirality-related techniques (VCD &amp; VROA)</w:t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</w:r>
    </w:p>
    <w:p>
      <w:pPr>
        <w:pStyle w:val="style0"/>
        <w:spacing w:after="40" w:before="40" w:line="280" w:lineRule="atLeast"/>
      </w:pPr>
      <w:r>
        <w:rPr>
          <w:b/>
          <w:bCs/>
          <w:rFonts w:ascii="Calibri" w:cs="Times New Roman" w:hAnsi="Calibri"/>
          <w:lang w:val="en-US"/>
        </w:rPr>
        <w:t>V. Resonance spectroscopies (RR, RhR, and DR-SFG)</w:t>
      </w:r>
    </w:p>
    <w:p>
      <w:pPr>
        <w:pStyle w:val="style0"/>
        <w:spacing w:after="40" w:before="40" w:line="280" w:lineRule="atLeast"/>
      </w:pPr>
      <w:r>
        <w:rPr/>
      </w:r>
    </w:p>
    <w:sectPr>
      <w:formProt w:val="off"/>
      <w:pgSz w:h="16838" w:w="11906"/>
      <w:textDirection w:val="lrTb"/>
      <w:pgNumType w:fmt="decimal"/>
      <w:type w:val="nextPage"/>
      <w:footerReference r:id="rId2" w:type="even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25"/>
      <w:ind w:hanging="0" w:left="0" w:right="360"/>
    </w:pP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="http://schemas.openxmlformats.org/wordprocessingml/2006/main">
  <w:p>
    <w:pPr>
      <w:pStyle w:val="style25"/>
      <w:r>
        <w:fldChar w:fldCharType="begin"/>
      </w:r>
      <w:r>
        <w:rPr/>
        <w:fldChar w:fldCharType="begin"/>
      </w:r>
      <w:r>
        <w:instrText> PAGE </w:instrText>
      </w:r>
      <w:r>
        <w:fldChar w:fldCharType="separate"/>
      </w:r>
      <w:r>
        <w:t>3</w:t>
      </w:r>
      <w:r>
        <w:fldChar w:fldCharType="end"/>
      </w:r>
    </w:pPr>
  </w:p>
  <w:p>
    <w:pPr>
      <w:pStyle w:val="style25"/>
      <w:ind w:hanging="0" w:left="0" w:right="360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4"/>
      <w:rFonts w:ascii="Cambria" w:cs="" w:eastAsia="DejaVu Sans" w:hAnsi="Cambria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Footer Char"/>
    <w:basedOn w:val="style15"/>
    <w:next w:val="style16"/>
    <w:rPr/>
  </w:style>
  <w:style w:styleId="style17" w:type="character">
    <w:name w:val="page number"/>
    <w:basedOn w:val="style15"/>
    <w:next w:val="style17"/>
    <w:rPr/>
  </w:style>
  <w:style w:styleId="style18" w:type="character">
    <w:name w:val="Head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List Paragraph"/>
    <w:basedOn w:val="style0"/>
    <w:next w:val="style24"/>
    <w:pPr/>
    <w:rPr/>
  </w:style>
  <w:style w:styleId="style25" w:type="paragraph">
    <w:name w:val="Footer"/>
    <w:basedOn w:val="style0"/>
    <w:next w:val="style25"/>
    <w:pPr>
      <w:tabs>
        <w:tab w:leader="none" w:pos="4320" w:val="center"/>
        <w:tab w:leader="none" w:pos="8640" w:val="right"/>
      </w:tabs>
      <w:suppressLineNumbers/>
    </w:pPr>
    <w:rPr/>
  </w:style>
  <w:style w:styleId="style26" w:type="paragraph">
    <w:name w:val="Header"/>
    <w:basedOn w:val="style0"/>
    <w:next w:val="style26"/>
    <w:pPr>
      <w:tabs>
        <w:tab w:leader="none" w:pos="4320" w:val="center"/>
        <w:tab w:leader="none" w:pos="8640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2014-10-08T14:55:00.00Z</dcterms:created>
  <dc:creator>Benoît CHAMPAGNE</dc:creator>
  <cp:lastModifiedBy>Benoît CHAMPAGNE</cp:lastModifiedBy>
  <cp:lastPrinted>2014-10-08T15:03:00.00Z</cp:lastPrinted>
  <dcterms:modified xsi:type="dcterms:W3CDTF">2014-10-08T15:49:00.00Z</dcterms:modified>
  <cp:revision>18</cp:revision>
</cp:coreProperties>
</file>