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spacing w:after="213"/>
      </w:pPr>
      <w:r>
        <w:rPr>
          <w:rFonts w:ascii="Helvetica" w:hAnsi="Helvetica" w:cs="Helvetica"/>
          <w:sz w:val="29"/>
          <w:sz-cs w:val="29"/>
          <w:u w:val="single"/>
          <w:spacing w:val="0"/>
          <w:color w:val="000000"/>
        </w:rPr>
        <w:t xml:space="preserve">Hook line (Tom):</w:t>
      </w:r>
    </w:p>
    <w:p>
      <w:pPr>
        <w:jc w:val="both"/>
        <w:spacing w:after="213"/>
      </w:pPr>
      <w:r>
        <w:rPr>
          <w:rFonts w:ascii="Helvetica" w:hAnsi="Helvetica" w:cs="Helvetica"/>
          <w:sz w:val="29"/>
          <w:sz-cs w:val="29"/>
          <w:spacing w:val="0"/>
          <w:color w:val="000000"/>
        </w:rPr>
        <w:t xml:space="preserve">Hello everyone, we are Massey University Team. Welcome to our SkyCity presentation!</w:t>
      </w:r>
      <w:r>
        <w:rPr>
          <w:rFonts w:ascii="Times" w:hAnsi="Times" w:cs="Times"/>
          <w:sz w:val="24"/>
          <w:sz-cs w:val="24"/>
          <w:spacing w:val="0"/>
          <w:color w:val="000000"/>
        </w:rPr>
        <w:t xml:space="preserve"/>
      </w:r>
    </w:p>
    <w:p>
      <w:pPr>
        <w:jc w:val="both"/>
        <w:spacing w:after="213"/>
      </w:pPr>
      <w:r>
        <w:rPr>
          <w:rFonts w:ascii="Helvetica" w:hAnsi="Helvetica" w:cs="Helvetica"/>
          <w:sz w:val="29"/>
          <w:sz-cs w:val="29"/>
          <w:spacing w:val="0"/>
          <w:color w:val="000000"/>
        </w:rPr>
        <w:t xml:space="preserve">1) Opening line:</w:t>
      </w:r>
    </w:p>
    <w:p>
      <w:pPr>
        <w:jc w:val="both"/>
        <w:spacing w:after="213"/>
      </w:pPr>
      <w:r>
        <w:rPr>
          <w:rFonts w:ascii="Helvetica" w:hAnsi="Helvetica" w:cs="Helvetica"/>
          <w:sz w:val="29"/>
          <w:sz-cs w:val="29"/>
          <w:spacing w:val="0"/>
          <w:color w:val="000000"/>
        </w:rPr>
        <w:t xml:space="preserve">Whether you are big fan of gaming or not, Team Massey strongly advices to keep your mind on the money inside but not on their stock.</w:t>
      </w:r>
    </w:p>
    <w:p>
      <w:pPr>
        <w:jc w:val="both"/>
        <w:spacing w:after="213"/>
      </w:pPr>
      <w:r>
        <w:rPr>
          <w:rFonts w:ascii="Helvetica Neue" w:hAnsi="Helvetica Neue" w:cs="Helvetica Neue"/>
          <w:sz w:val="26"/>
          <w:sz-cs w:val="26"/>
          <w:spacing w:val="0"/>
          <w:color w:val="16181B"/>
        </w:rPr>
        <w:t xml:space="preserve">ESG:</w:t>
      </w:r>
    </w:p>
    <w:p>
      <w:pPr/>
      <w:r>
        <w:rPr>
          <w:rFonts w:ascii="Helvetica" w:hAnsi="Helvetica" w:cs="Helvetica"/>
          <w:sz w:val="26"/>
          <w:sz-cs w:val="26"/>
          <w:spacing w:val="0"/>
          <w:color w:val="000000"/>
        </w:rPr>
        <w:t xml:space="preserve">There are  different ways of calculating ESG scores, yet it boils down to collecting data points, creating questionnaires to come up with three dimension scores which are the parts for one overall ESG score.</w:t>
      </w:r>
    </w:p>
    <w:p>
      <w:pPr/>
      <w:r>
        <w:rPr>
          <w:rFonts w:ascii="Helvetica Neue" w:hAnsi="Helvetica Neue" w:cs="Helvetica Neue"/>
          <w:sz w:val="26"/>
          <w:sz-cs w:val="26"/>
          <w:spacing w:val="0"/>
          <w:color w:val="16181B"/>
        </w:rPr>
        <w:t xml:space="preserve"/>
      </w:r>
    </w:p>
    <w:p>
      <w:pPr>
        <w:spacing w:after="450"/>
      </w:pPr>
      <w:r>
        <w:rPr>
          <w:rFonts w:ascii="Helvetica Neue" w:hAnsi="Helvetica Neue" w:cs="Helvetica Neue"/>
          <w:sz w:val="26"/>
          <w:sz-cs w:val="26"/>
          <w:spacing w:val="0"/>
          <w:color w:val="16181B"/>
        </w:rPr>
        <w:t xml:space="preserve">SkyCity's ESG performance of </w:t>
      </w:r>
      <w:r>
        <w:rPr>
          <w:rFonts w:ascii="Helvetica Neue" w:hAnsi="Helvetica Neue" w:cs="Helvetica Neue"/>
          <w:sz w:val="26"/>
          <w:sz-cs w:val="26"/>
          <w:b/>
          <w:spacing w:val="0"/>
          <w:color w:val="16181B"/>
        </w:rPr>
        <w:t xml:space="preserve">(3.63/10) from Bloomberg </w:t>
      </w:r>
      <w:r>
        <w:rPr>
          <w:rFonts w:ascii="Helvetica Neue" w:hAnsi="Helvetica Neue" w:cs="Helvetica Neue"/>
          <w:sz w:val="26"/>
          <w:sz-cs w:val="26"/>
          <w:spacing w:val="0"/>
          <w:color w:val="16181B"/>
        </w:rPr>
        <w:t xml:space="preserve"> shows a mixed picture.  While exceeding industry averages in some social areas (responsible gambling and community initiatives exceeding $71 million since 1996), significant improvements are needed across other areas.</w:t>
      </w:r>
    </w:p>
    <w:p>
      <w:pPr>
        <w:spacing w:after="450"/>
      </w:pPr>
      <w:r>
        <w:rPr>
          <w:rFonts w:ascii="Helvetica Neue" w:hAnsi="Helvetica Neue" w:cs="Helvetica Neue"/>
          <w:sz w:val="24"/>
          <w:sz-cs w:val="24"/>
          <w:b/>
          <w:spacing w:val="0"/>
          <w:color w:val="16181B"/>
        </w:rPr>
        <w:t xml:space="preserve">Environmental Pillar :</w:t>
      </w:r>
      <w:r>
        <w:rPr>
          <w:rFonts w:ascii="Helvetica Neue" w:hAnsi="Helvetica Neue" w:cs="Helvetica Neue"/>
          <w:sz w:val="24"/>
          <w:sz-cs w:val="24"/>
          <w:spacing w:val="0"/>
          <w:color w:val="16181B"/>
        </w:rPr>
        <w:t xml:space="preserve"> company scores high on climate exposure &amp; sustainability initiatives and emission reduction.</w:t>
      </w:r>
    </w:p>
    <w:p>
      <w:pPr/>
      <w:r>
        <w:rPr>
          <w:rFonts w:ascii="Helvetica Neue" w:hAnsi="Helvetica Neue" w:cs="Helvetica Neue"/>
          <w:sz w:val="24"/>
          <w:sz-cs w:val="24"/>
          <w:b/>
          <w:spacing w:val="0"/>
          <w:color w:val="16181B"/>
        </w:rPr>
        <w:t xml:space="preserve">Strong performance Green House Gasses  over the Revenue </w:t>
      </w:r>
      <w:r>
        <w:rPr>
          <w:rFonts w:ascii="Helvetica Neue" w:hAnsi="Helvetica Neue" w:cs="Helvetica Neue"/>
          <w:sz w:val="24"/>
          <w:sz-cs w:val="24"/>
          <w:spacing w:val="0"/>
          <w:color w:val="16181B"/>
        </w:rPr>
        <w:t xml:space="preserve">-in Scopes from 1 to 3 compared to its peers</w:t>
      </w:r>
    </w:p>
    <w:p>
      <w:pPr/>
      <w:r>
        <w:rPr>
          <w:rFonts w:ascii="Helvetica Neue" w:hAnsi="Helvetica Neue" w:cs="Helvetica Neue"/>
          <w:sz w:val="24"/>
          <w:sz-cs w:val="24"/>
          <w:b/>
          <w:spacing w:val="0"/>
          <w:color w:val="16181B"/>
        </w:rPr>
        <w:t xml:space="preserve">1- emissions from owned and controlled sources</w:t>
      </w:r>
    </w:p>
    <w:p>
      <w:pPr/>
      <w:r>
        <w:rPr>
          <w:rFonts w:ascii="Helvetica Neue" w:hAnsi="Helvetica Neue" w:cs="Helvetica Neue"/>
          <w:sz w:val="24"/>
          <w:sz-cs w:val="24"/>
          <w:b/>
          <w:spacing w:val="0"/>
          <w:color w:val="16181B"/>
        </w:rPr>
        <w:t xml:space="preserve">2- emissions from generated or purchased electricity</w:t>
      </w:r>
    </w:p>
    <w:p>
      <w:pPr/>
      <w:r>
        <w:rPr>
          <w:rFonts w:ascii="Helvetica Neue" w:hAnsi="Helvetica Neue" w:cs="Helvetica Neue"/>
          <w:sz w:val="24"/>
          <w:sz-cs w:val="24"/>
          <w:b/>
          <w:spacing w:val="0"/>
          <w:color w:val="16181B"/>
        </w:rPr>
        <w:t xml:space="preserve">3- indirect emissions from company's value chain (commuting to work).</w:t>
      </w:r>
    </w:p>
    <w:p>
      <w:pPr/>
      <w:r>
        <w:rPr>
          <w:rFonts w:ascii="Helvetica Neue" w:hAnsi="Helvetica Neue" w:cs="Helvetica Neue"/>
          <w:sz w:val="24"/>
          <w:sz-cs w:val="24"/>
          <w:spacing w:val="0"/>
          <w:color w:val="16181B"/>
        </w:rPr>
        <w:t xml:space="preserve"/>
      </w:r>
    </w:p>
    <w:p>
      <w:pPr/>
      <w:r>
        <w:rPr>
          <w:rFonts w:ascii="Helvetica Neue" w:hAnsi="Helvetica Neue" w:cs="Helvetica Neue"/>
          <w:sz w:val="24"/>
          <w:sz-cs w:val="24"/>
          <w:spacing w:val="0"/>
          <w:color w:val="16181B"/>
        </w:rPr>
        <w:t xml:space="preserve">Strengths include top-quartile ranking in green gas emissions. Opportunities exist in water and energy management.</w:t>
      </w:r>
      <w:r>
        <w:rPr>
          <w:rFonts w:ascii="Helvetica Neue" w:hAnsi="Helvetica Neue" w:cs="Helvetica Neue"/>
          <w:sz w:val="24"/>
          <w:sz-cs w:val="24"/>
          <w:spacing w:val="0"/>
          <w:color w:val="16181B"/>
        </w:rPr>
        <w:t xml:space="preserve"/>
      </w:r>
    </w:p>
    <w:p>
      <w:pPr/>
      <w:r>
        <w:rPr>
          <w:rFonts w:ascii="Helvetica Neue" w:hAnsi="Helvetica Neue" w:cs="Helvetica Neue"/>
          <w:sz w:val="24"/>
          <w:sz-cs w:val="24"/>
          <w:spacing w:val="0"/>
          <w:color w:val="16181B"/>
        </w:rPr>
        <w:t xml:space="preserve"/>
      </w:r>
    </w:p>
    <w:p>
      <w:pPr/>
      <w:r>
        <w:rPr>
          <w:rFonts w:ascii="Helvetica Neue" w:hAnsi="Helvetica Neue" w:cs="Helvetica Neue"/>
          <w:sz w:val="24"/>
          <w:sz-cs w:val="24"/>
          <w:spacing w:val="0"/>
          <w:color w:val="16181B"/>
        </w:rPr>
        <w:t xml:space="preserve"/>
      </w:r>
    </w:p>
    <w:p>
      <w:pPr>
        <w:spacing w:after="450"/>
      </w:pPr>
      <w:r>
        <w:rPr>
          <w:rFonts w:ascii="Helvetica Neue" w:hAnsi="Helvetica Neue" w:cs="Helvetica Neue"/>
          <w:sz w:val="24"/>
          <w:sz-cs w:val="24"/>
          <w:b/>
          <w:spacing w:val="0"/>
          <w:color w:val="16181B"/>
        </w:rPr>
        <w:t xml:space="preserve">Social Pillar :</w:t>
      </w:r>
      <w:r>
        <w:rPr>
          <w:rFonts w:ascii="Helvetica Neue" w:hAnsi="Helvetica Neue" w:cs="Helvetica Neue"/>
          <w:sz w:val="24"/>
          <w:sz-cs w:val="24"/>
          <w:spacing w:val="0"/>
          <w:color w:val="16181B"/>
        </w:rPr>
        <w:t xml:space="preserve"> Excellent in customer welfare and responsible gambling.</w:t>
      </w:r>
    </w:p>
    <w:p>
      <w:pPr>
        <w:spacing w:after="450"/>
      </w:pPr>
      <w:r>
        <w:rPr>
          <w:rFonts w:ascii="Helvetica Neue" w:hAnsi="Helvetica Neue" w:cs="Helvetica Neue"/>
          <w:sz w:val="24"/>
          <w:sz-cs w:val="24"/>
          <w:b/>
          <w:spacing w:val="0"/>
          <w:color w:val="16181B"/>
        </w:rPr>
        <w:t xml:space="preserve">Governance Pillar :</w:t>
      </w:r>
      <w:r>
        <w:rPr>
          <w:rFonts w:ascii="Helvetica Neue" w:hAnsi="Helvetica Neue" w:cs="Helvetica Neue"/>
          <w:sz w:val="24"/>
          <w:sz-cs w:val="24"/>
          <w:spacing w:val="0"/>
          <w:color w:val="16181B"/>
        </w:rPr>
        <w:t xml:space="preserve"> Diverse Board of Directors (recent changes 6/17 executives in less than a year). </w:t>
      </w:r>
      <w:r>
        <w:rPr>
          <w:rFonts w:ascii="Helvetica Neue" w:hAnsi="Helvetica Neue" w:cs="Helvetica Neue"/>
          <w:sz w:val="24"/>
          <w:sz-cs w:val="24"/>
          <w:spacing w:val="0"/>
          <w:color w:val="16181B"/>
        </w:rPr>
        <w:t xml:space="preserve">Demonstrates good diversity. </w:t>
      </w:r>
    </w:p>
    <w:p>
      <w:pPr/>
      <w:r>
        <w:rPr>
          <w:rFonts w:ascii="Helvetica Neue" w:hAnsi="Helvetica Neue" w:cs="Helvetica Neue"/>
          <w:sz w:val="24"/>
          <w:sz-cs w:val="24"/>
          <w:spacing w:val="0"/>
          <w:color w:val="16181B"/>
        </w:rPr>
        <w:t xml:space="preserve"/>
      </w:r>
    </w:p>
    <w:p>
      <w:pPr/>
      <w:r>
        <w:rPr>
          <w:rFonts w:ascii="Helvetica Neue" w:hAnsi="Helvetica Neue" w:cs="Helvetica Neue"/>
          <w:sz w:val="24"/>
          <w:sz-cs w:val="24"/>
          <w:spacing w:val="0"/>
          <w:color w:val="16181B"/>
        </w:rPr>
        <w:t xml:space="preserve">  </w:t>
      </w:r>
      <w:r>
        <w:rPr>
          <w:rFonts w:ascii="Helvetica Neue" w:hAnsi="Helvetica Neue" w:cs="Helvetica Neue"/>
          <w:sz w:val="24"/>
          <w:sz-cs w:val="24"/>
          <w:b/>
          <w:spacing w:val="0"/>
          <w:color w:val="16181B"/>
        </w:rPr>
        <w:t xml:space="preserve">    </w:t>
      </w:r>
    </w:p>
    <w:p>
      <w:pPr/>
      <w:r>
        <w:rPr>
          <w:rFonts w:ascii="Helvetica Neue" w:hAnsi="Helvetica Neue" w:cs="Helvetica Neue"/>
          <w:sz w:val="24"/>
          <w:sz-cs w:val="24"/>
          <w:b/>
          <w:spacing w:val="0"/>
          <w:color w:val="16181B"/>
        </w:rPr>
        <w:t xml:space="preserve">Challenges: </w:t>
      </w:r>
      <w:r>
        <w:rPr>
          <w:rFonts w:ascii="Helvetica Neue" w:hAnsi="Helvetica Neue" w:cs="Helvetica Neue"/>
          <w:sz w:val="24"/>
          <w:sz-cs w:val="24"/>
          <w:spacing w:val="0"/>
          <w:color w:val="16181B"/>
        </w:rPr>
        <w:t xml:space="preserve">Improving data security and ethics compliance</w:t>
      </w:r>
    </w:p>
    <w:p>
      <w:pPr/>
      <w:r>
        <w:rPr>
          <w:rFonts w:ascii="Helvetica Neue" w:hAnsi="Helvetica Neue" w:cs="Helvetica Neue"/>
          <w:sz w:val="24"/>
          <w:sz-cs w:val="24"/>
          <w:spacing w:val="0"/>
          <w:color w:val="16181B"/>
        </w:rPr>
        <w:t xml:space="preserve"/>
      </w:r>
    </w:p>
    <w:p>
      <w:pPr>
        <w:ind w:left="720" w:first-line="-720"/>
      </w:pPr>
      <w:r>
        <w:rPr>
          <w:rFonts w:ascii="Helvetica Neue" w:hAnsi="Helvetica Neue" w:cs="Helvetica Neue"/>
          <w:sz w:val="24"/>
          <w:sz-cs w:val="24"/>
          <w:color w:val="16181B"/>
        </w:rPr>
        <w:t xml:space="preserve"/>
        <w:tab/>
        <w:t xml:space="preserve">•</w:t>
      </w:r>
      <w:r>
        <w:rPr>
          <w:rFonts w:ascii="Helvetica Neue" w:hAnsi="Helvetica Neue" w:cs="Helvetica Neue"/>
          <w:sz w:val="24"/>
          <w:sz-cs w:val="24"/>
          <w:spacing w:val="0"/>
          <w:color w:val="16181B"/>
        </w:rPr>
        <w:t xml:space="preserve"/>
      </w:r>
    </w:p>
    <w:p>
      <w:pPr/>
      <w:r>
        <w:rPr>
          <w:rFonts w:ascii="Helvetica Neue" w:hAnsi="Helvetica Neue" w:cs="Helvetica Neue"/>
          <w:sz w:val="24"/>
          <w:sz-cs w:val="24"/>
          <w:spacing w:val="0"/>
          <w:color w:val="16181B"/>
        </w:rPr>
        <w:t xml:space="preserve"/>
      </w:r>
    </w:p>
    <w:p>
      <w:pPr/>
      <w:r>
        <w:rPr>
          <w:rFonts w:ascii="Helvetica Neue" w:hAnsi="Helvetica Neue" w:cs="Helvetica Neue"/>
          <w:sz w:val="26"/>
          <w:sz-cs w:val="26"/>
          <w:b/>
          <w:spacing w:val="0"/>
          <w:color w:val="16181B"/>
        </w:rPr>
        <w:t xml:space="preserve">Recommendations: </w:t>
      </w:r>
      <w:r>
        <w:rPr>
          <w:rFonts w:ascii="Helvetica Neue" w:hAnsi="Helvetica Neue" w:cs="Helvetica Neue"/>
          <w:sz w:val="26"/>
          <w:sz-cs w:val="26"/>
          <w:spacing w:val="0"/>
          <w:color w:val="16181B"/>
        </w:rPr>
        <w:t xml:space="preserve"> Focus should be on improving environmental performance , specifically addressing water and energy management. While social performance is relatively strong, further enhancement in employee compensation and benefits should be improved . Recent executive changes (6 of 17 in less than a year) may also impact future performance.</w:t>
      </w:r>
    </w:p>
    <w:p>
      <w:pPr/>
      <w:r>
        <w:rPr>
          <w:rFonts w:ascii="Helvetica Neue" w:hAnsi="Helvetica Neue" w:cs="Helvetica Neue"/>
          <w:sz w:val="26"/>
          <w:sz-cs w:val="26"/>
          <w:spacing w:val="0"/>
          <w:color w:val="16181B"/>
        </w:rPr>
        <w:t xml:space="preserve"/>
      </w:r>
    </w:p>
    <w:p>
      <w:pPr/>
      <w:r>
        <w:rPr>
          <w:rFonts w:ascii="Helvetica Neue" w:hAnsi="Helvetica Neue" w:cs="Helvetica Neue"/>
          <w:sz w:val="26"/>
          <w:sz-cs w:val="26"/>
          <w:spacing w:val="0"/>
          <w:color w:val="16181B"/>
        </w:rPr>
        <w:t xml:space="preserve"/>
      </w:r>
    </w:p>
    <w:p>
      <w:pPr/>
      <w:r>
        <w:rPr>
          <w:rFonts w:ascii="Helvetica Neue" w:hAnsi="Helvetica Neue" w:cs="Helvetica Neue"/>
          <w:sz w:val="26"/>
          <w:sz-cs w:val="26"/>
          <w:spacing w:val="0"/>
          <w:color w:val="16181B"/>
        </w:rPr>
        <w:t xml:space="preserve"/>
      </w:r>
    </w:p>
    <w:p>
      <w:pPr/>
      <w:r>
        <w:rPr>
          <w:rFonts w:ascii="Helvetica Neue" w:hAnsi="Helvetica Neue" w:cs="Helvetica Neue"/>
          <w:sz w:val="26"/>
          <w:sz-cs w:val="26"/>
          <w:spacing w:val="0"/>
          <w:color w:val="16181B"/>
        </w:rPr>
        <w:t xml:space="preserve"/>
      </w:r>
    </w:p>
    <w:p>
      <w:pPr/>
      <w:r>
        <w:rPr>
          <w:rFonts w:ascii="Helvetica Neue" w:hAnsi="Helvetica Neue" w:cs="Helvetica Neue"/>
          <w:sz w:val="26"/>
          <w:sz-cs w:val="26"/>
          <w:spacing w:val="0"/>
          <w:color w:val="16181B"/>
        </w:rPr>
        <w:t xml:space="preserve"/>
      </w:r>
    </w:p>
    <w:p>
      <w:pPr/>
      <w:r>
        <w:rPr>
          <w:rFonts w:ascii="Helvetica Neue" w:hAnsi="Helvetica Neue" w:cs="Helvetica Neue"/>
          <w:sz w:val="26"/>
          <w:sz-cs w:val="26"/>
          <w:spacing w:val="0"/>
          <w:color w:val="16181B"/>
        </w:rPr>
        <w:t xml:space="preserve">Close:</w:t>
      </w:r>
    </w:p>
    <w:p>
      <w:pPr/>
      <w:r>
        <w:rPr>
          <w:rFonts w:ascii="Helvetica Neue" w:hAnsi="Helvetica Neue" w:cs="Helvetica Neue"/>
          <w:sz w:val="26"/>
          <w:sz-cs w:val="26"/>
          <w:spacing w:val="0"/>
          <w:color w:val="16181B"/>
        </w:rPr>
        <w:t xml:space="preserve"/>
      </w:r>
    </w:p>
    <w:p>
      <w:pPr>
        <w:jc w:val="both"/>
        <w:spacing w:after="213"/>
      </w:pPr>
      <w:r>
        <w:rPr>
          <w:rFonts w:ascii="Helvetica" w:hAnsi="Helvetica" w:cs="Helvetica"/>
          <w:sz w:val="29"/>
          <w:sz-cs w:val="29"/>
          <w:spacing w:val="0"/>
          <w:color w:val="000000"/>
        </w:rPr>
        <w:t xml:space="preserve">Try to keep the gambling in skycity, not on skycity stocks needs to be more deliberate, saying that the stock is a sell. </w:t>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Valuation:</w:t>
      </w:r>
    </w:p>
    <w:p>
      <w:pPr>
        <w:jc w:val="both"/>
        <w:spacing w:after="213"/>
      </w:pPr>
      <w:r>
        <w:rPr>
          <w:rFonts w:ascii="Helvetica" w:hAnsi="Helvetica" w:cs="Helvetica"/>
          <w:sz w:val="29"/>
          <w:sz-cs w:val="29"/>
          <w:b/>
          <w:spacing w:val="0"/>
          <w:color w:val="000000"/>
        </w:rPr>
        <w:t xml:space="preserve">WACC : </w:t>
      </w:r>
      <w:r>
        <w:rPr>
          <w:rFonts w:ascii="Helvetica" w:hAnsi="Helvetica" w:cs="Helvetica"/>
          <w:sz w:val="29"/>
          <w:sz-cs w:val="29"/>
          <w:spacing w:val="0"/>
          <w:color w:val="000000"/>
        </w:rPr>
        <w:t xml:space="preserve">Betas (Damodaran, BBG), error factor</w:t>
      </w:r>
    </w:p>
    <w:p>
      <w:pPr>
        <w:jc w:val="both"/>
        <w:spacing w:after="213"/>
      </w:pPr>
      <w:r>
        <w:rPr>
          <w:rFonts w:ascii="Helvetica" w:hAnsi="Helvetica" w:cs="Helvetica"/>
          <w:sz w:val="29"/>
          <w:sz-cs w:val="29"/>
          <w:spacing w:val="0"/>
          <w:color w:val="000000"/>
        </w:rPr>
        <w:t xml:space="preserve">Cost of Equity (Fama French + CAPM) the average of two</w:t>
      </w:r>
    </w:p>
    <w:p>
      <w:pPr>
        <w:jc w:val="both"/>
        <w:spacing w:after="213"/>
      </w:pPr>
      <w:r>
        <w:rPr>
          <w:rFonts w:ascii="Helvetica" w:hAnsi="Helvetica" w:cs="Helvetica"/>
          <w:sz w:val="29"/>
          <w:sz-cs w:val="29"/>
          <w:spacing w:val="0"/>
          <w:color w:val="000000"/>
        </w:rPr>
        <w:t xml:space="preserve">Cost of Debt ( bond yield)</w:t>
      </w:r>
    </w:p>
    <w:p>
      <w:pPr>
        <w:jc w:val="both"/>
        <w:spacing w:after="213"/>
      </w:pPr>
      <w:r>
        <w:rPr>
          <w:rFonts w:ascii="Helvetica" w:hAnsi="Helvetica" w:cs="Helvetica"/>
          <w:sz w:val="29"/>
          <w:sz-cs w:val="29"/>
          <w:spacing w:val="0"/>
          <w:color w:val="000000"/>
        </w:rPr>
        <w:t xml:space="preserve">/////////////////////////////////////</w:t>
      </w:r>
    </w:p>
    <w:p>
      <w:pPr>
        <w:jc w:val="both"/>
        <w:spacing w:after="213"/>
      </w:pPr>
      <w:r>
        <w:rPr>
          <w:rFonts w:ascii="Helvetica" w:hAnsi="Helvetica" w:cs="Helvetica"/>
          <w:sz w:val="29"/>
          <w:sz-cs w:val="29"/>
          <w:spacing w:val="0"/>
          <w:color w:val="000000"/>
        </w:rPr>
        <w:t xml:space="preserve">DCF - &gt; FCFF (WACC), FCFE (k)- cost of equity</w:t>
      </w:r>
    </w:p>
    <w:p>
      <w:pPr>
        <w:jc w:val="both"/>
        <w:spacing w:after="213"/>
      </w:pPr>
      <w:r>
        <w:rPr>
          <w:rFonts w:ascii="Helvetica" w:hAnsi="Helvetica" w:cs="Helvetica"/>
          <w:sz w:val="29"/>
          <w:sz-cs w:val="29"/>
          <w:spacing w:val="0"/>
          <w:color w:val="000000"/>
        </w:rPr>
        <w:t xml:space="preserve">DCF=  ∑FCF/ (1+ WACC)^t   + TV/ (1+ WACC)^n</w:t>
      </w:r>
    </w:p>
    <w:p>
      <w:pPr>
        <w:jc w:val="both"/>
        <w:spacing w:after="213"/>
      </w:pPr>
      <w:r>
        <w:rPr>
          <w:rFonts w:ascii="Helvetica" w:hAnsi="Helvetica" w:cs="Helvetica"/>
          <w:sz w:val="29"/>
          <w:sz-cs w:val="29"/>
          <w:spacing w:val="0"/>
          <w:color w:val="000000"/>
        </w:rPr>
        <w:t xml:space="preserve">To calculate TV we use Gordon Growth Model or Exit Multiple Method</w:t>
      </w:r>
    </w:p>
    <w:p>
      <w:pPr>
        <w:jc w:val="both"/>
        <w:spacing w:after="213"/>
      </w:pPr>
      <w:r>
        <w:rPr>
          <w:rFonts w:ascii="Helvetica" w:hAnsi="Helvetica" w:cs="Helvetica"/>
          <w:sz w:val="29"/>
          <w:sz-cs w:val="29"/>
          <w:spacing w:val="0"/>
          <w:color w:val="000000"/>
        </w:rPr>
        <w:t xml:space="preserve">TV= Gordon Growth Model </w:t>
      </w:r>
    </w:p>
    <w:p>
      <w:pPr/>
      <w:r>
        <w:rPr>
          <w:rFonts w:ascii="Helvetica Neue" w:hAnsi="Helvetica Neue" w:cs="Helvetica Neue"/>
          <w:sz w:val="32"/>
          <w:sz-cs w:val="32"/>
          <w:spacing w:val="0"/>
          <w:color w:val="0F110F"/>
        </w:rPr>
        <w:t xml:space="preserve">TV = FCF(n+1) / (WACC - g)</w:t>
      </w:r>
    </w:p>
    <w:p>
      <w:pPr/>
      <w:r>
        <w:rPr>
          <w:rFonts w:ascii="Helvetica Neue" w:hAnsi="Helvetica Neue" w:cs="Helvetica Neue"/>
          <w:sz w:val="32"/>
          <w:sz-cs w:val="32"/>
          <w:spacing w:val="0"/>
          <w:color w:val="0F110F"/>
        </w:rPr>
        <w:t xml:space="preserve">g- perpetual growth</w:t>
      </w:r>
    </w:p>
    <w:p>
      <w:pPr/>
      <w:r>
        <w:rPr>
          <w:rFonts w:ascii="Helvetica Neue" w:hAnsi="Helvetica Neue" w:cs="Helvetica Neue"/>
          <w:sz w:val="32"/>
          <w:sz-cs w:val="32"/>
          <w:spacing w:val="0"/>
          <w:color w:val="0F110F"/>
        </w:rPr>
        <w:t xml:space="preserve"/>
      </w:r>
    </w:p>
    <w:p>
      <w:pPr>
        <w:jc w:val="both"/>
        <w:spacing w:after="213"/>
      </w:pPr>
      <w:r>
        <w:rPr>
          <w:rFonts w:ascii="Helvetica" w:hAnsi="Helvetica" w:cs="Helvetica"/>
          <w:sz w:val="29"/>
          <w:sz-cs w:val="29"/>
          <w:spacing w:val="0"/>
          <w:color w:val="000000"/>
        </w:rPr>
        <w:t xml:space="preserve">or Exit Multiple Method</w:t>
      </w:r>
    </w:p>
    <w:p>
      <w:pPr/>
      <w:r>
        <w:rPr>
          <w:rFonts w:ascii="Helvetica Neue" w:hAnsi="Helvetica Neue" w:cs="Helvetica Neue"/>
          <w:sz w:val="32"/>
          <w:sz-cs w:val="32"/>
          <w:spacing w:val="0"/>
          <w:color w:val="0F110F"/>
        </w:rPr>
        <w:t xml:space="preserve">TV = Exit Multiple * Financial Metric in final forecast year</w:t>
      </w:r>
    </w:p>
    <w:p>
      <w:pPr/>
      <w:r>
        <w:rPr>
          <w:rFonts w:ascii="Helvetica Neue" w:hAnsi="Helvetica Neue" w:cs="Helvetica Neue"/>
          <w:sz w:val="32"/>
          <w:sz-cs w:val="32"/>
          <w:spacing w:val="0"/>
          <w:color w:val="0F110F"/>
        </w:rPr>
        <w:t xml:space="preserve">For example:</w:t>
      </w:r>
    </w:p>
    <w:p>
      <w:pPr/>
      <w:r>
        <w:rPr>
          <w:rFonts w:ascii="Helvetica Neue" w:hAnsi="Helvetica Neue" w:cs="Helvetica Neue"/>
          <w:sz w:val="32"/>
          <w:sz-cs w:val="32"/>
          <w:spacing w:val="0"/>
          <w:color w:val="0F110F"/>
        </w:rPr>
        <w:t xml:space="preserve">TV = EV/EBITDA * Financial EBITDA in final forecast year</w:t>
      </w:r>
    </w:p>
    <w:p>
      <w:pPr/>
      <w:r>
        <w:rPr>
          <w:rFonts w:ascii="Helvetica Neue" w:hAnsi="Helvetica Neue" w:cs="Helvetica Neue"/>
          <w:sz w:val="32"/>
          <w:sz-cs w:val="32"/>
          <w:spacing w:val="0"/>
          <w:color w:val="0F110F"/>
        </w:rPr>
        <w:t xml:space="preserve">/////////////////////////////</w:t>
      </w: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 FCFE/k-g</w:t>
      </w:r>
    </w:p>
    <w:p>
      <w:pPr>
        <w:jc w:val="both"/>
        <w:spacing w:after="213"/>
      </w:pPr>
      <w:r>
        <w:rPr>
          <w:rFonts w:ascii="Helvetica" w:hAnsi="Helvetica" w:cs="Helvetica"/>
          <w:sz w:val="29"/>
          <w:sz-cs w:val="29"/>
          <w:spacing w:val="0"/>
          <w:color w:val="000000"/>
        </w:rPr>
        <w:t xml:space="preserve">k- cost of equity</w:t>
      </w:r>
    </w:p>
    <w:p>
      <w:pPr>
        <w:jc w:val="both"/>
        <w:spacing w:after="213"/>
      </w:pPr>
      <w:r>
        <w:rPr>
          <w:rFonts w:ascii="Helvetica" w:hAnsi="Helvetica" w:cs="Helvetica"/>
          <w:sz w:val="29"/>
          <w:sz-cs w:val="29"/>
          <w:spacing w:val="0"/>
          <w:color w:val="000000"/>
        </w:rPr>
        <w:t xml:space="preserve"/>
      </w:r>
    </w:p>
    <w:p>
      <w:pPr>
        <w:jc w:val="both"/>
        <w:spacing w:after="213"/>
      </w:pPr>
      <w:r>
        <w:rPr>
          <w:rFonts w:ascii="Helvetica" w:hAnsi="Helvetica" w:cs="Helvetica"/>
          <w:sz w:val="29"/>
          <w:sz-cs w:val="29"/>
          <w:spacing w:val="0"/>
          <w:color w:val="000000"/>
        </w:rPr>
        <w:t xml:space="preserve">FCFF/WACC-g</w:t>
      </w:r>
    </w:p>
    <w:p>
      <w:pPr>
        <w:jc w:val="both"/>
        <w:spacing w:after="213"/>
      </w:pPr>
      <w:r>
        <w:rPr>
          <w:rFonts w:ascii="Helvetica" w:hAnsi="Helvetica" w:cs="Helvetica"/>
          <w:sz w:val="29"/>
          <w:sz-cs w:val="29"/>
          <w:spacing w:val="0"/>
          <w:color w:val="000000"/>
        </w:rPr>
        <w:t xml:space="preserve">TV = (Dn+1)/ (k-g)</w:t>
      </w:r>
    </w:p>
    <w:p>
      <w:pPr>
        <w:jc w:val="both"/>
        <w:spacing w:after="213"/>
      </w:pPr>
      <w:r>
        <w:rPr>
          <w:rFonts w:ascii="Helvetica" w:hAnsi="Helvetica" w:cs="Helvetica"/>
          <w:sz w:val="29"/>
          <w:sz-cs w:val="29"/>
          <w:spacing w:val="0"/>
          <w:color w:val="000000"/>
        </w:rPr>
        <w:t xml:space="preserve">g - constant growth rate</w:t>
      </w:r>
    </w:p>
    <w:p>
      <w:pPr>
        <w:jc w:val="both"/>
        <w:spacing w:after="213"/>
      </w:pPr>
      <w:r>
        <w:rPr>
          <w:rFonts w:ascii="Helvetica" w:hAnsi="Helvetica" w:cs="Helvetica"/>
          <w:sz w:val="29"/>
          <w:sz-cs w:val="29"/>
          <w:spacing w:val="0"/>
          <w:color w:val="000000"/>
        </w:rPr>
        <w:t xml:space="preserve">Basic DDM Gordon Growth Model</w:t>
      </w:r>
    </w:p>
    <w:p>
      <w:pPr>
        <w:jc w:val="both"/>
        <w:spacing w:after="213"/>
      </w:pPr>
      <w:r>
        <w:rPr>
          <w:rFonts w:ascii="Helvetica" w:hAnsi="Helvetica" w:cs="Helvetica"/>
          <w:sz w:val="29"/>
          <w:sz-cs w:val="29"/>
          <w:spacing w:val="0"/>
          <w:color w:val="000000"/>
        </w:rPr>
        <w:t xml:space="preserve">P = D1/(k-g)</w:t>
      </w:r>
    </w:p>
    <w:p>
      <w:pPr>
        <w:jc w:val="both"/>
        <w:spacing w:after="213"/>
      </w:pPr>
      <w:r>
        <w:rPr>
          <w:rFonts w:ascii="Helvetica" w:hAnsi="Helvetica" w:cs="Helvetica"/>
          <w:sz w:val="29"/>
          <w:sz-cs w:val="29"/>
          <w:spacing w:val="0"/>
          <w:color w:val="000000"/>
        </w:rPr>
        <w:t xml:space="preserve">Multi  Stage Gordon Growth Model</w:t>
      </w:r>
    </w:p>
    <w:p>
      <w:pPr>
        <w:jc w:val="both"/>
        <w:spacing w:after="213"/>
      </w:pPr>
      <w:r>
        <w:rPr>
          <w:rFonts w:ascii="Helvetica" w:hAnsi="Helvetica" w:cs="Helvetica"/>
          <w:sz w:val="29"/>
          <w:sz-cs w:val="29"/>
          <w:spacing w:val="0"/>
          <w:color w:val="000000"/>
        </w:rPr>
        <w:t xml:space="preserve">DDM = ∑ Dt/(1+k)^n + (Dn(1+g)/(k-g))/1+k^n</w:t>
      </w:r>
    </w:p>
    <w:p>
      <w:pPr>
        <w:jc w:val="both"/>
        <w:spacing w:after="213"/>
      </w:pPr>
      <w:r>
        <w:rPr>
          <w:rFonts w:ascii="Helvetica" w:hAnsi="Helvetica" w:cs="Helvetica"/>
          <w:sz w:val="29"/>
          <w:sz-cs w:val="29"/>
          <w:spacing w:val="0"/>
          <w:color w:val="000000"/>
        </w:rPr>
        <w:t xml:space="preserve">Dt - expected dividend in year t</w:t>
      </w:r>
    </w:p>
    <w:p>
      <w:pPr>
        <w:jc w:val="both"/>
        <w:spacing w:after="213"/>
      </w:pPr>
      <w:r>
        <w:rPr>
          <w:rFonts w:ascii="Helvetica" w:hAnsi="Helvetica" w:cs="Helvetica"/>
          <w:sz w:val="29"/>
          <w:sz-cs w:val="29"/>
          <w:spacing w:val="0"/>
          <w:color w:val="000000"/>
        </w:rPr>
        <w:t xml:space="preserve">Dn - expected dividend in the final year</w:t>
      </w:r>
    </w:p>
    <w:p>
      <w:pPr>
        <w:jc w:val="both"/>
        <w:spacing w:after="213"/>
      </w:pPr>
      <w:r>
        <w:rPr>
          <w:rFonts w:ascii="Helvetica" w:hAnsi="Helvetica" w:cs="Helvetica"/>
          <w:sz w:val="29"/>
          <w:sz-cs w:val="29"/>
          <w:spacing w:val="0"/>
          <w:color w:val="000000"/>
        </w:rPr>
        <w:t xml:space="preserve">k - required rate of return for equity investors</w:t>
      </w:r>
    </w:p>
    <w:p>
      <w:pPr>
        <w:jc w:val="both"/>
        <w:spacing w:after="213"/>
      </w:pPr>
      <w:r>
        <w:rPr>
          <w:rFonts w:ascii="Helvetica" w:hAnsi="Helvetica" w:cs="Helvetica"/>
          <w:sz w:val="29"/>
          <w:sz-cs w:val="29"/>
          <w:spacing w:val="0"/>
          <w:color w:val="000000"/>
        </w:rPr>
        <w:t xml:space="preserve">g- constant growth rate of dividends</w:t>
      </w:r>
    </w:p>
    <w:p>
      <w:pPr>
        <w:jc w:val="both"/>
        <w:spacing w:after="213"/>
      </w:pPr>
      <w:r>
        <w:rPr>
          <w:rFonts w:ascii="Helvetica" w:hAnsi="Helvetica" w:cs="Helvetica"/>
          <w:sz w:val="29"/>
          <w:sz-cs w:val="29"/>
          <w:spacing w:val="0"/>
          <w:color w:val="000000"/>
        </w:rPr>
        <w:t xml:space="preserve">n- number of periods</w:t>
      </w:r>
    </w:p>
    <w:p>
      <w:pPr>
        <w:jc w:val="both"/>
        <w:spacing w:after="213"/>
      </w:pPr>
      <w:r>
        <w:rPr>
          <w:rFonts w:ascii="Times" w:hAnsi="Times" w:cs="Times"/>
          <w:sz w:val="24"/>
          <w:sz-cs w:val="24"/>
          <w:spacing w:val="0"/>
          <w:color w:val="000000"/>
        </w:rPr>
        <w:t xml:space="preserve"/>
      </w:r>
    </w:p>
    <w:p>
      <w:pPr/>
      <w:r>
        <w:rPr>
          <w:rFonts w:ascii="Helvetica Neue" w:hAnsi="Helvetica Neue" w:cs="Helvetica Neue"/>
          <w:sz w:val="26"/>
          <w:sz-cs w:val="26"/>
          <w:spacing w:val="0"/>
          <w:color w:val="16181B"/>
        </w:rPr>
        <w:t xml:space="preserve"/>
      </w:r>
    </w:p>
    <w:p>
      <w:pPr>
        <w:jc w:val="center"/>
      </w:pPr>
      <w:r>
        <w:rPr>
          <w:rFonts w:ascii="Helvetica Neue" w:hAnsi="Helvetica Neue" w:cs="Helvetica Neue"/>
          <w:sz w:val="26"/>
          <w:sz-cs w:val="26"/>
          <w:spacing w:val="0"/>
          <w:color w:val="16181B"/>
        </w:rPr>
        <w:t xml:space="preserve"/>
      </w:r>
    </w:p>
    <w:sectPr>
      <w:pgSz w:w="12240" w:h="15840"/>
      <w:pgMar w:top="1396" w:right="964" w:bottom="1396" w:left="1396"/>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Write 2, min. Version 2.0.7</cp:category>
</cp:coreProperties>
</file>

<file path=docProps/meta.xml><?xml version="1.0" encoding="utf-8"?>
<meta xmlns="http://schemas.apple.com/cocoa/2006/metadata">
  <generator>CocoaOOXMLWriter/2022.7</generator>
</meta>
</file>