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0E395" w14:textId="77777777" w:rsidR="001D0062" w:rsidRDefault="001D0062" w:rsidP="001D0062">
      <w:pPr>
        <w:pStyle w:val="Heading1"/>
        <w:jc w:val="center"/>
        <w:rPr>
          <w:lang w:val="en-US"/>
        </w:rPr>
      </w:pPr>
      <w:r>
        <w:t>Assignment 3 - Literature Review</w:t>
      </w:r>
    </w:p>
    <w:p w14:paraId="7F786D1B" w14:textId="573FF30B" w:rsidR="001D0062" w:rsidRPr="001D0062" w:rsidRDefault="001D0062" w:rsidP="001D0062">
      <w:pPr>
        <w:rPr>
          <w:lang w:val="en-US"/>
        </w:rPr>
      </w:pPr>
      <w:r>
        <w:rPr>
          <w:lang w:val="en-US"/>
        </w:rPr>
        <w:t>Tomer Natan 213638976, Mishel Svirsky 208388637</w:t>
      </w:r>
    </w:p>
    <w:p w14:paraId="702D688D" w14:textId="77777777" w:rsidR="001D0062" w:rsidRDefault="001D0062" w:rsidP="001D0062">
      <w:pPr>
        <w:jc w:val="center"/>
        <w:rPr>
          <w:b/>
          <w:bCs/>
          <w:rtl/>
        </w:rPr>
      </w:pPr>
    </w:p>
    <w:p w14:paraId="58793923" w14:textId="39E67000" w:rsidR="001D0062" w:rsidRDefault="001D0062" w:rsidP="001D0062">
      <w:pPr>
        <w:jc w:val="center"/>
        <w:rPr>
          <w:b/>
          <w:bCs/>
          <w:lang w:val="en-US"/>
        </w:rPr>
      </w:pPr>
      <w:r w:rsidRPr="001D0062">
        <w:rPr>
          <w:b/>
          <w:bCs/>
        </w:rPr>
        <w:t>The Role of Digital Systems in Hospital Allergen Management and Patient Safety</w:t>
      </w:r>
    </w:p>
    <w:p w14:paraId="6B292225" w14:textId="77777777" w:rsidR="001D0062" w:rsidRPr="001D0062" w:rsidRDefault="001D0062" w:rsidP="001D0062">
      <w:pPr>
        <w:jc w:val="center"/>
        <w:rPr>
          <w:b/>
          <w:bCs/>
          <w:lang w:val="en-US"/>
        </w:rPr>
      </w:pPr>
    </w:p>
    <w:p w14:paraId="3D91E35C" w14:textId="4F0E4E7E" w:rsidR="001D0062" w:rsidRPr="001D0062" w:rsidRDefault="001D0062" w:rsidP="001D0062">
      <w:pPr>
        <w:rPr>
          <w:b/>
          <w:bCs/>
        </w:rPr>
      </w:pPr>
      <w:r w:rsidRPr="001D0062">
        <w:rPr>
          <w:b/>
          <w:bCs/>
        </w:rPr>
        <w:t>The Critical Need for Digital Intervention</w:t>
      </w:r>
    </w:p>
    <w:p w14:paraId="20CC0CA0" w14:textId="77777777" w:rsidR="001D0062" w:rsidRPr="001D0062" w:rsidRDefault="001D0062" w:rsidP="001D0062">
      <w:r w:rsidRPr="001D0062">
        <w:t>The maintenance of correct patient nutrition is a cornerstone of recovery, yet hospital food service is frequently undermined by operational errors. Davis Austria et al. [1] performed a scoping review analyzing errors across meal assessment, ordering, and delivery. Their findings confirm that manual processes are prone to significant safety risks. The study validates computerized dietary service systems as necessary patient safety interventions. Specifically, automating the tracking of allergens and the matching of meals to patients is cited as a justified technological solution to eliminate nutrition-related errors. This research supports our project's goal of replacing manual tracking with a centralized Digital Food Allergy Management System.</w:t>
      </w:r>
    </w:p>
    <w:p w14:paraId="4F0D258C" w14:textId="0E915F0F" w:rsidR="001D0062" w:rsidRPr="001D0062" w:rsidRDefault="001D0062" w:rsidP="001D0062">
      <w:pPr>
        <w:rPr>
          <w:b/>
          <w:bCs/>
        </w:rPr>
      </w:pPr>
      <w:r w:rsidRPr="001D0062">
        <w:rPr>
          <w:b/>
          <w:bCs/>
        </w:rPr>
        <w:t>Feasibility of Electronic Menu Filtering</w:t>
      </w:r>
    </w:p>
    <w:p w14:paraId="46665A61" w14:textId="77777777" w:rsidR="001D0062" w:rsidRPr="001D0062" w:rsidRDefault="001D0062" w:rsidP="001D0062">
      <w:r w:rsidRPr="001D0062">
        <w:t>A core functional requirement of our system is the ability to filter menu items based on specific patient restrictions (e.g., hiding milk products for lactose-intolerant patients). Naisby et al. [2] investigated this mechanism within hospital food services. Their research confirms the feasibility and effectiveness of electronic systems that automatically remove allergenic foods from patient menus. Furthermore, the study emphasizes that while safety is paramount, the system must also account for meal variety to ensure patient acceptance. This suggests that our filtering algorithm should be designed to prioritize safe options without strictly limiting patient choice more than necessary.</w:t>
      </w:r>
    </w:p>
    <w:p w14:paraId="5FA61201" w14:textId="0FD8DCB5" w:rsidR="001D0062" w:rsidRPr="001D0062" w:rsidRDefault="001D0062" w:rsidP="001D0062">
      <w:pPr>
        <w:rPr>
          <w:b/>
          <w:bCs/>
        </w:rPr>
      </w:pPr>
      <w:r w:rsidRPr="001D0062">
        <w:rPr>
          <w:b/>
          <w:bCs/>
        </w:rPr>
        <w:t>UI/UX Design Challenges</w:t>
      </w:r>
    </w:p>
    <w:p w14:paraId="010D973E" w14:textId="77777777" w:rsidR="001D0062" w:rsidRPr="001D0062" w:rsidRDefault="001D0062" w:rsidP="001D0062">
      <w:r w:rsidRPr="001D0062">
        <w:t>To ensure the system is usable by hospital staff (dietitians and kitchen workers), we must learn from existing market solutions. Mandracchia et al. [3] analyzed mobile apps designed for food allergies using the MARS quality rating scale. Their findings reveal common weaknesses in current digital tools, such as poor usability, unclear information hierarchy, and a lack of distinction between "contains" and "may contain." These insights are directly applicable to our user interface design, guiding us to create a high-contrast, structured dashboard that allows kitchen staff to make quick, accurate decisions regarding product ingredients and cross-contamination risks.</w:t>
      </w:r>
    </w:p>
    <w:p w14:paraId="016FE810" w14:textId="52A4CBB5" w:rsidR="001D0062" w:rsidRPr="001D0062" w:rsidRDefault="001D0062" w:rsidP="001D0062">
      <w:pPr>
        <w:rPr>
          <w:b/>
          <w:bCs/>
        </w:rPr>
      </w:pPr>
      <w:r w:rsidRPr="001D0062">
        <w:rPr>
          <w:b/>
          <w:bCs/>
        </w:rPr>
        <w:lastRenderedPageBreak/>
        <w:t>Ethical Considerations and Data Responsibility</w:t>
      </w:r>
    </w:p>
    <w:p w14:paraId="3D266CAE" w14:textId="77777777" w:rsidR="001D0062" w:rsidRPr="001D0062" w:rsidRDefault="001D0062" w:rsidP="001D0062">
      <w:r w:rsidRPr="001D0062">
        <w:t>Developing a system that dictates patient nutrition carries significant ethical weight. Ryan [4] examines the ethical implications of dietary apps, focusing on data accuracy, user autonomy, and privacy. Since our system manages sensitive medical data (patient allergies) and influences health outcomes, we must adhere to the principles discussed in the paper. This implies designing the system not merely as a database, but as a supportive tool that empowers dietitians to make safe decisions while ensuring data integrity and preventing misleading information presentations.</w:t>
      </w:r>
    </w:p>
    <w:p w14:paraId="3288968A" w14:textId="77777777" w:rsidR="001D0062" w:rsidRPr="001D0062" w:rsidRDefault="001D0062" w:rsidP="001D0062">
      <w:pPr>
        <w:rPr>
          <w:b/>
          <w:bCs/>
        </w:rPr>
      </w:pPr>
      <w:r w:rsidRPr="001D0062">
        <w:rPr>
          <w:b/>
          <w:bCs/>
        </w:rPr>
        <w:t>Bibliography</w:t>
      </w:r>
    </w:p>
    <w:p w14:paraId="3D0406B9" w14:textId="77777777" w:rsidR="001D0062" w:rsidRPr="001D0062" w:rsidRDefault="001D0062" w:rsidP="001D0062">
      <w:pPr>
        <w:rPr>
          <w:b/>
          <w:bCs/>
        </w:rPr>
      </w:pPr>
      <w:r w:rsidRPr="001D0062">
        <w:rPr>
          <w:b/>
          <w:bCs/>
        </w:rPr>
        <w:t>[1] </w:t>
      </w:r>
      <w:r w:rsidRPr="001D0062">
        <w:t>Davis Austria, C., McConnell, C., &amp; Pope, C. (2024). Hospital Inpatient Nutrition Service Errors and Patient Safety Interventions: A Scoping Review. </w:t>
      </w:r>
      <w:r w:rsidRPr="001D0062">
        <w:rPr>
          <w:i/>
          <w:iCs/>
        </w:rPr>
        <w:t>Journal of Patient Safety</w:t>
      </w:r>
      <w:r w:rsidRPr="001D0062">
        <w:t>, 20(4), 272–278. Available</w:t>
      </w:r>
      <w:r w:rsidRPr="001D0062">
        <w:rPr>
          <w:b/>
          <w:bCs/>
        </w:rPr>
        <w:t xml:space="preserve"> </w:t>
      </w:r>
      <w:r w:rsidRPr="001D0062">
        <w:t>at:</w:t>
      </w:r>
      <w:r w:rsidRPr="001D0062">
        <w:rPr>
          <w:b/>
          <w:bCs/>
        </w:rPr>
        <w:t> </w:t>
      </w:r>
      <w:hyperlink r:id="rId8" w:tgtFrame="_blank" w:history="1">
        <w:r w:rsidRPr="001D0062">
          <w:rPr>
            <w:rStyle w:val="Hyperlink"/>
            <w:b/>
            <w:bCs/>
          </w:rPr>
          <w:t>https://pubmed.ncbi.nlm.nih.gov/38536103/</w:t>
        </w:r>
      </w:hyperlink>
    </w:p>
    <w:p w14:paraId="5E82B1D6" w14:textId="77777777" w:rsidR="001D0062" w:rsidRPr="001D0062" w:rsidRDefault="001D0062" w:rsidP="001D0062">
      <w:pPr>
        <w:rPr>
          <w:b/>
          <w:bCs/>
        </w:rPr>
      </w:pPr>
      <w:r w:rsidRPr="001D0062">
        <w:rPr>
          <w:b/>
          <w:bCs/>
        </w:rPr>
        <w:t>[2] </w:t>
      </w:r>
      <w:r w:rsidRPr="001D0062">
        <w:t>Naisby, B., Smith, L., &amp; Loehr, A. (2025). Patient expectations and understanding of hospital food service provision when declaring a food allergy. </w:t>
      </w:r>
      <w:r w:rsidRPr="001D0062">
        <w:rPr>
          <w:i/>
          <w:iCs/>
        </w:rPr>
        <w:t>Journal of Human Nutrition and Dietetics</w:t>
      </w:r>
      <w:r w:rsidRPr="001D0062">
        <w:t>, 38(1), e13382. Available at:</w:t>
      </w:r>
      <w:r w:rsidRPr="001D0062">
        <w:rPr>
          <w:b/>
          <w:bCs/>
        </w:rPr>
        <w:t> </w:t>
      </w:r>
      <w:hyperlink r:id="rId9" w:tgtFrame="_blank" w:history="1">
        <w:r w:rsidRPr="001D0062">
          <w:rPr>
            <w:rStyle w:val="Hyperlink"/>
            <w:b/>
            <w:bCs/>
          </w:rPr>
          <w:t>https://pmc.ncbi.nlm.nih.gov/articles/PMC11589406/</w:t>
        </w:r>
      </w:hyperlink>
    </w:p>
    <w:p w14:paraId="56ED3549" w14:textId="77777777" w:rsidR="001D0062" w:rsidRPr="001D0062" w:rsidRDefault="001D0062" w:rsidP="001D0062">
      <w:pPr>
        <w:rPr>
          <w:b/>
          <w:bCs/>
        </w:rPr>
      </w:pPr>
      <w:r w:rsidRPr="001D0062">
        <w:rPr>
          <w:b/>
          <w:bCs/>
        </w:rPr>
        <w:t>[3] </w:t>
      </w:r>
      <w:r w:rsidRPr="001D0062">
        <w:t>Mandracchia, M., Gascón-Mir, M., Padró-Alemany, M., &amp; Valls-Ferrer, V. (2020). Mobile Phone Apps for Food Allergies or Intolerances in App Stores: Systematic Search and Quality Assessment Using the Mobile App Rating Scale (MARS). </w:t>
      </w:r>
      <w:r w:rsidRPr="001D0062">
        <w:rPr>
          <w:i/>
          <w:iCs/>
        </w:rPr>
        <w:t>JMIR mHealth and uHealth</w:t>
      </w:r>
      <w:r w:rsidRPr="001D0062">
        <w:t>, 8(9), e18339. Available at: </w:t>
      </w:r>
      <w:hyperlink r:id="rId10" w:tgtFrame="_blank" w:history="1">
        <w:r w:rsidRPr="001D0062">
          <w:rPr>
            <w:rStyle w:val="Hyperlink"/>
            <w:b/>
            <w:bCs/>
          </w:rPr>
          <w:t>https://pmc.ncbi.nlm.nih.gov/articles/PMC7527917/</w:t>
        </w:r>
      </w:hyperlink>
    </w:p>
    <w:p w14:paraId="6522037D" w14:textId="77777777" w:rsidR="001D0062" w:rsidRPr="001D0062" w:rsidRDefault="001D0062" w:rsidP="001D0062">
      <w:pPr>
        <w:rPr>
          <w:b/>
          <w:bCs/>
        </w:rPr>
      </w:pPr>
      <w:r w:rsidRPr="001D0062">
        <w:rPr>
          <w:b/>
          <w:bCs/>
        </w:rPr>
        <w:t>[4</w:t>
      </w:r>
      <w:r w:rsidRPr="001D0062">
        <w:t>] Ryan, M. (2022). The ethics of dietary apps: Technology, health, and the capability approach. </w:t>
      </w:r>
      <w:r w:rsidRPr="001D0062">
        <w:rPr>
          <w:i/>
          <w:iCs/>
        </w:rPr>
        <w:t>Technology in Society</w:t>
      </w:r>
      <w:r w:rsidRPr="001D0062">
        <w:t>, 68, Article 101873. Available at:</w:t>
      </w:r>
      <w:r w:rsidRPr="001D0062">
        <w:rPr>
          <w:b/>
          <w:bCs/>
        </w:rPr>
        <w:t> </w:t>
      </w:r>
      <w:hyperlink r:id="rId11" w:tgtFrame="_blank" w:history="1">
        <w:r w:rsidRPr="001D0062">
          <w:rPr>
            <w:rStyle w:val="Hyperlink"/>
            <w:b/>
            <w:bCs/>
          </w:rPr>
          <w:t>https://www.sciencedirect.com/science/article/pii/S0160791X22000148</w:t>
        </w:r>
      </w:hyperlink>
    </w:p>
    <w:p w14:paraId="5BB6EE68" w14:textId="3062A996" w:rsidR="005F0ECA" w:rsidRDefault="005F0ECA">
      <w:r>
        <w:br w:type="page"/>
      </w:r>
    </w:p>
    <w:p w14:paraId="54FBB18F" w14:textId="77777777" w:rsidR="00D91ACA" w:rsidRPr="00D91ACA" w:rsidRDefault="00D91ACA" w:rsidP="00D91ACA">
      <w:pPr>
        <w:pStyle w:val="Heading1"/>
        <w:jc w:val="center"/>
      </w:pPr>
      <w:r w:rsidRPr="00D91ACA">
        <w:lastRenderedPageBreak/>
        <w:t>Competitor Analysis</w:t>
      </w:r>
    </w:p>
    <w:p w14:paraId="685726A5" w14:textId="77777777" w:rsidR="00D91ACA" w:rsidRDefault="00D91ACA" w:rsidP="00D91ACA">
      <w:pPr>
        <w:rPr>
          <w:rtl/>
        </w:rPr>
      </w:pPr>
    </w:p>
    <w:p w14:paraId="5410A687" w14:textId="7973BE44" w:rsidR="001D0062" w:rsidRDefault="00D91ACA" w:rsidP="00D91ACA">
      <w:pPr>
        <w:rPr>
          <w:rtl/>
        </w:rPr>
      </w:pPr>
      <w:r w:rsidRPr="00D91ACA">
        <w:t>To properly position our proposed Digital Food Allergy Management System, we analyzed four distinct categories of existing solutions: manual tools, Electronic Medical Records (EMR), modern SaaS platforms, and enterprise food service systems.</w:t>
      </w:r>
    </w:p>
    <w:p w14:paraId="13CCD7DD" w14:textId="77777777" w:rsidR="0023155B" w:rsidRPr="0023155B" w:rsidRDefault="0023155B" w:rsidP="0023155B">
      <w:pPr>
        <w:rPr>
          <w:b/>
          <w:bCs/>
        </w:rPr>
      </w:pPr>
      <w:r w:rsidRPr="0023155B">
        <w:rPr>
          <w:b/>
          <w:bCs/>
        </w:rPr>
        <w:t>1. Microsoft Excel (The Current Manual Method)</w:t>
      </w:r>
    </w:p>
    <w:p w14:paraId="3481E57E" w14:textId="77777777" w:rsidR="0023155B" w:rsidRPr="0023155B" w:rsidRDefault="0023155B" w:rsidP="0023155B">
      <w:r w:rsidRPr="0023155B">
        <w:t>Currently, many hospital dietitians, including our project partner, rely on manually curated Excel spreadsheets to manage kitchen inventory and allergen lists.</w:t>
      </w:r>
    </w:p>
    <w:p w14:paraId="764DF30E" w14:textId="77777777" w:rsidR="0023155B" w:rsidRPr="0023155B" w:rsidRDefault="0023155B" w:rsidP="0023155B">
      <w:pPr>
        <w:numPr>
          <w:ilvl w:val="0"/>
          <w:numId w:val="1"/>
        </w:numPr>
      </w:pPr>
      <w:r w:rsidRPr="0023155B">
        <w:rPr>
          <w:b/>
          <w:bCs/>
        </w:rPr>
        <w:t>Overview:</w:t>
      </w:r>
      <w:r w:rsidRPr="0023155B">
        <w:t> A static spreadsheet where the dietitian manually lists products and marks their nutritional values and allergens.</w:t>
      </w:r>
    </w:p>
    <w:p w14:paraId="27724996" w14:textId="77777777" w:rsidR="0023155B" w:rsidRPr="0023155B" w:rsidRDefault="0023155B" w:rsidP="0023155B">
      <w:pPr>
        <w:numPr>
          <w:ilvl w:val="0"/>
          <w:numId w:val="1"/>
        </w:numPr>
      </w:pPr>
      <w:r w:rsidRPr="0023155B">
        <w:rPr>
          <w:b/>
          <w:bCs/>
        </w:rPr>
        <w:t>Strengths:</w:t>
      </w:r>
      <w:r w:rsidRPr="0023155B">
        <w:t> High flexibility, zero cost, and no learning curve for basic data entry.</w:t>
      </w:r>
    </w:p>
    <w:p w14:paraId="667DCFBD" w14:textId="77777777" w:rsidR="0023155B" w:rsidRPr="0023155B" w:rsidRDefault="0023155B" w:rsidP="0023155B">
      <w:pPr>
        <w:numPr>
          <w:ilvl w:val="0"/>
          <w:numId w:val="1"/>
        </w:numPr>
      </w:pPr>
      <w:r w:rsidRPr="0023155B">
        <w:rPr>
          <w:b/>
          <w:bCs/>
        </w:rPr>
        <w:t>Weaknesses:</w:t>
      </w:r>
    </w:p>
    <w:p w14:paraId="0397741C" w14:textId="77777777" w:rsidR="0023155B" w:rsidRPr="0023155B" w:rsidRDefault="0023155B" w:rsidP="0023155B">
      <w:pPr>
        <w:numPr>
          <w:ilvl w:val="1"/>
          <w:numId w:val="1"/>
        </w:numPr>
      </w:pPr>
      <w:r w:rsidRPr="0023155B">
        <w:rPr>
          <w:b/>
          <w:bCs/>
        </w:rPr>
        <w:t>High Error Rate:</w:t>
      </w:r>
      <w:r w:rsidRPr="0023155B">
        <w:t> As noted in the literature review [1], manual entry is prone to human error. There is no automated logic to prevent assigning a milk product to a lactose-intolerant patient.</w:t>
      </w:r>
    </w:p>
    <w:p w14:paraId="644DFF9B" w14:textId="77777777" w:rsidR="0023155B" w:rsidRPr="0023155B" w:rsidRDefault="0023155B" w:rsidP="0023155B">
      <w:pPr>
        <w:numPr>
          <w:ilvl w:val="1"/>
          <w:numId w:val="1"/>
        </w:numPr>
      </w:pPr>
      <w:r w:rsidRPr="0023155B">
        <w:rPr>
          <w:b/>
          <w:bCs/>
        </w:rPr>
        <w:t>Lack of Synchronization:</w:t>
      </w:r>
      <w:r w:rsidRPr="0023155B">
        <w:t> If a product changes in the kitchen (e.g., a new supplier for soup powder), the printed Excel sheet becomes instantly obsolete, creating a safety risk.</w:t>
      </w:r>
    </w:p>
    <w:p w14:paraId="1F53C84F" w14:textId="77777777" w:rsidR="0023155B" w:rsidRPr="0023155B" w:rsidRDefault="0023155B" w:rsidP="0023155B">
      <w:pPr>
        <w:numPr>
          <w:ilvl w:val="1"/>
          <w:numId w:val="1"/>
        </w:numPr>
      </w:pPr>
      <w:r w:rsidRPr="0023155B">
        <w:rPr>
          <w:b/>
          <w:bCs/>
        </w:rPr>
        <w:t>Scalability:</w:t>
      </w:r>
      <w:r w:rsidRPr="0023155B">
        <w:t> Extremely difficult to maintain distinct lists for "Contains" vs. "May Contain" without the sheet becoming unreadable.</w:t>
      </w:r>
    </w:p>
    <w:p w14:paraId="6C3840DC" w14:textId="77777777" w:rsidR="0023155B" w:rsidRPr="0023155B" w:rsidRDefault="0023155B" w:rsidP="0023155B">
      <w:pPr>
        <w:rPr>
          <w:b/>
          <w:bCs/>
        </w:rPr>
      </w:pPr>
      <w:r w:rsidRPr="0023155B">
        <w:rPr>
          <w:b/>
          <w:bCs/>
        </w:rPr>
        <w:t>2. Chameleon (Elad Health)</w:t>
      </w:r>
    </w:p>
    <w:p w14:paraId="451D20AC" w14:textId="77777777" w:rsidR="0023155B" w:rsidRPr="0023155B" w:rsidRDefault="0023155B" w:rsidP="0023155B">
      <w:r w:rsidRPr="0023155B">
        <w:t>Chameleon is the dominant Electronic Medical Record (EMR) system in Israeli hospitals.</w:t>
      </w:r>
    </w:p>
    <w:p w14:paraId="097B3DEE" w14:textId="77777777" w:rsidR="0023155B" w:rsidRPr="0023155B" w:rsidRDefault="0023155B" w:rsidP="0023155B">
      <w:pPr>
        <w:numPr>
          <w:ilvl w:val="0"/>
          <w:numId w:val="2"/>
        </w:numPr>
      </w:pPr>
      <w:r w:rsidRPr="0023155B">
        <w:rPr>
          <w:b/>
          <w:bCs/>
        </w:rPr>
        <w:t>Overview:</w:t>
      </w:r>
      <w:r w:rsidRPr="0023155B">
        <w:t> A comprehensive medical system managing the patient's entire clinical journey, including dietary orders.</w:t>
      </w:r>
    </w:p>
    <w:p w14:paraId="580385F6" w14:textId="77777777" w:rsidR="0023155B" w:rsidRPr="0023155B" w:rsidRDefault="0023155B" w:rsidP="0023155B">
      <w:pPr>
        <w:numPr>
          <w:ilvl w:val="0"/>
          <w:numId w:val="2"/>
        </w:numPr>
      </w:pPr>
      <w:r w:rsidRPr="0023155B">
        <w:rPr>
          <w:b/>
          <w:bCs/>
        </w:rPr>
        <w:t>Strengths:</w:t>
      </w:r>
    </w:p>
    <w:p w14:paraId="1A37188B" w14:textId="77777777" w:rsidR="0023155B" w:rsidRPr="0023155B" w:rsidRDefault="0023155B" w:rsidP="0023155B">
      <w:pPr>
        <w:numPr>
          <w:ilvl w:val="1"/>
          <w:numId w:val="2"/>
        </w:numPr>
      </w:pPr>
      <w:r w:rsidRPr="0023155B">
        <w:rPr>
          <w:b/>
          <w:bCs/>
        </w:rPr>
        <w:t>Clinical Integration:</w:t>
      </w:r>
      <w:r w:rsidRPr="0023155B">
        <w:t> Directly connected to the patient's medical status (labs, diagnosis).</w:t>
      </w:r>
    </w:p>
    <w:p w14:paraId="4EB54EBB" w14:textId="77777777" w:rsidR="0023155B" w:rsidRPr="0023155B" w:rsidRDefault="0023155B" w:rsidP="0023155B">
      <w:pPr>
        <w:numPr>
          <w:ilvl w:val="1"/>
          <w:numId w:val="2"/>
        </w:numPr>
      </w:pPr>
      <w:r w:rsidRPr="0023155B">
        <w:rPr>
          <w:b/>
          <w:bCs/>
        </w:rPr>
        <w:t>Standardization:</w:t>
      </w:r>
      <w:r w:rsidRPr="0023155B">
        <w:t> Widely used and understood by medical staff in Israel.</w:t>
      </w:r>
    </w:p>
    <w:p w14:paraId="1C9A4BA7" w14:textId="77777777" w:rsidR="0023155B" w:rsidRPr="0023155B" w:rsidRDefault="0023155B" w:rsidP="0023155B">
      <w:pPr>
        <w:numPr>
          <w:ilvl w:val="0"/>
          <w:numId w:val="2"/>
        </w:numPr>
      </w:pPr>
      <w:r w:rsidRPr="0023155B">
        <w:rPr>
          <w:b/>
          <w:bCs/>
        </w:rPr>
        <w:t>Weaknesses:</w:t>
      </w:r>
    </w:p>
    <w:p w14:paraId="665518D6" w14:textId="77777777" w:rsidR="0023155B" w:rsidRPr="0023155B" w:rsidRDefault="0023155B" w:rsidP="0023155B">
      <w:pPr>
        <w:numPr>
          <w:ilvl w:val="1"/>
          <w:numId w:val="2"/>
        </w:numPr>
      </w:pPr>
      <w:r w:rsidRPr="0023155B">
        <w:rPr>
          <w:b/>
          <w:bCs/>
        </w:rPr>
        <w:lastRenderedPageBreak/>
        <w:t>Not a Kitchen Manager:</w:t>
      </w:r>
      <w:r w:rsidRPr="0023155B">
        <w:t> Chameleon is designed for doctors and nurses, not kitchen logistics. It lacks a dynamic inventory module to easily swap ingredients or manage specific product brands.</w:t>
      </w:r>
    </w:p>
    <w:p w14:paraId="69A6BB68" w14:textId="77777777" w:rsidR="0023155B" w:rsidRPr="0023155B" w:rsidRDefault="0023155B" w:rsidP="0023155B">
      <w:pPr>
        <w:numPr>
          <w:ilvl w:val="1"/>
          <w:numId w:val="2"/>
        </w:numPr>
      </w:pPr>
      <w:r w:rsidRPr="0023155B">
        <w:rPr>
          <w:b/>
          <w:bCs/>
        </w:rPr>
        <w:t>UI/UX:</w:t>
      </w:r>
      <w:r w:rsidRPr="0023155B">
        <w:t> The interface is often complex and text-heavy, making it unsuitable for quick decision-making by kitchen staff during a busy serving line service [5].</w:t>
      </w:r>
    </w:p>
    <w:p w14:paraId="3C7073AD" w14:textId="77777777" w:rsidR="0023155B" w:rsidRPr="0023155B" w:rsidRDefault="0023155B" w:rsidP="0023155B">
      <w:pPr>
        <w:rPr>
          <w:b/>
          <w:bCs/>
        </w:rPr>
      </w:pPr>
      <w:r w:rsidRPr="0023155B">
        <w:rPr>
          <w:b/>
          <w:bCs/>
        </w:rPr>
        <w:t>3. Nutritics (SaaS Solution)</w:t>
      </w:r>
    </w:p>
    <w:p w14:paraId="41128718" w14:textId="77777777" w:rsidR="0023155B" w:rsidRPr="0023155B" w:rsidRDefault="0023155B" w:rsidP="0023155B">
      <w:r w:rsidRPr="0023155B">
        <w:t>Nutritics is a leading cloud-based software for food service, widely used in the UK and Europe for allergen compliance and nutritional analysis.</w:t>
      </w:r>
    </w:p>
    <w:p w14:paraId="7ED575FD" w14:textId="77777777" w:rsidR="0023155B" w:rsidRPr="0023155B" w:rsidRDefault="0023155B" w:rsidP="0023155B">
      <w:pPr>
        <w:numPr>
          <w:ilvl w:val="0"/>
          <w:numId w:val="3"/>
        </w:numPr>
      </w:pPr>
      <w:r w:rsidRPr="0023155B">
        <w:rPr>
          <w:b/>
          <w:bCs/>
        </w:rPr>
        <w:t>Overview:</w:t>
      </w:r>
      <w:r w:rsidRPr="0023155B">
        <w:t> A user-friendly platform that allows chefs to build recipes and automatically calculate nutrition and allergens based on international databases.</w:t>
      </w:r>
    </w:p>
    <w:p w14:paraId="5E1C55AE" w14:textId="77777777" w:rsidR="0023155B" w:rsidRPr="0023155B" w:rsidRDefault="0023155B" w:rsidP="0023155B">
      <w:pPr>
        <w:numPr>
          <w:ilvl w:val="0"/>
          <w:numId w:val="3"/>
        </w:numPr>
      </w:pPr>
      <w:r w:rsidRPr="0023155B">
        <w:rPr>
          <w:b/>
          <w:bCs/>
        </w:rPr>
        <w:t>Strengths:</w:t>
      </w:r>
    </w:p>
    <w:p w14:paraId="000FEE46" w14:textId="77777777" w:rsidR="0023155B" w:rsidRPr="0023155B" w:rsidRDefault="0023155B" w:rsidP="0023155B">
      <w:pPr>
        <w:numPr>
          <w:ilvl w:val="1"/>
          <w:numId w:val="3"/>
        </w:numPr>
      </w:pPr>
      <w:r w:rsidRPr="0023155B">
        <w:rPr>
          <w:b/>
          <w:bCs/>
        </w:rPr>
        <w:t>Modern UI:</w:t>
      </w:r>
      <w:r w:rsidRPr="0023155B">
        <w:t> Features a visual, easy-to-read interface that clearly highlights allergens (e.g., clear icons for Gluten, Nuts).</w:t>
      </w:r>
    </w:p>
    <w:p w14:paraId="7E34A2C8" w14:textId="77777777" w:rsidR="0023155B" w:rsidRPr="0023155B" w:rsidRDefault="0023155B" w:rsidP="0023155B">
      <w:pPr>
        <w:numPr>
          <w:ilvl w:val="1"/>
          <w:numId w:val="3"/>
        </w:numPr>
      </w:pPr>
      <w:r w:rsidRPr="0023155B">
        <w:rPr>
          <w:b/>
          <w:bCs/>
        </w:rPr>
        <w:t>Automated Updates:</w:t>
      </w:r>
      <w:r w:rsidRPr="0023155B">
        <w:t> Updates regulatory data automatically.</w:t>
      </w:r>
    </w:p>
    <w:p w14:paraId="4455CB11" w14:textId="77777777" w:rsidR="0023155B" w:rsidRPr="0023155B" w:rsidRDefault="0023155B" w:rsidP="0023155B">
      <w:pPr>
        <w:numPr>
          <w:ilvl w:val="0"/>
          <w:numId w:val="3"/>
        </w:numPr>
      </w:pPr>
      <w:r w:rsidRPr="0023155B">
        <w:rPr>
          <w:b/>
          <w:bCs/>
        </w:rPr>
        <w:t>Weaknesses:</w:t>
      </w:r>
    </w:p>
    <w:p w14:paraId="2A5C2EC2" w14:textId="77777777" w:rsidR="0023155B" w:rsidRPr="0023155B" w:rsidRDefault="0023155B" w:rsidP="0023155B">
      <w:pPr>
        <w:numPr>
          <w:ilvl w:val="1"/>
          <w:numId w:val="3"/>
        </w:numPr>
      </w:pPr>
      <w:r w:rsidRPr="0023155B">
        <w:rPr>
          <w:b/>
          <w:bCs/>
        </w:rPr>
        <w:t>Lack of Clinical Context:</w:t>
      </w:r>
      <w:r w:rsidRPr="0023155B">
        <w:t> It is designed for restaurants and catering, not hospitals. It does not handle complex clinical diets (e.g., "Low Fiber," "Liquid Diet," or "Renal Diet") combined with allergies.</w:t>
      </w:r>
    </w:p>
    <w:p w14:paraId="2D7A8B50" w14:textId="77777777" w:rsidR="0023155B" w:rsidRPr="0023155B" w:rsidRDefault="0023155B" w:rsidP="0023155B">
      <w:pPr>
        <w:numPr>
          <w:ilvl w:val="1"/>
          <w:numId w:val="3"/>
        </w:numPr>
      </w:pPr>
      <w:r w:rsidRPr="0023155B">
        <w:rPr>
          <w:b/>
          <w:bCs/>
        </w:rPr>
        <w:t>Integration:</w:t>
      </w:r>
      <w:r w:rsidRPr="0023155B">
        <w:t> Does not interface naturally with hospital patient admission systems [6].</w:t>
      </w:r>
    </w:p>
    <w:p w14:paraId="513F56CD" w14:textId="77777777" w:rsidR="0023155B" w:rsidRPr="0023155B" w:rsidRDefault="0023155B" w:rsidP="0023155B">
      <w:pPr>
        <w:rPr>
          <w:b/>
          <w:bCs/>
        </w:rPr>
      </w:pPr>
      <w:r w:rsidRPr="0023155B">
        <w:rPr>
          <w:b/>
          <w:bCs/>
        </w:rPr>
        <w:t>4. CBORD (Enterprise Food Service Management)</w:t>
      </w:r>
    </w:p>
    <w:p w14:paraId="05F1CF0B" w14:textId="77777777" w:rsidR="0023155B" w:rsidRPr="0023155B" w:rsidRDefault="0023155B" w:rsidP="0023155B">
      <w:r w:rsidRPr="0023155B">
        <w:t>CBORD is the global standard for large-scale hospital food service management, used by major healthcare networks in the US and Canada.</w:t>
      </w:r>
    </w:p>
    <w:p w14:paraId="28A080EF" w14:textId="77777777" w:rsidR="0023155B" w:rsidRPr="0023155B" w:rsidRDefault="0023155B" w:rsidP="0023155B">
      <w:pPr>
        <w:numPr>
          <w:ilvl w:val="0"/>
          <w:numId w:val="4"/>
        </w:numPr>
      </w:pPr>
      <w:r w:rsidRPr="0023155B">
        <w:rPr>
          <w:b/>
          <w:bCs/>
        </w:rPr>
        <w:t>Overview:</w:t>
      </w:r>
      <w:r w:rsidRPr="0023155B">
        <w:t> A massive "all-in-one" system handling inventory, purchasing, patient food orders, and tray tracking.</w:t>
      </w:r>
    </w:p>
    <w:p w14:paraId="307F238C" w14:textId="77777777" w:rsidR="0023155B" w:rsidRPr="0023155B" w:rsidRDefault="0023155B" w:rsidP="0023155B">
      <w:pPr>
        <w:numPr>
          <w:ilvl w:val="0"/>
          <w:numId w:val="4"/>
        </w:numPr>
      </w:pPr>
      <w:r w:rsidRPr="0023155B">
        <w:rPr>
          <w:b/>
          <w:bCs/>
        </w:rPr>
        <w:t>Strengths:</w:t>
      </w:r>
    </w:p>
    <w:p w14:paraId="188379B8" w14:textId="77777777" w:rsidR="0023155B" w:rsidRPr="0023155B" w:rsidRDefault="0023155B" w:rsidP="0023155B">
      <w:pPr>
        <w:numPr>
          <w:ilvl w:val="1"/>
          <w:numId w:val="4"/>
        </w:numPr>
      </w:pPr>
      <w:r w:rsidRPr="0023155B">
        <w:rPr>
          <w:b/>
          <w:bCs/>
        </w:rPr>
        <w:t>Comprehensive:</w:t>
      </w:r>
      <w:r w:rsidRPr="0023155B">
        <w:t> Handles every aspect of the hospital food cycle.</w:t>
      </w:r>
    </w:p>
    <w:p w14:paraId="06E142BE" w14:textId="77777777" w:rsidR="0023155B" w:rsidRPr="0023155B" w:rsidRDefault="0023155B" w:rsidP="0023155B">
      <w:pPr>
        <w:numPr>
          <w:ilvl w:val="1"/>
          <w:numId w:val="4"/>
        </w:numPr>
      </w:pPr>
      <w:r w:rsidRPr="0023155B">
        <w:rPr>
          <w:b/>
          <w:bCs/>
        </w:rPr>
        <w:t>Safety Logic:</w:t>
      </w:r>
      <w:r w:rsidRPr="0023155B">
        <w:t> Includes built-in hard stops for allergen conflicts.</w:t>
      </w:r>
    </w:p>
    <w:p w14:paraId="0ACA1DA9" w14:textId="77777777" w:rsidR="0023155B" w:rsidRPr="0023155B" w:rsidRDefault="0023155B" w:rsidP="0023155B">
      <w:pPr>
        <w:numPr>
          <w:ilvl w:val="0"/>
          <w:numId w:val="4"/>
        </w:numPr>
      </w:pPr>
      <w:r w:rsidRPr="0023155B">
        <w:rPr>
          <w:b/>
          <w:bCs/>
        </w:rPr>
        <w:t>Weaknesses:</w:t>
      </w:r>
    </w:p>
    <w:p w14:paraId="06E09D70" w14:textId="77777777" w:rsidR="0023155B" w:rsidRPr="0023155B" w:rsidRDefault="0023155B" w:rsidP="0023155B">
      <w:pPr>
        <w:numPr>
          <w:ilvl w:val="1"/>
          <w:numId w:val="4"/>
        </w:numPr>
      </w:pPr>
      <w:r w:rsidRPr="0023155B">
        <w:rPr>
          <w:b/>
          <w:bCs/>
        </w:rPr>
        <w:t>Cost and Complexity:</w:t>
      </w:r>
      <w:r w:rsidRPr="0023155B">
        <w:t> Extremely expensive to implement and requires significant training.</w:t>
      </w:r>
    </w:p>
    <w:p w14:paraId="72047846" w14:textId="77777777" w:rsidR="0023155B" w:rsidRPr="0023155B" w:rsidRDefault="0023155B" w:rsidP="0023155B">
      <w:pPr>
        <w:numPr>
          <w:ilvl w:val="1"/>
          <w:numId w:val="4"/>
        </w:numPr>
      </w:pPr>
      <w:r w:rsidRPr="0023155B">
        <w:rPr>
          <w:b/>
          <w:bCs/>
        </w:rPr>
        <w:lastRenderedPageBreak/>
        <w:t>Rigidity:</w:t>
      </w:r>
      <w:r w:rsidRPr="0023155B">
        <w:t> Making simple changes (like adding a local Israeli product) can be a cumbersome administrative process. It lacks the agility required by a single departmental dietitian [7].</w:t>
      </w:r>
    </w:p>
    <w:p w14:paraId="68D89F5E" w14:textId="089F1CC4" w:rsidR="0023155B" w:rsidRPr="00CD7C16" w:rsidRDefault="00CD7C16" w:rsidP="00D91ACA">
      <w:pPr>
        <w:rPr>
          <w:b/>
          <w:bCs/>
          <w:rtl/>
        </w:rPr>
      </w:pPr>
      <w:r w:rsidRPr="00CD7C16">
        <w:rPr>
          <w:b/>
          <w:bCs/>
        </w:rPr>
        <w:t>Competitive Comparison Matrix</w:t>
      </w:r>
    </w:p>
    <w:tbl>
      <w:tblPr>
        <w:tblW w:w="8462" w:type="dxa"/>
        <w:tblLook w:val="04A0" w:firstRow="1" w:lastRow="0" w:firstColumn="1" w:lastColumn="0" w:noHBand="0" w:noVBand="1"/>
      </w:tblPr>
      <w:tblGrid>
        <w:gridCol w:w="1294"/>
        <w:gridCol w:w="1362"/>
        <w:gridCol w:w="1491"/>
        <w:gridCol w:w="1513"/>
        <w:gridCol w:w="1444"/>
        <w:gridCol w:w="1484"/>
      </w:tblGrid>
      <w:tr w:rsidR="00CD7C16" w:rsidRPr="00CD7C16" w14:paraId="292D0A23" w14:textId="77777777" w:rsidTr="00CD7C16">
        <w:trPr>
          <w:trHeight w:val="1230"/>
        </w:trPr>
        <w:tc>
          <w:tcPr>
            <w:tcW w:w="1273"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6579EA5C"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Feature</w:t>
            </w:r>
          </w:p>
        </w:tc>
        <w:tc>
          <w:tcPr>
            <w:tcW w:w="1341" w:type="dxa"/>
            <w:tcBorders>
              <w:top w:val="double" w:sz="6" w:space="0" w:color="3F3F3F"/>
              <w:left w:val="nil"/>
              <w:bottom w:val="double" w:sz="6" w:space="0" w:color="3F3F3F"/>
              <w:right w:val="double" w:sz="6" w:space="0" w:color="3F3F3F"/>
            </w:tcBorders>
            <w:shd w:val="clear" w:color="000000" w:fill="A5A5A5"/>
            <w:vAlign w:val="center"/>
            <w:hideMark/>
          </w:tcPr>
          <w:p w14:paraId="1120B466"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Microsoft Excel</w:t>
            </w:r>
          </w:p>
        </w:tc>
        <w:tc>
          <w:tcPr>
            <w:tcW w:w="1470" w:type="dxa"/>
            <w:tcBorders>
              <w:top w:val="double" w:sz="6" w:space="0" w:color="3F3F3F"/>
              <w:left w:val="nil"/>
              <w:bottom w:val="double" w:sz="6" w:space="0" w:color="3F3F3F"/>
              <w:right w:val="double" w:sz="6" w:space="0" w:color="3F3F3F"/>
            </w:tcBorders>
            <w:shd w:val="clear" w:color="000000" w:fill="A5A5A5"/>
            <w:vAlign w:val="center"/>
            <w:hideMark/>
          </w:tcPr>
          <w:p w14:paraId="2EB572E4"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Chameleon (EMR)</w:t>
            </w:r>
          </w:p>
        </w:tc>
        <w:tc>
          <w:tcPr>
            <w:tcW w:w="1492" w:type="dxa"/>
            <w:tcBorders>
              <w:top w:val="double" w:sz="6" w:space="0" w:color="3F3F3F"/>
              <w:left w:val="nil"/>
              <w:bottom w:val="double" w:sz="6" w:space="0" w:color="3F3F3F"/>
              <w:right w:val="double" w:sz="6" w:space="0" w:color="3F3F3F"/>
            </w:tcBorders>
            <w:shd w:val="clear" w:color="000000" w:fill="A5A5A5"/>
            <w:vAlign w:val="center"/>
            <w:hideMark/>
          </w:tcPr>
          <w:p w14:paraId="02055366"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Nutritics (SaaS)</w:t>
            </w:r>
          </w:p>
        </w:tc>
        <w:tc>
          <w:tcPr>
            <w:tcW w:w="1423" w:type="dxa"/>
            <w:tcBorders>
              <w:top w:val="double" w:sz="6" w:space="0" w:color="3F3F3F"/>
              <w:left w:val="nil"/>
              <w:bottom w:val="double" w:sz="6" w:space="0" w:color="3F3F3F"/>
              <w:right w:val="double" w:sz="6" w:space="0" w:color="3F3F3F"/>
            </w:tcBorders>
            <w:shd w:val="clear" w:color="000000" w:fill="A5A5A5"/>
            <w:vAlign w:val="center"/>
            <w:hideMark/>
          </w:tcPr>
          <w:p w14:paraId="215D16DF"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CBORD (Enterprise)</w:t>
            </w:r>
          </w:p>
        </w:tc>
        <w:tc>
          <w:tcPr>
            <w:tcW w:w="1463" w:type="dxa"/>
            <w:tcBorders>
              <w:top w:val="double" w:sz="6" w:space="0" w:color="3F3F3F"/>
              <w:left w:val="nil"/>
              <w:bottom w:val="double" w:sz="6" w:space="0" w:color="3F3F3F"/>
              <w:right w:val="double" w:sz="6" w:space="0" w:color="3F3F3F"/>
            </w:tcBorders>
            <w:shd w:val="clear" w:color="000000" w:fill="A5A5A5"/>
            <w:vAlign w:val="center"/>
            <w:hideMark/>
          </w:tcPr>
          <w:p w14:paraId="0B431FF1"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Our Proposed System</w:t>
            </w:r>
          </w:p>
        </w:tc>
      </w:tr>
      <w:tr w:rsidR="00CD7C16" w:rsidRPr="00CD7C16" w14:paraId="00823B06" w14:textId="77777777" w:rsidTr="00CD7C16">
        <w:trPr>
          <w:trHeight w:val="12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3FEAB349"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Cost</w:t>
            </w:r>
          </w:p>
        </w:tc>
        <w:tc>
          <w:tcPr>
            <w:tcW w:w="1341" w:type="dxa"/>
            <w:tcBorders>
              <w:top w:val="nil"/>
              <w:left w:val="nil"/>
              <w:bottom w:val="double" w:sz="6" w:space="0" w:color="3F3F3F"/>
              <w:right w:val="double" w:sz="6" w:space="0" w:color="3F3F3F"/>
            </w:tcBorders>
            <w:shd w:val="clear" w:color="000000" w:fill="A5A5A5"/>
            <w:vAlign w:val="center"/>
            <w:hideMark/>
          </w:tcPr>
          <w:p w14:paraId="29ECD7CE"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Free</w:t>
            </w:r>
          </w:p>
        </w:tc>
        <w:tc>
          <w:tcPr>
            <w:tcW w:w="1470" w:type="dxa"/>
            <w:tcBorders>
              <w:top w:val="nil"/>
              <w:left w:val="nil"/>
              <w:bottom w:val="double" w:sz="6" w:space="0" w:color="3F3F3F"/>
              <w:right w:val="double" w:sz="6" w:space="0" w:color="3F3F3F"/>
            </w:tcBorders>
            <w:shd w:val="clear" w:color="000000" w:fill="A5A5A5"/>
            <w:vAlign w:val="center"/>
            <w:hideMark/>
          </w:tcPr>
          <w:p w14:paraId="7E1FBCF8"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 (Sunk Cost)</w:t>
            </w:r>
          </w:p>
        </w:tc>
        <w:tc>
          <w:tcPr>
            <w:tcW w:w="1492" w:type="dxa"/>
            <w:tcBorders>
              <w:top w:val="nil"/>
              <w:left w:val="nil"/>
              <w:bottom w:val="double" w:sz="6" w:space="0" w:color="3F3F3F"/>
              <w:right w:val="double" w:sz="6" w:space="0" w:color="3F3F3F"/>
            </w:tcBorders>
            <w:shd w:val="clear" w:color="000000" w:fill="A5A5A5"/>
            <w:vAlign w:val="center"/>
            <w:hideMark/>
          </w:tcPr>
          <w:p w14:paraId="22A16CB5"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Medium (Subscription)</w:t>
            </w:r>
          </w:p>
        </w:tc>
        <w:tc>
          <w:tcPr>
            <w:tcW w:w="1423" w:type="dxa"/>
            <w:tcBorders>
              <w:top w:val="nil"/>
              <w:left w:val="nil"/>
              <w:bottom w:val="double" w:sz="6" w:space="0" w:color="3F3F3F"/>
              <w:right w:val="double" w:sz="6" w:space="0" w:color="3F3F3F"/>
            </w:tcBorders>
            <w:shd w:val="clear" w:color="000000" w:fill="A5A5A5"/>
            <w:vAlign w:val="center"/>
            <w:hideMark/>
          </w:tcPr>
          <w:p w14:paraId="25D423E9"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Very High</w:t>
            </w:r>
          </w:p>
        </w:tc>
        <w:tc>
          <w:tcPr>
            <w:tcW w:w="1463" w:type="dxa"/>
            <w:tcBorders>
              <w:top w:val="nil"/>
              <w:left w:val="nil"/>
              <w:bottom w:val="double" w:sz="6" w:space="0" w:color="3F3F3F"/>
              <w:right w:val="double" w:sz="6" w:space="0" w:color="3F3F3F"/>
            </w:tcBorders>
            <w:shd w:val="clear" w:color="000000" w:fill="A5A5A5"/>
            <w:vAlign w:val="center"/>
            <w:hideMark/>
          </w:tcPr>
          <w:p w14:paraId="56727869"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Low (Custom)</w:t>
            </w:r>
          </w:p>
        </w:tc>
      </w:tr>
      <w:tr w:rsidR="00CD7C16" w:rsidRPr="00CD7C16" w14:paraId="6AA09EFC" w14:textId="77777777" w:rsidTr="00CD7C16">
        <w:trPr>
          <w:trHeight w:val="12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1F1F17B8"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Allergen Filtering</w:t>
            </w:r>
          </w:p>
        </w:tc>
        <w:tc>
          <w:tcPr>
            <w:tcW w:w="1341" w:type="dxa"/>
            <w:tcBorders>
              <w:top w:val="nil"/>
              <w:left w:val="nil"/>
              <w:bottom w:val="double" w:sz="6" w:space="0" w:color="3F3F3F"/>
              <w:right w:val="double" w:sz="6" w:space="0" w:color="3F3F3F"/>
            </w:tcBorders>
            <w:shd w:val="clear" w:color="000000" w:fill="A5A5A5"/>
            <w:vAlign w:val="center"/>
            <w:hideMark/>
          </w:tcPr>
          <w:p w14:paraId="06DDACB7"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Manual (High Risk)</w:t>
            </w:r>
          </w:p>
        </w:tc>
        <w:tc>
          <w:tcPr>
            <w:tcW w:w="1470" w:type="dxa"/>
            <w:tcBorders>
              <w:top w:val="nil"/>
              <w:left w:val="nil"/>
              <w:bottom w:val="double" w:sz="6" w:space="0" w:color="3F3F3F"/>
              <w:right w:val="double" w:sz="6" w:space="0" w:color="3F3F3F"/>
            </w:tcBorders>
            <w:shd w:val="clear" w:color="000000" w:fill="A5A5A5"/>
            <w:vAlign w:val="center"/>
            <w:hideMark/>
          </w:tcPr>
          <w:p w14:paraId="0137904F"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Basic</w:t>
            </w:r>
          </w:p>
        </w:tc>
        <w:tc>
          <w:tcPr>
            <w:tcW w:w="1492" w:type="dxa"/>
            <w:tcBorders>
              <w:top w:val="nil"/>
              <w:left w:val="nil"/>
              <w:bottom w:val="double" w:sz="6" w:space="0" w:color="3F3F3F"/>
              <w:right w:val="double" w:sz="6" w:space="0" w:color="3F3F3F"/>
            </w:tcBorders>
            <w:shd w:val="clear" w:color="000000" w:fill="A5A5A5"/>
            <w:vAlign w:val="center"/>
            <w:hideMark/>
          </w:tcPr>
          <w:p w14:paraId="4BA7DBC9"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Automated</w:t>
            </w:r>
          </w:p>
        </w:tc>
        <w:tc>
          <w:tcPr>
            <w:tcW w:w="1423" w:type="dxa"/>
            <w:tcBorders>
              <w:top w:val="nil"/>
              <w:left w:val="nil"/>
              <w:bottom w:val="double" w:sz="6" w:space="0" w:color="3F3F3F"/>
              <w:right w:val="double" w:sz="6" w:space="0" w:color="3F3F3F"/>
            </w:tcBorders>
            <w:shd w:val="clear" w:color="000000" w:fill="A5A5A5"/>
            <w:vAlign w:val="center"/>
            <w:hideMark/>
          </w:tcPr>
          <w:p w14:paraId="01A78F3F"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Automated</w:t>
            </w:r>
          </w:p>
        </w:tc>
        <w:tc>
          <w:tcPr>
            <w:tcW w:w="1463" w:type="dxa"/>
            <w:tcBorders>
              <w:top w:val="nil"/>
              <w:left w:val="nil"/>
              <w:bottom w:val="double" w:sz="6" w:space="0" w:color="3F3F3F"/>
              <w:right w:val="double" w:sz="6" w:space="0" w:color="3F3F3F"/>
            </w:tcBorders>
            <w:shd w:val="clear" w:color="000000" w:fill="A5A5A5"/>
            <w:vAlign w:val="center"/>
            <w:hideMark/>
          </w:tcPr>
          <w:p w14:paraId="142F035C"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Automated</w:t>
            </w:r>
          </w:p>
        </w:tc>
      </w:tr>
      <w:tr w:rsidR="00CD7C16" w:rsidRPr="00CD7C16" w14:paraId="7D8E5825" w14:textId="77777777" w:rsidTr="00CD7C16">
        <w:trPr>
          <w:trHeight w:val="12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2F002897"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Medical Diet Support</w:t>
            </w:r>
          </w:p>
        </w:tc>
        <w:tc>
          <w:tcPr>
            <w:tcW w:w="1341" w:type="dxa"/>
            <w:tcBorders>
              <w:top w:val="nil"/>
              <w:left w:val="nil"/>
              <w:bottom w:val="double" w:sz="6" w:space="0" w:color="3F3F3F"/>
              <w:right w:val="double" w:sz="6" w:space="0" w:color="3F3F3F"/>
            </w:tcBorders>
            <w:shd w:val="clear" w:color="000000" w:fill="A5A5A5"/>
            <w:vAlign w:val="center"/>
            <w:hideMark/>
          </w:tcPr>
          <w:p w14:paraId="3421EE64"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None</w:t>
            </w:r>
          </w:p>
        </w:tc>
        <w:tc>
          <w:tcPr>
            <w:tcW w:w="1470" w:type="dxa"/>
            <w:tcBorders>
              <w:top w:val="nil"/>
              <w:left w:val="nil"/>
              <w:bottom w:val="double" w:sz="6" w:space="0" w:color="3F3F3F"/>
              <w:right w:val="double" w:sz="6" w:space="0" w:color="3F3F3F"/>
            </w:tcBorders>
            <w:shd w:val="clear" w:color="000000" w:fill="A5A5A5"/>
            <w:vAlign w:val="center"/>
            <w:hideMark/>
          </w:tcPr>
          <w:p w14:paraId="14C33B63"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w:t>
            </w:r>
          </w:p>
        </w:tc>
        <w:tc>
          <w:tcPr>
            <w:tcW w:w="1492" w:type="dxa"/>
            <w:tcBorders>
              <w:top w:val="nil"/>
              <w:left w:val="nil"/>
              <w:bottom w:val="double" w:sz="6" w:space="0" w:color="3F3F3F"/>
              <w:right w:val="double" w:sz="6" w:space="0" w:color="3F3F3F"/>
            </w:tcBorders>
            <w:shd w:val="clear" w:color="000000" w:fill="A5A5A5"/>
            <w:vAlign w:val="center"/>
            <w:hideMark/>
          </w:tcPr>
          <w:p w14:paraId="20C9FC44"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Low</w:t>
            </w:r>
          </w:p>
        </w:tc>
        <w:tc>
          <w:tcPr>
            <w:tcW w:w="1423" w:type="dxa"/>
            <w:tcBorders>
              <w:top w:val="nil"/>
              <w:left w:val="nil"/>
              <w:bottom w:val="double" w:sz="6" w:space="0" w:color="3F3F3F"/>
              <w:right w:val="double" w:sz="6" w:space="0" w:color="3F3F3F"/>
            </w:tcBorders>
            <w:shd w:val="clear" w:color="000000" w:fill="A5A5A5"/>
            <w:vAlign w:val="center"/>
            <w:hideMark/>
          </w:tcPr>
          <w:p w14:paraId="7FDF7220"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w:t>
            </w:r>
          </w:p>
        </w:tc>
        <w:tc>
          <w:tcPr>
            <w:tcW w:w="1463" w:type="dxa"/>
            <w:tcBorders>
              <w:top w:val="nil"/>
              <w:left w:val="nil"/>
              <w:bottom w:val="double" w:sz="6" w:space="0" w:color="3F3F3F"/>
              <w:right w:val="double" w:sz="6" w:space="0" w:color="3F3F3F"/>
            </w:tcBorders>
            <w:shd w:val="clear" w:color="000000" w:fill="A5A5A5"/>
            <w:vAlign w:val="center"/>
            <w:hideMark/>
          </w:tcPr>
          <w:p w14:paraId="3A2A2305"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w:t>
            </w:r>
          </w:p>
        </w:tc>
      </w:tr>
      <w:tr w:rsidR="00CD7C16" w:rsidRPr="00CD7C16" w14:paraId="306CC3B3" w14:textId="77777777" w:rsidTr="00CD7C16">
        <w:trPr>
          <w:trHeight w:val="9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58D881C5"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Inventory Mgmt</w:t>
            </w:r>
          </w:p>
        </w:tc>
        <w:tc>
          <w:tcPr>
            <w:tcW w:w="1341" w:type="dxa"/>
            <w:tcBorders>
              <w:top w:val="nil"/>
              <w:left w:val="nil"/>
              <w:bottom w:val="double" w:sz="6" w:space="0" w:color="3F3F3F"/>
              <w:right w:val="double" w:sz="6" w:space="0" w:color="3F3F3F"/>
            </w:tcBorders>
            <w:shd w:val="clear" w:color="000000" w:fill="A5A5A5"/>
            <w:vAlign w:val="center"/>
            <w:hideMark/>
          </w:tcPr>
          <w:p w14:paraId="04F74600"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Static</w:t>
            </w:r>
          </w:p>
        </w:tc>
        <w:tc>
          <w:tcPr>
            <w:tcW w:w="1470" w:type="dxa"/>
            <w:tcBorders>
              <w:top w:val="nil"/>
              <w:left w:val="nil"/>
              <w:bottom w:val="double" w:sz="6" w:space="0" w:color="3F3F3F"/>
              <w:right w:val="double" w:sz="6" w:space="0" w:color="3F3F3F"/>
            </w:tcBorders>
            <w:shd w:val="clear" w:color="000000" w:fill="A5A5A5"/>
            <w:vAlign w:val="center"/>
            <w:hideMark/>
          </w:tcPr>
          <w:p w14:paraId="1D4522E7"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None</w:t>
            </w:r>
          </w:p>
        </w:tc>
        <w:tc>
          <w:tcPr>
            <w:tcW w:w="1492" w:type="dxa"/>
            <w:tcBorders>
              <w:top w:val="nil"/>
              <w:left w:val="nil"/>
              <w:bottom w:val="double" w:sz="6" w:space="0" w:color="3F3F3F"/>
              <w:right w:val="double" w:sz="6" w:space="0" w:color="3F3F3F"/>
            </w:tcBorders>
            <w:shd w:val="clear" w:color="000000" w:fill="A5A5A5"/>
            <w:vAlign w:val="center"/>
            <w:hideMark/>
          </w:tcPr>
          <w:p w14:paraId="0058B48A"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w:t>
            </w:r>
          </w:p>
        </w:tc>
        <w:tc>
          <w:tcPr>
            <w:tcW w:w="1423" w:type="dxa"/>
            <w:tcBorders>
              <w:top w:val="nil"/>
              <w:left w:val="nil"/>
              <w:bottom w:val="double" w:sz="6" w:space="0" w:color="3F3F3F"/>
              <w:right w:val="double" w:sz="6" w:space="0" w:color="3F3F3F"/>
            </w:tcBorders>
            <w:shd w:val="clear" w:color="000000" w:fill="A5A5A5"/>
            <w:vAlign w:val="center"/>
            <w:hideMark/>
          </w:tcPr>
          <w:p w14:paraId="6612C395"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w:t>
            </w:r>
          </w:p>
        </w:tc>
        <w:tc>
          <w:tcPr>
            <w:tcW w:w="1463" w:type="dxa"/>
            <w:tcBorders>
              <w:top w:val="nil"/>
              <w:left w:val="nil"/>
              <w:bottom w:val="double" w:sz="6" w:space="0" w:color="3F3F3F"/>
              <w:right w:val="double" w:sz="6" w:space="0" w:color="3F3F3F"/>
            </w:tcBorders>
            <w:shd w:val="clear" w:color="000000" w:fill="A5A5A5"/>
            <w:vAlign w:val="center"/>
            <w:hideMark/>
          </w:tcPr>
          <w:p w14:paraId="78E626D5"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Dynamic &amp; Simple</w:t>
            </w:r>
          </w:p>
        </w:tc>
      </w:tr>
      <w:tr w:rsidR="00CD7C16" w:rsidRPr="00CD7C16" w14:paraId="130E128F" w14:textId="77777777" w:rsidTr="00CD7C16">
        <w:trPr>
          <w:trHeight w:val="12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579C697E"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"May Contain" Logic</w:t>
            </w:r>
          </w:p>
        </w:tc>
        <w:tc>
          <w:tcPr>
            <w:tcW w:w="1341" w:type="dxa"/>
            <w:tcBorders>
              <w:top w:val="nil"/>
              <w:left w:val="nil"/>
              <w:bottom w:val="double" w:sz="6" w:space="0" w:color="3F3F3F"/>
              <w:right w:val="double" w:sz="6" w:space="0" w:color="3F3F3F"/>
            </w:tcBorders>
            <w:shd w:val="clear" w:color="000000" w:fill="A5A5A5"/>
            <w:vAlign w:val="center"/>
            <w:hideMark/>
          </w:tcPr>
          <w:p w14:paraId="2687DAD8"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Confusing</w:t>
            </w:r>
          </w:p>
        </w:tc>
        <w:tc>
          <w:tcPr>
            <w:tcW w:w="1470" w:type="dxa"/>
            <w:tcBorders>
              <w:top w:val="nil"/>
              <w:left w:val="nil"/>
              <w:bottom w:val="double" w:sz="6" w:space="0" w:color="3F3F3F"/>
              <w:right w:val="double" w:sz="6" w:space="0" w:color="3F3F3F"/>
            </w:tcBorders>
            <w:shd w:val="clear" w:color="000000" w:fill="A5A5A5"/>
            <w:vAlign w:val="center"/>
            <w:hideMark/>
          </w:tcPr>
          <w:p w14:paraId="44E362AA"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Text Only</w:t>
            </w:r>
          </w:p>
        </w:tc>
        <w:tc>
          <w:tcPr>
            <w:tcW w:w="1492" w:type="dxa"/>
            <w:tcBorders>
              <w:top w:val="nil"/>
              <w:left w:val="nil"/>
              <w:bottom w:val="double" w:sz="6" w:space="0" w:color="3F3F3F"/>
              <w:right w:val="double" w:sz="6" w:space="0" w:color="3F3F3F"/>
            </w:tcBorders>
            <w:shd w:val="clear" w:color="000000" w:fill="A5A5A5"/>
            <w:vAlign w:val="center"/>
            <w:hideMark/>
          </w:tcPr>
          <w:p w14:paraId="624CF78F"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Standard</w:t>
            </w:r>
          </w:p>
        </w:tc>
        <w:tc>
          <w:tcPr>
            <w:tcW w:w="1423" w:type="dxa"/>
            <w:tcBorders>
              <w:top w:val="nil"/>
              <w:left w:val="nil"/>
              <w:bottom w:val="double" w:sz="6" w:space="0" w:color="3F3F3F"/>
              <w:right w:val="double" w:sz="6" w:space="0" w:color="3F3F3F"/>
            </w:tcBorders>
            <w:shd w:val="clear" w:color="000000" w:fill="A5A5A5"/>
            <w:vAlign w:val="center"/>
            <w:hideMark/>
          </w:tcPr>
          <w:p w14:paraId="3DC2270E"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Standard</w:t>
            </w:r>
          </w:p>
        </w:tc>
        <w:tc>
          <w:tcPr>
            <w:tcW w:w="1463" w:type="dxa"/>
            <w:tcBorders>
              <w:top w:val="nil"/>
              <w:left w:val="nil"/>
              <w:bottom w:val="double" w:sz="6" w:space="0" w:color="3F3F3F"/>
              <w:right w:val="double" w:sz="6" w:space="0" w:color="3F3F3F"/>
            </w:tcBorders>
            <w:shd w:val="clear" w:color="000000" w:fill="A5A5A5"/>
            <w:vAlign w:val="center"/>
            <w:hideMark/>
          </w:tcPr>
          <w:p w14:paraId="5C611276"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Highlighted</w:t>
            </w:r>
          </w:p>
        </w:tc>
      </w:tr>
      <w:tr w:rsidR="00CD7C16" w:rsidRPr="00CD7C16" w14:paraId="033E377C" w14:textId="77777777" w:rsidTr="00CD7C16">
        <w:trPr>
          <w:trHeight w:val="1230"/>
        </w:trPr>
        <w:tc>
          <w:tcPr>
            <w:tcW w:w="1273" w:type="dxa"/>
            <w:tcBorders>
              <w:top w:val="nil"/>
              <w:left w:val="double" w:sz="6" w:space="0" w:color="3F3F3F"/>
              <w:bottom w:val="double" w:sz="6" w:space="0" w:color="3F3F3F"/>
              <w:right w:val="double" w:sz="6" w:space="0" w:color="3F3F3F"/>
            </w:tcBorders>
            <w:shd w:val="clear" w:color="000000" w:fill="A5A5A5"/>
            <w:vAlign w:val="center"/>
            <w:hideMark/>
          </w:tcPr>
          <w:p w14:paraId="1DEABBB0"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Hebrew Support</w:t>
            </w:r>
          </w:p>
        </w:tc>
        <w:tc>
          <w:tcPr>
            <w:tcW w:w="1341" w:type="dxa"/>
            <w:tcBorders>
              <w:top w:val="nil"/>
              <w:left w:val="nil"/>
              <w:bottom w:val="double" w:sz="6" w:space="0" w:color="3F3F3F"/>
              <w:right w:val="double" w:sz="6" w:space="0" w:color="3F3F3F"/>
            </w:tcBorders>
            <w:shd w:val="clear" w:color="000000" w:fill="A5A5A5"/>
            <w:vAlign w:val="center"/>
            <w:hideMark/>
          </w:tcPr>
          <w:p w14:paraId="512F0A34"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Native</w:t>
            </w:r>
          </w:p>
        </w:tc>
        <w:tc>
          <w:tcPr>
            <w:tcW w:w="1470" w:type="dxa"/>
            <w:tcBorders>
              <w:top w:val="nil"/>
              <w:left w:val="nil"/>
              <w:bottom w:val="double" w:sz="6" w:space="0" w:color="3F3F3F"/>
              <w:right w:val="double" w:sz="6" w:space="0" w:color="3F3F3F"/>
            </w:tcBorders>
            <w:shd w:val="clear" w:color="000000" w:fill="A5A5A5"/>
            <w:vAlign w:val="center"/>
            <w:hideMark/>
          </w:tcPr>
          <w:p w14:paraId="14A760BC"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Native</w:t>
            </w:r>
          </w:p>
        </w:tc>
        <w:tc>
          <w:tcPr>
            <w:tcW w:w="1492" w:type="dxa"/>
            <w:tcBorders>
              <w:top w:val="nil"/>
              <w:left w:val="nil"/>
              <w:bottom w:val="double" w:sz="6" w:space="0" w:color="3F3F3F"/>
              <w:right w:val="double" w:sz="6" w:space="0" w:color="3F3F3F"/>
            </w:tcBorders>
            <w:shd w:val="clear" w:color="000000" w:fill="A5A5A5"/>
            <w:vAlign w:val="center"/>
            <w:hideMark/>
          </w:tcPr>
          <w:p w14:paraId="7436B8BA"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Partial</w:t>
            </w:r>
          </w:p>
        </w:tc>
        <w:tc>
          <w:tcPr>
            <w:tcW w:w="1423" w:type="dxa"/>
            <w:tcBorders>
              <w:top w:val="nil"/>
              <w:left w:val="nil"/>
              <w:bottom w:val="double" w:sz="6" w:space="0" w:color="3F3F3F"/>
              <w:right w:val="double" w:sz="6" w:space="0" w:color="3F3F3F"/>
            </w:tcBorders>
            <w:shd w:val="clear" w:color="000000" w:fill="A5A5A5"/>
            <w:vAlign w:val="center"/>
            <w:hideMark/>
          </w:tcPr>
          <w:p w14:paraId="7259ACC1"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Low</w:t>
            </w:r>
          </w:p>
        </w:tc>
        <w:tc>
          <w:tcPr>
            <w:tcW w:w="1463" w:type="dxa"/>
            <w:tcBorders>
              <w:top w:val="nil"/>
              <w:left w:val="nil"/>
              <w:bottom w:val="double" w:sz="6" w:space="0" w:color="3F3F3F"/>
              <w:right w:val="double" w:sz="6" w:space="0" w:color="3F3F3F"/>
            </w:tcBorders>
            <w:shd w:val="clear" w:color="000000" w:fill="A5A5A5"/>
            <w:vAlign w:val="center"/>
            <w:hideMark/>
          </w:tcPr>
          <w:p w14:paraId="75456B9C" w14:textId="77777777" w:rsidR="00CD7C16" w:rsidRPr="00CD7C16" w:rsidRDefault="00CD7C16" w:rsidP="00CD7C16">
            <w:pPr>
              <w:spacing w:after="0" w:line="240" w:lineRule="auto"/>
              <w:ind w:firstLineChars="100" w:firstLine="221"/>
              <w:rPr>
                <w:rFonts w:ascii="Aptos Narrow" w:eastAsia="Times New Roman" w:hAnsi="Aptos Narrow" w:cs="Times New Roman"/>
                <w:b/>
                <w:bCs/>
                <w:color w:val="FFFFFF"/>
                <w:kern w:val="0"/>
                <w:sz w:val="22"/>
                <w:szCs w:val="22"/>
                <w:lang/>
                <w14:ligatures w14:val="none"/>
              </w:rPr>
            </w:pPr>
            <w:r w:rsidRPr="00CD7C16">
              <w:rPr>
                <w:rFonts w:ascii="Aptos Narrow" w:eastAsia="Times New Roman" w:hAnsi="Aptos Narrow" w:cs="Times New Roman"/>
                <w:b/>
                <w:bCs/>
                <w:color w:val="FFFFFF"/>
                <w:kern w:val="0"/>
                <w:sz w:val="22"/>
                <w:szCs w:val="22"/>
                <w:lang/>
                <w14:ligatures w14:val="none"/>
              </w:rPr>
              <w:t>Native</w:t>
            </w:r>
          </w:p>
        </w:tc>
      </w:tr>
    </w:tbl>
    <w:p w14:paraId="024AB269" w14:textId="77777777" w:rsidR="00CD7C16" w:rsidRPr="00CD7C16" w:rsidRDefault="00CD7C16" w:rsidP="00D91ACA">
      <w:pPr>
        <w:rPr>
          <w:rtl/>
          <w:lang w:val="en-US"/>
        </w:rPr>
      </w:pPr>
    </w:p>
    <w:p w14:paraId="6CBDBD8A" w14:textId="77777777" w:rsidR="00CD7C16" w:rsidRDefault="00CD7C16" w:rsidP="00D91ACA">
      <w:pPr>
        <w:rPr>
          <w:rtl/>
        </w:rPr>
      </w:pPr>
    </w:p>
    <w:p w14:paraId="11BF455C" w14:textId="77777777" w:rsidR="00CD7C16" w:rsidRPr="00CD7C16" w:rsidRDefault="00CD7C16" w:rsidP="00CD7C16">
      <w:pPr>
        <w:rPr>
          <w:b/>
          <w:bCs/>
        </w:rPr>
      </w:pPr>
      <w:r w:rsidRPr="00CD7C16">
        <w:rPr>
          <w:b/>
          <w:bCs/>
        </w:rPr>
        <w:t>Conclusion and Project Justification</w:t>
      </w:r>
    </w:p>
    <w:p w14:paraId="71D49B9B" w14:textId="77777777" w:rsidR="00CD7C16" w:rsidRPr="00CD7C16" w:rsidRDefault="00CD7C16" w:rsidP="00CD7C16">
      <w:r w:rsidRPr="00CD7C16">
        <w:t>While systems like </w:t>
      </w:r>
      <w:r w:rsidRPr="00CD7C16">
        <w:rPr>
          <w:b/>
          <w:bCs/>
        </w:rPr>
        <w:t>CBORD</w:t>
      </w:r>
      <w:r w:rsidRPr="00CD7C16">
        <w:t> offer safety and </w:t>
      </w:r>
      <w:r w:rsidRPr="00CD7C16">
        <w:rPr>
          <w:b/>
          <w:bCs/>
        </w:rPr>
        <w:t>Nutritics</w:t>
      </w:r>
      <w:r w:rsidRPr="00CD7C16">
        <w:t> offer great design, they are either too expensive or lack clinical focus. </w:t>
      </w:r>
      <w:r w:rsidRPr="00CD7C16">
        <w:rPr>
          <w:b/>
          <w:bCs/>
        </w:rPr>
        <w:t>Chameleon</w:t>
      </w:r>
      <w:r w:rsidRPr="00CD7C16">
        <w:t> is essential for medical records but fails as a kitchen management tool. Finally, </w:t>
      </w:r>
      <w:r w:rsidRPr="00CD7C16">
        <w:rPr>
          <w:b/>
          <w:bCs/>
        </w:rPr>
        <w:t>Excel</w:t>
      </w:r>
      <w:r w:rsidRPr="00CD7C16">
        <w:t> remains the most dangerous option due to human error.</w:t>
      </w:r>
    </w:p>
    <w:p w14:paraId="04628A90" w14:textId="77777777" w:rsidR="00CD7C16" w:rsidRPr="00CD7C16" w:rsidRDefault="00CD7C16" w:rsidP="00CD7C16">
      <w:r w:rsidRPr="00CD7C16">
        <w:t>Our project fills this gap by creating a </w:t>
      </w:r>
      <w:r w:rsidRPr="00CD7C16">
        <w:rPr>
          <w:b/>
          <w:bCs/>
        </w:rPr>
        <w:t>lightweight, clinically-aware system</w:t>
      </w:r>
      <w:r w:rsidRPr="00CD7C16">
        <w:t xml:space="preserve">. It combines the medical specificity of Chameleon with the user-friendly inventory </w:t>
      </w:r>
      <w:r w:rsidRPr="00CD7C16">
        <w:lastRenderedPageBreak/>
        <w:t>management of Nutritics, tailored specifically for the Israeli hospital workflow where distinguishing between "Contains" and "May Contain" is critical for patient safety.</w:t>
      </w:r>
    </w:p>
    <w:p w14:paraId="4C67ECD0" w14:textId="77777777" w:rsidR="00CD7C16" w:rsidRDefault="00CD7C16" w:rsidP="00D91ACA">
      <w:pPr>
        <w:rPr>
          <w:rtl/>
        </w:rPr>
      </w:pPr>
    </w:p>
    <w:p w14:paraId="5553F9BD" w14:textId="0EE58525" w:rsidR="002A520C" w:rsidRPr="002A520C" w:rsidRDefault="002A520C" w:rsidP="002A520C">
      <w:pPr>
        <w:rPr>
          <w:b/>
          <w:bCs/>
        </w:rPr>
      </w:pPr>
      <w:r w:rsidRPr="002A520C">
        <w:rPr>
          <w:b/>
          <w:bCs/>
        </w:rPr>
        <w:t>References</w:t>
      </w:r>
    </w:p>
    <w:p w14:paraId="11A0A2B4" w14:textId="77777777" w:rsidR="002A520C" w:rsidRPr="002A520C" w:rsidRDefault="002A520C" w:rsidP="002A520C">
      <w:r w:rsidRPr="002A520C">
        <w:rPr>
          <w:b/>
          <w:bCs/>
        </w:rPr>
        <w:t>[5]</w:t>
      </w:r>
      <w:r w:rsidRPr="002A520C">
        <w:t> Elad Health. (n.d.). </w:t>
      </w:r>
      <w:r w:rsidRPr="002A520C">
        <w:rPr>
          <w:i/>
          <w:iCs/>
        </w:rPr>
        <w:t>Chameleon Electronic Medical Record (EMR)</w:t>
      </w:r>
      <w:r w:rsidRPr="002A520C">
        <w:t>. Retrieved from </w:t>
      </w:r>
      <w:hyperlink r:id="rId12" w:tgtFrame="_blank" w:history="1">
        <w:r w:rsidRPr="002A520C">
          <w:rPr>
            <w:rStyle w:val="Hyperlink"/>
          </w:rPr>
          <w:t>https://www.elad-health.com/</w:t>
        </w:r>
      </w:hyperlink>
    </w:p>
    <w:p w14:paraId="5A8E7B1A" w14:textId="77777777" w:rsidR="002A520C" w:rsidRPr="002A520C" w:rsidRDefault="002A520C" w:rsidP="002A520C">
      <w:r w:rsidRPr="002A520C">
        <w:rPr>
          <w:b/>
          <w:bCs/>
        </w:rPr>
        <w:t>[6]</w:t>
      </w:r>
      <w:r w:rsidRPr="002A520C">
        <w:t> Nutritics. (n.d.). </w:t>
      </w:r>
      <w:r w:rsidRPr="002A520C">
        <w:rPr>
          <w:i/>
          <w:iCs/>
        </w:rPr>
        <w:t>Food Safety &amp; Allergen Management Software</w:t>
      </w:r>
      <w:r w:rsidRPr="002A520C">
        <w:t>. Retrieved from </w:t>
      </w:r>
      <w:hyperlink r:id="rId13" w:tgtFrame="_blank" w:history="1">
        <w:r w:rsidRPr="002A520C">
          <w:rPr>
            <w:rStyle w:val="Hyperlink"/>
          </w:rPr>
          <w:t>https://www.nutritics.com/</w:t>
        </w:r>
      </w:hyperlink>
    </w:p>
    <w:p w14:paraId="271578A0" w14:textId="77777777" w:rsidR="002A520C" w:rsidRPr="002A520C" w:rsidRDefault="002A520C" w:rsidP="002A520C">
      <w:r w:rsidRPr="002A520C">
        <w:rPr>
          <w:b/>
          <w:bCs/>
        </w:rPr>
        <w:t>[7]</w:t>
      </w:r>
      <w:r w:rsidRPr="002A520C">
        <w:t> CBORD. (n.d.). </w:t>
      </w:r>
      <w:r w:rsidRPr="002A520C">
        <w:rPr>
          <w:i/>
          <w:iCs/>
        </w:rPr>
        <w:t>Patient Nutrition &amp; Foodservice Management</w:t>
      </w:r>
      <w:r w:rsidRPr="002A520C">
        <w:t>. Retrieved from </w:t>
      </w:r>
      <w:hyperlink r:id="rId14" w:tgtFrame="_blank" w:history="1">
        <w:r w:rsidRPr="002A520C">
          <w:rPr>
            <w:rStyle w:val="Hyperlink"/>
          </w:rPr>
          <w:t>https://www.cbord.com/industry/healthcare/</w:t>
        </w:r>
      </w:hyperlink>
    </w:p>
    <w:p w14:paraId="7C1CE31F" w14:textId="77777777" w:rsidR="002A520C" w:rsidRPr="00D91ACA" w:rsidRDefault="002A520C" w:rsidP="00D91ACA">
      <w:pPr>
        <w:rPr>
          <w:rFonts w:hint="cs"/>
          <w:rtl/>
        </w:rPr>
      </w:pPr>
    </w:p>
    <w:sectPr w:rsidR="002A520C" w:rsidRPr="00D91A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053B7"/>
    <w:multiLevelType w:val="multilevel"/>
    <w:tmpl w:val="9C166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86B80"/>
    <w:multiLevelType w:val="multilevel"/>
    <w:tmpl w:val="D92AB0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43C83"/>
    <w:multiLevelType w:val="multilevel"/>
    <w:tmpl w:val="628877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161785"/>
    <w:multiLevelType w:val="multilevel"/>
    <w:tmpl w:val="02828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90545">
    <w:abstractNumId w:val="2"/>
  </w:num>
  <w:num w:numId="2" w16cid:durableId="2083136029">
    <w:abstractNumId w:val="0"/>
  </w:num>
  <w:num w:numId="3" w16cid:durableId="828716257">
    <w:abstractNumId w:val="3"/>
  </w:num>
  <w:num w:numId="4" w16cid:durableId="8874543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062"/>
    <w:rsid w:val="001D0062"/>
    <w:rsid w:val="0023155B"/>
    <w:rsid w:val="002A520C"/>
    <w:rsid w:val="00561764"/>
    <w:rsid w:val="005F0ECA"/>
    <w:rsid w:val="007B0275"/>
    <w:rsid w:val="00CD7C16"/>
    <w:rsid w:val="00D91AC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FBDB"/>
  <w15:chartTrackingRefBased/>
  <w15:docId w15:val="{919F0D74-FF72-494D-8978-94C445FC6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0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0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0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0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0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0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0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0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0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0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0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0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0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0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0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0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0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0062"/>
    <w:rPr>
      <w:rFonts w:eastAsiaTheme="majorEastAsia" w:cstheme="majorBidi"/>
      <w:color w:val="272727" w:themeColor="text1" w:themeTint="D8"/>
    </w:rPr>
  </w:style>
  <w:style w:type="paragraph" w:styleId="Title">
    <w:name w:val="Title"/>
    <w:basedOn w:val="Normal"/>
    <w:next w:val="Normal"/>
    <w:link w:val="TitleChar"/>
    <w:uiPriority w:val="10"/>
    <w:qFormat/>
    <w:rsid w:val="001D0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0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0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0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0062"/>
    <w:pPr>
      <w:spacing w:before="160"/>
      <w:jc w:val="center"/>
    </w:pPr>
    <w:rPr>
      <w:i/>
      <w:iCs/>
      <w:color w:val="404040" w:themeColor="text1" w:themeTint="BF"/>
    </w:rPr>
  </w:style>
  <w:style w:type="character" w:customStyle="1" w:styleId="QuoteChar">
    <w:name w:val="Quote Char"/>
    <w:basedOn w:val="DefaultParagraphFont"/>
    <w:link w:val="Quote"/>
    <w:uiPriority w:val="29"/>
    <w:rsid w:val="001D0062"/>
    <w:rPr>
      <w:i/>
      <w:iCs/>
      <w:color w:val="404040" w:themeColor="text1" w:themeTint="BF"/>
    </w:rPr>
  </w:style>
  <w:style w:type="paragraph" w:styleId="ListParagraph">
    <w:name w:val="List Paragraph"/>
    <w:basedOn w:val="Normal"/>
    <w:uiPriority w:val="34"/>
    <w:qFormat/>
    <w:rsid w:val="001D0062"/>
    <w:pPr>
      <w:ind w:left="720"/>
      <w:contextualSpacing/>
    </w:pPr>
  </w:style>
  <w:style w:type="character" w:styleId="IntenseEmphasis">
    <w:name w:val="Intense Emphasis"/>
    <w:basedOn w:val="DefaultParagraphFont"/>
    <w:uiPriority w:val="21"/>
    <w:qFormat/>
    <w:rsid w:val="001D0062"/>
    <w:rPr>
      <w:i/>
      <w:iCs/>
      <w:color w:val="0F4761" w:themeColor="accent1" w:themeShade="BF"/>
    </w:rPr>
  </w:style>
  <w:style w:type="paragraph" w:styleId="IntenseQuote">
    <w:name w:val="Intense Quote"/>
    <w:basedOn w:val="Normal"/>
    <w:next w:val="Normal"/>
    <w:link w:val="IntenseQuoteChar"/>
    <w:uiPriority w:val="30"/>
    <w:qFormat/>
    <w:rsid w:val="001D0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0062"/>
    <w:rPr>
      <w:i/>
      <w:iCs/>
      <w:color w:val="0F4761" w:themeColor="accent1" w:themeShade="BF"/>
    </w:rPr>
  </w:style>
  <w:style w:type="character" w:styleId="IntenseReference">
    <w:name w:val="Intense Reference"/>
    <w:basedOn w:val="DefaultParagraphFont"/>
    <w:uiPriority w:val="32"/>
    <w:qFormat/>
    <w:rsid w:val="001D0062"/>
    <w:rPr>
      <w:b/>
      <w:bCs/>
      <w:smallCaps/>
      <w:color w:val="0F4761" w:themeColor="accent1" w:themeShade="BF"/>
      <w:spacing w:val="5"/>
    </w:rPr>
  </w:style>
  <w:style w:type="character" w:styleId="Hyperlink">
    <w:name w:val="Hyperlink"/>
    <w:basedOn w:val="DefaultParagraphFont"/>
    <w:uiPriority w:val="99"/>
    <w:unhideWhenUsed/>
    <w:rsid w:val="001D0062"/>
    <w:rPr>
      <w:color w:val="467886" w:themeColor="hyperlink"/>
      <w:u w:val="single"/>
    </w:rPr>
  </w:style>
  <w:style w:type="character" w:styleId="UnresolvedMention">
    <w:name w:val="Unresolved Mention"/>
    <w:basedOn w:val="DefaultParagraphFont"/>
    <w:uiPriority w:val="99"/>
    <w:semiHidden/>
    <w:unhideWhenUsed/>
    <w:rsid w:val="001D00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1528975">
      <w:bodyDiv w:val="1"/>
      <w:marLeft w:val="0"/>
      <w:marRight w:val="0"/>
      <w:marTop w:val="0"/>
      <w:marBottom w:val="0"/>
      <w:divBdr>
        <w:top w:val="none" w:sz="0" w:space="0" w:color="auto"/>
        <w:left w:val="none" w:sz="0" w:space="0" w:color="auto"/>
        <w:bottom w:val="none" w:sz="0" w:space="0" w:color="auto"/>
        <w:right w:val="none" w:sz="0" w:space="0" w:color="auto"/>
      </w:divBdr>
      <w:divsChild>
        <w:div w:id="520557701">
          <w:marLeft w:val="0"/>
          <w:marRight w:val="0"/>
          <w:marTop w:val="0"/>
          <w:marBottom w:val="0"/>
          <w:divBdr>
            <w:top w:val="none" w:sz="0" w:space="0" w:color="auto"/>
            <w:left w:val="none" w:sz="0" w:space="0" w:color="auto"/>
            <w:bottom w:val="none" w:sz="0" w:space="0" w:color="auto"/>
            <w:right w:val="none" w:sz="0" w:space="0" w:color="auto"/>
          </w:divBdr>
        </w:div>
      </w:divsChild>
    </w:div>
    <w:div w:id="1466389841">
      <w:bodyDiv w:val="1"/>
      <w:marLeft w:val="0"/>
      <w:marRight w:val="0"/>
      <w:marTop w:val="0"/>
      <w:marBottom w:val="0"/>
      <w:divBdr>
        <w:top w:val="none" w:sz="0" w:space="0" w:color="auto"/>
        <w:left w:val="none" w:sz="0" w:space="0" w:color="auto"/>
        <w:bottom w:val="none" w:sz="0" w:space="0" w:color="auto"/>
        <w:right w:val="none" w:sz="0" w:space="0" w:color="auto"/>
      </w:divBdr>
      <w:divsChild>
        <w:div w:id="6391981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https%3A%2F%2Fpubmed.ncbi.nlm.nih.gov%2F38536103%2F" TargetMode="External"/><Relationship Id="rId13" Type="http://schemas.openxmlformats.org/officeDocument/2006/relationships/hyperlink" Target="https://www.google.com/url?sa=E&amp;q=https%3A%2F%2Fwww.nutritics.com%2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google.com/url?sa=E&amp;q=https%3A%2F%2Fwww.elad-health.com%2F"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sa=E&amp;q=https%3A%2F%2Fwww.sciencedirect.com%2Fscience%2Farticle%2Fpii%2FS0160791X22000148"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google.com/url?sa=E&amp;q=https%3A%2F%2Fpmc.ncbi.nlm.nih.gov%2Farticles%2FPMC7527917%2F" TargetMode="External"/><Relationship Id="rId4" Type="http://schemas.openxmlformats.org/officeDocument/2006/relationships/numbering" Target="numbering.xml"/><Relationship Id="rId9" Type="http://schemas.openxmlformats.org/officeDocument/2006/relationships/hyperlink" Target="https://www.google.com/url?sa=E&amp;q=https%3A%2F%2Fpmc.ncbi.nlm.nih.gov%2Farticles%2FPMC11589406%2F" TargetMode="External"/><Relationship Id="rId14" Type="http://schemas.openxmlformats.org/officeDocument/2006/relationships/hyperlink" Target="https://www.google.com/url?sa=E&amp;q=https%3A%2F%2Fwww.cbord.com%2Findustry%2Fhealthcare%2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A58113A5C8E418F44D71BFBB154A0" ma:contentTypeVersion="9" ma:contentTypeDescription="Create a new document." ma:contentTypeScope="" ma:versionID="e0595acddd8d00a4dbcd7d6ca95fd203">
  <xsd:schema xmlns:xsd="http://www.w3.org/2001/XMLSchema" xmlns:xs="http://www.w3.org/2001/XMLSchema" xmlns:p="http://schemas.microsoft.com/office/2006/metadata/properties" xmlns:ns3="55e3e6f1-801a-40b3-acd9-ec8e83b754b6" xmlns:ns4="a4fb29cd-3d92-4d2b-89ab-3e6b09931a06" targetNamespace="http://schemas.microsoft.com/office/2006/metadata/properties" ma:root="true" ma:fieldsID="21497ad5cd24d1ed69694df24f8f1cf5" ns3:_="" ns4:_="">
    <xsd:import namespace="55e3e6f1-801a-40b3-acd9-ec8e83b754b6"/>
    <xsd:import namespace="a4fb29cd-3d92-4d2b-89ab-3e6b09931a06"/>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3e6f1-801a-40b3-acd9-ec8e83b754b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4fb29cd-3d92-4d2b-89ab-3e6b09931a06"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5e3e6f1-801a-40b3-acd9-ec8e83b754b6" xsi:nil="true"/>
  </documentManagement>
</p:properties>
</file>

<file path=customXml/itemProps1.xml><?xml version="1.0" encoding="utf-8"?>
<ds:datastoreItem xmlns:ds="http://schemas.openxmlformats.org/officeDocument/2006/customXml" ds:itemID="{41ABCF54-4DAA-41CC-800E-A4C1C76841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e3e6f1-801a-40b3-acd9-ec8e83b754b6"/>
    <ds:schemaRef ds:uri="a4fb29cd-3d92-4d2b-89ab-3e6b09931a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D8AF7D-A9F0-4E21-8827-473FC366D2C4}">
  <ds:schemaRefs>
    <ds:schemaRef ds:uri="http://schemas.microsoft.com/sharepoint/v3/contenttype/forms"/>
  </ds:schemaRefs>
</ds:datastoreItem>
</file>

<file path=customXml/itemProps3.xml><?xml version="1.0" encoding="utf-8"?>
<ds:datastoreItem xmlns:ds="http://schemas.openxmlformats.org/officeDocument/2006/customXml" ds:itemID="{E51A3DC2-3A8A-40D1-BBB3-C9AE615E9A7E}">
  <ds:schemaRefs>
    <ds:schemaRef ds:uri="http://schemas.microsoft.com/office/2006/metadata/properties"/>
    <ds:schemaRef ds:uri="http://schemas.microsoft.com/office/infopath/2007/PartnerControls"/>
    <ds:schemaRef ds:uri="55e3e6f1-801a-40b3-acd9-ec8e83b754b6"/>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1389</Words>
  <Characters>8543</Characters>
  <Application>Microsoft Office Word</Application>
  <DocSecurity>0</DocSecurity>
  <Lines>127</Lines>
  <Paragraphs>36</Paragraphs>
  <ScaleCrop>false</ScaleCrop>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Tomer Natan</dc:creator>
  <cp:keywords/>
  <dc:description/>
  <cp:lastModifiedBy>Tomer Natan</cp:lastModifiedBy>
  <cp:revision>3</cp:revision>
  <dcterms:created xsi:type="dcterms:W3CDTF">2025-12-02T09:50:00Z</dcterms:created>
  <dcterms:modified xsi:type="dcterms:W3CDTF">2025-12-02T09:52:00Z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0x010100479A58113A5C8E418F44D71BFBB154A0</vt:lpwstr>
  </property>
</Properties>
</file>