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0"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9"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8"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G. Zuntz also recognized all of this. “Modern criticism stops before the barrier of the second century, the age, so it seems, of unbounded liberties with the text”.1</w:t>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dodaje:</w:t>
      </w:r>
    </w:p>
    <w:p>
      <w:pPr>
        <w:pStyle w:val="BodyText"/>
      </w:pPr>
      <w:r>
        <w:t xml:space="preserve">Kilpatrick goes on to argue that the creation of new variants ceased by about 200 AD because it became impossible to ‘sell’ them. He discusses some of Origen’s attempts at introducing a change into the text, and proceeds:</w:t>
      </w:r>
    </w:p>
    <w:p>
      <w:pPr>
        <w:pStyle w:val="BlockText"/>
      </w:pPr>
      <w:r>
        <w:t xml:space="preserve">Sposób, w jaki Orygenes potraktował fragment z Ewangelii Mateusza 19,19, ma znaczenie jeszcze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nie dotknięta. Od III wieku nawet Orygenes nie był w stanie skutecznie zmienić tekst.</w:t>
      </w:r>
    </w:p>
    <w:p>
      <w:pPr>
        <w:pStyle w:val="BlockText"/>
      </w:pPr>
      <w:r>
        <w:t xml:space="preserve">Origen’s treatment of Matthew 19,19 is significant in two other ways. First he was probably the most influential commentator of the Ancient Church and yet his conjecture at this point seems to have influenced only one manuscript of a local version of the New Testament. The Greek tradition is apparently quite unaffected by it. From the third century onward even an Origen could not effectively alter the text.</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2026-05-02T16:05:23Z</dcterms:created>
  <dcterms:modified xsi:type="dcterms:W3CDTF">2026-05-02T16:05:23Z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