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byliby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It follows that within a relatively few years after the writing of the NT books there came rapidly into existence a ‘Majority’ text whose form was essentially that of the Autographs themselves. This text form would, in the natural course of things, continue to multiply itself and in each succeeding generation of copying would continue to be exhibited in the mass of extant manuscripts. In short, it would have a ‘normal’ transmission. The law of supply and demand operates within the Church, as well as elsewhere. True believers would be far more interested in obtaining copies of the NT writings than people who were not. Opponents of Christianity, who might attempt to confuse the issue by producing altered copies, would have a much smaller ‘market’ for their work.</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2026-04-12T03:32:30Z</dcterms:created>
  <dcterms:modified xsi:type="dcterms:W3CDTF">2026-04-12T03:32:30Z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