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5"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4"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3"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Członkowie nie 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And the membership of the dissenting group varies from reading to reading.1 Still, with the above reservation, one may reasonably speak of up to 95% of the extant MSS belonging to the Majority textual tradition.</w:t>
      </w:r>
    </w:p>
    <w:bookmarkEnd w:id="163"/>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r>
        <w:t xml:space="preserve"> </w:t>
      </w:r>
      <w:r>
        <w:t xml:space="preserve">I will of course be reminded that witnesses are to be weighed, not counted; for my discussion of that point please see the section “Should not witnesses be weighed, rather than counted?” in Chapter 6 of my</w:t>
      </w:r>
      <w:r>
        <w:t xml:space="preserve"> </w:t>
      </w:r>
      <w:r>
        <w:rPr>
          <w:i/>
          <w:iCs/>
        </w:rPr>
        <w:t xml:space="preserve">Identity IV</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2026-05-24T06:22:57Z</dcterms:created>
  <dcterms:modified xsi:type="dcterms:W3CDTF">2026-05-24T06:22:57Z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