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jpg" ContentType="image/jpeg"/>
  <Override PartName="/word/media/rId44.jpg" ContentType="image/jpeg"/>
  <Override PartName="/word/media/rId40.png" ContentType="image/png"/>
  <Override PartName="/word/media/rId15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 zachował swój Tekst!</w:t>
      </w:r>
    </w:p>
    <w:p>
      <w:pPr>
        <w:pStyle w:val="Subtitle"/>
      </w:pPr>
      <w:r>
        <w:t xml:space="preserve">Boża ochrona Nowego Testamentu</w:t>
      </w:r>
    </w:p>
    <w:p>
      <w:pPr>
        <w:pStyle w:val="Author"/>
      </w:pPr>
      <w:r>
        <w:t xml:space="preserve">Wilbur N. 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9" w:name="od-tłumacza"/>
    <w:p>
      <w:pPr>
        <w:pStyle w:val="Heading1"/>
      </w:pPr>
      <w:r>
        <w:t xml:space="preserve">Od tłumacza</w:t>
      </w:r>
    </w:p>
    <w:p>
      <w:pPr>
        <w:pStyle w:val="FirstParagraph"/>
      </w:pPr>
      <w:r>
        <w:t xml:space="preserve">Tłumaczenie czwartej edycji książki</w:t>
      </w:r>
      <w:r>
        <w:t xml:space="preserve"> </w:t>
      </w:r>
      <w:hyperlink r:id="rId9">
        <w:r>
          <w:rPr>
            <w:rStyle w:val="Hyperlink"/>
            <w:i/>
            <w:iCs/>
          </w:rPr>
          <w:t xml:space="preserve">GOD HAS PRESERVED HIS TEXT! The Divine Preservation of the New Testament</w:t>
        </w:r>
      </w:hyperlink>
      <w:r>
        <w:br/>
      </w:r>
      <w:r>
        <w:t xml:space="preserve">ISBN: 978-0-9974686-9-4</w:t>
      </w:r>
      <w:r>
        <w:br/>
      </w:r>
      <w:r>
        <w:rPr>
          <w:i/>
          <w:iCs/>
        </w:rPr>
        <w:t xml:space="preserve">Wilbur N. Pickering</w:t>
      </w:r>
    </w:p>
    <w:p>
      <w:pPr>
        <w:pStyle w:val="BodyText"/>
      </w:pPr>
      <w:r>
        <w:t xml:space="preserve">Tłumaczenie wykonał Tomasz Skraskowski dla</w:t>
      </w:r>
      <w:r>
        <w:t xml:space="preserve"> </w:t>
      </w:r>
      <w:hyperlink r:id="rId10">
        <w:r>
          <w:rPr>
            <w:rStyle w:val="Hyperlink"/>
          </w:rPr>
          <w:t xml:space="preserve">Wydawnictwa Świadome Chrześcijaństwo</w:t>
        </w:r>
      </w:hyperlink>
      <w:r>
        <w:t xml:space="preserve">. Zdjęcia dodane przez tłumacza zazaczone są adnotacją</w:t>
      </w:r>
      <w:r>
        <w:t xml:space="preserve"> </w:t>
      </w:r>
      <w:r>
        <w:rPr>
          <w:i/>
          <w:iCs/>
        </w:rPr>
        <w:t xml:space="preserve">[zdj. tłum.]</w:t>
      </w:r>
      <w:r>
        <w:t xml:space="preserve">, przypisy dodane przez tłumacza zaznaczone są adnotacją</w:t>
      </w:r>
      <w:r>
        <w:t xml:space="preserve"> </w:t>
      </w:r>
      <w:r>
        <w:rPr>
          <w:i/>
          <w:iCs/>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11">
        <w:r>
          <w:rPr>
            <w:rStyle w:val="Hyperlink"/>
          </w:rPr>
          <w:t xml:space="preserve">tometchy.github.io/Bog-zachowal-swoj-Tekst-Wilbur-Pickering</w:t>
        </w:r>
      </w:hyperlink>
      <w:r>
        <w:t xml:space="preserve"> </w:t>
      </w:r>
      <w:r>
        <w:t xml:space="preserve">w formatach:</w:t>
      </w:r>
    </w:p>
    <w:p>
      <w:pPr>
        <w:pStyle w:val="Compact"/>
        <w:numPr>
          <w:ilvl w:val="0"/>
          <w:numId w:val="1001"/>
        </w:numPr>
      </w:pPr>
      <w:hyperlink r:id="rId12">
        <w:r>
          <w:rPr>
            <w:rStyle w:val="Hyperlink"/>
          </w:rPr>
          <w:t xml:space="preserve">EPUB</w:t>
        </w:r>
      </w:hyperlink>
    </w:p>
    <w:p>
      <w:pPr>
        <w:pStyle w:val="Compact"/>
        <w:numPr>
          <w:ilvl w:val="0"/>
          <w:numId w:val="1001"/>
        </w:numPr>
      </w:pPr>
      <w:hyperlink r:id="rId13">
        <w:r>
          <w:rPr>
            <w:rStyle w:val="Hyperlink"/>
          </w:rPr>
          <w:t xml:space="preserve">PDF</w:t>
        </w:r>
      </w:hyperlink>
    </w:p>
    <w:p>
      <w:pPr>
        <w:pStyle w:val="Compact"/>
        <w:numPr>
          <w:ilvl w:val="0"/>
          <w:numId w:val="1001"/>
        </w:numPr>
      </w:pPr>
      <w:hyperlink r:id="rId14">
        <w:r>
          <w:rPr>
            <w:rStyle w:val="Hyperlink"/>
          </w:rPr>
          <w:t xml:space="preserve">DOCX</w:t>
        </w:r>
      </w:hyperlink>
    </w:p>
    <w:p>
      <w:pPr>
        <w:pStyle w:val="FirstParagraph"/>
      </w:pPr>
      <w:r>
        <w:rPr>
          <w:i/>
          <w:iCs/>
        </w:rPr>
        <w:t xml:space="preserve">© 2021 Wilbur N. Pickering</w:t>
      </w:r>
      <w:r>
        <w:br/>
      </w:r>
      <w:r>
        <w:t xml:space="preserve">Oryginał dostępny na http://thechristiancommons.com.</w:t>
      </w:r>
    </w:p>
    <w:p>
      <w:pPr>
        <w:pStyle w:val="BodyText"/>
      </w:pPr>
      <w:r>
        <w:t xml:space="preserve">Udostępniono na licencji:</w:t>
      </w:r>
      <w:r>
        <w:br/>
      </w:r>
      <w:r>
        <w:rPr>
          <w:i/>
          <w:iCs/>
        </w:rPr>
        <w:t xml:space="preserve">Uznanie autorstwa - Na tych samych warunkach 4.0 Międzynarodowa</w:t>
      </w:r>
      <w:r>
        <w:br/>
      </w:r>
      <w:r>
        <w:t xml:space="preserve">CC BY-SA 4.0 -</w:t>
      </w:r>
      <w:r>
        <w:t xml:space="preserve"> </w:t>
      </w:r>
      <w:hyperlink r:id="rId15">
        <w:r>
          <w:rPr>
            <w:rStyle w:val="Hyperlink"/>
          </w:rPr>
          <w:t xml:space="preserve">creativecommons.org/licenses/by-sa/4.0</w:t>
        </w:r>
      </w:hyperlink>
    </w:p>
    <w:p>
      <w:pPr>
        <w:pStyle w:val="BodyText"/>
      </w:pPr>
      <w:r>
        <w:t xml:space="preserve">Licencja zezwala na:</w:t>
      </w:r>
    </w:p>
    <w:p>
      <w:pPr>
        <w:pStyle w:val="Compact"/>
        <w:numPr>
          <w:ilvl w:val="0"/>
          <w:numId w:val="1002"/>
        </w:numPr>
      </w:pPr>
      <w:r>
        <w:rPr>
          <w:b/>
          <w:bCs/>
        </w:rPr>
        <w:t xml:space="preserve">Dzielenie się</w:t>
      </w:r>
      <w:r>
        <w:t xml:space="preserve"> </w:t>
      </w:r>
      <w:r>
        <w:t xml:space="preserve">— kopiuj i rozpowszechniaj utwór w dowolnym medium i formacie dla dowolnego celu, także komercyjnego.</w:t>
      </w:r>
    </w:p>
    <w:p>
      <w:pPr>
        <w:pStyle w:val="Compact"/>
        <w:numPr>
          <w:ilvl w:val="0"/>
          <w:numId w:val="1002"/>
        </w:numPr>
      </w:pPr>
      <w:r>
        <w:rPr>
          <w:b/>
          <w:bCs/>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pStyle w:val="Compact"/>
        <w:numPr>
          <w:ilvl w:val="0"/>
          <w:numId w:val="1003"/>
        </w:numPr>
      </w:pPr>
      <w:r>
        <w:rPr>
          <w:b/>
          <w:bCs/>
        </w:rPr>
        <w:t xml:space="preserve">Uznanie autorstwa</w:t>
      </w:r>
      <w:r>
        <w:t xml:space="preserve"> </w:t>
      </w:r>
      <w:r>
        <w:t xml:space="preserve">— Utwór należy oznaczyć słowami „</w:t>
      </w:r>
      <w:r>
        <w:rPr>
          <w:i/>
          <w:iCs/>
        </w:rPr>
        <w:t xml:space="preserve">Oryginał dostępny na http://thechristiancommons.com.</w:t>
      </w:r>
      <w:r>
        <w:t xml:space="preserve">”, podać link do licencji i</w:t>
      </w:r>
      <w:r>
        <w:t xml:space="preserve"> </w:t>
      </w:r>
      <w:hyperlink r:id="rId16">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pStyle w:val="Compact"/>
        <w:numPr>
          <w:ilvl w:val="0"/>
          <w:numId w:val="1003"/>
        </w:numPr>
      </w:pPr>
      <w:r>
        <w:rPr>
          <w:b/>
          <w:bCs/>
        </w:rPr>
        <w:t xml:space="preserve">Na tych samych warunkach</w:t>
      </w:r>
      <w:r>
        <w:t xml:space="preserve"> </w:t>
      </w:r>
      <w:r>
        <w:t xml:space="preserve">— Remiksując utwór, przetwarzając go lub tworząc na jego podstawie, należy swoje dzieło rozpowszechniać na</w:t>
      </w:r>
      <w:r>
        <w:t xml:space="preserve"> </w:t>
      </w:r>
      <w:hyperlink r:id="rId17">
        <w:r>
          <w:rPr>
            <w:rStyle w:val="Hyperlink"/>
          </w:rPr>
          <w:t xml:space="preserve">tej samej licencji</w:t>
        </w:r>
      </w:hyperlink>
      <w:r>
        <w:t xml:space="preserve">, co oryginał.</w:t>
      </w:r>
    </w:p>
    <w:p>
      <w:pPr>
        <w:pStyle w:val="Compact"/>
        <w:numPr>
          <w:ilvl w:val="0"/>
          <w:numId w:val="1003"/>
        </w:numPr>
      </w:pPr>
      <w:r>
        <w:rPr>
          <w:b/>
          <w:bCs/>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18"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
          <w:bCs/>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10">
        <w:r>
          <w:rPr>
            <w:rStyle w:val="Hyperlink"/>
          </w:rPr>
          <w:t xml:space="preserve">wswch.pl</w:t>
        </w:r>
      </w:hyperlink>
      <w:r>
        <w:t xml:space="preserve">.</w:t>
      </w:r>
    </w:p>
    <w:bookmarkEnd w:id="18"/>
    <w:bookmarkEnd w:id="19"/>
    <w:bookmarkStart w:id="23"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20"/>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21"/>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22"/>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
          <w:iCs/>
        </w:rPr>
        <w:t xml:space="preserve">The Sovereign Creator Has Spoken: Objective Authority for Living, Second Edition</w:t>
      </w:r>
      <w:r>
        <w:t xml:space="preserve">, dostępne na jego stronie www.prunch.org oraz na Amazon.com.</w:t>
      </w:r>
    </w:p>
    <w:bookmarkEnd w:id="23"/>
    <w:bookmarkStart w:id="25"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24"/>
      </w:r>
      <w:r>
        <w:t xml:space="preserve">.</w:t>
      </w:r>
    </w:p>
    <w:bookmarkEnd w:id="25"/>
    <w:bookmarkStart w:id="159" w:name="część-i-dowody-historyczne"/>
    <w:p>
      <w:pPr>
        <w:pStyle w:val="Heading1"/>
      </w:pPr>
      <w:r>
        <w:t xml:space="preserve">CZĘŚĆ I: Dowody historyczne</w:t>
      </w:r>
    </w:p>
    <w:bookmarkStart w:id="52"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26"/>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27"/>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28"/>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29"/>
      </w:r>
      <w:r>
        <w:t xml:space="preserve"> </w:t>
      </w:r>
      <w:r>
        <w:t xml:space="preserve">– to po prostu głupie, absurdalnie niemożliwe! W USA jest wysokie plateau (mesa)</w:t>
      </w:r>
      <w:r>
        <w:rPr>
          <w:rStyle w:val="FootnoteReference"/>
        </w:rPr>
        <w:footnoteReference w:id="30"/>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31"/>
      </w:r>
      <w:r>
        <w:t xml:space="preserve">.</w:t>
      </w:r>
    </w:p>
    <w:p>
      <w:pPr>
        <w:pStyle w:val="BodyText"/>
      </w:pPr>
      <w:r>
        <w:drawing>
          <wp:inline>
            <wp:extent cx="5334000" cy="4000500"/>
            <wp:effectExtent b="0" l="0" r="0" t="0"/>
            <wp:docPr descr="Góra Chief Mountain" title="" id="33" name="Picture"/>
            <a:graphic>
              <a:graphicData uri="http://schemas.openxmlformats.org/drawingml/2006/picture">
                <pic:pic>
                  <pic:nvPicPr>
                    <pic:cNvPr descr="images/Chief_Mountain.jp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
          <w:iCs/>
        </w:rPr>
        <w:t xml:space="preserve">Chief Mountain</w:t>
      </w:r>
      <w:r>
        <w:t xml:space="preserve">, to przykład formacji, która ma warstwy skalne „nie po kolei” w sensie geologicznym – rzekomo starsze skały leżą na rzekomo młodszych. [zdj. tłum.]</w:t>
      </w:r>
      <w:r>
        <w:br/>
      </w:r>
      <w:hyperlink r:id="rId35">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
          <w:iCs/>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
          <w:bCs/>
        </w:rPr>
        <w:t xml:space="preserve">tej samej warstwie</w:t>
      </w:r>
      <w:r>
        <w:t xml:space="preserve"> </w:t>
      </w:r>
      <w:r>
        <w:t xml:space="preserve">skały osadowej natknął się na następujące znaleziska: dwa skamieniałe trylobity</w:t>
      </w:r>
      <w:r>
        <w:rPr>
          <w:rStyle w:val="FootnoteReference"/>
        </w:rPr>
        <w:footnoteReference w:id="36"/>
      </w:r>
      <w:r>
        <w:t xml:space="preserve">, które, według ewolucjonistów istniały 550 milionów lat temu, skamieniały mech zwany „lapidodendron”, który, według ewolucjonistów, istniał 250 milionów lat temu</w:t>
      </w:r>
      <w:r>
        <w:rPr>
          <w:rStyle w:val="FootnoteReference"/>
        </w:rPr>
        <w:footnoteReference w:id="37"/>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38"/>
      </w:r>
      <w:r>
        <w:t xml:space="preserve">, skamieniały czwarty palec lewej ręki kobiety</w:t>
      </w:r>
      <w:r>
        <w:rPr>
          <w:rStyle w:val="FootnoteReference"/>
        </w:rPr>
        <w:footnoteReference w:id="39"/>
      </w:r>
      <w:r>
        <w:t xml:space="preserve">, a nawet przedpotopowy żelazny młotek (jego żelazo nie rdzewieje, składa się w 96,6% z żelaza i 2,7% z chloru) –</w:t>
      </w:r>
      <w:r>
        <w:t xml:space="preserve"> </w:t>
      </w:r>
      <w:r>
        <w:rPr>
          <w:b/>
          <w:bCs/>
        </w:rPr>
        <w:t xml:space="preserve">wszystko to w tej samej warstwie skalnej!</w:t>
      </w:r>
    </w:p>
    <w:p>
      <w:pPr>
        <w:pStyle w:val="BodyText"/>
      </w:pPr>
      <w:r>
        <w:drawing>
          <wp:inline>
            <wp:extent cx="2791326" cy="4908884"/>
            <wp:effectExtent b="0" l="0" r="0" t="0"/>
            <wp:docPr descr="Paluxy River Taylor Site, Glen Rose, Teksas. Dwa wydłużone ślady stóp" title="" id="41" name="Picture"/>
            <a:graphic>
              <a:graphicData uri="http://schemas.openxmlformats.org/drawingml/2006/picture">
                <pic:pic>
                  <pic:nvPicPr>
                    <pic:cNvPr descr="images/Paluxy_River_Taylor_Site,_Glen_Rose,_Texas._Two_elongate_footprints.png" id="42" name="Picture"/>
                    <pic:cNvPicPr>
                      <a:picLocks noChangeArrowheads="1" noChangeAspect="1"/>
                    </pic:cNvPicPr>
                  </pic:nvPicPr>
                  <pic:blipFill>
                    <a:blip r:embed="rId40"/>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43">
        <w:r>
          <w:rPr>
            <w:rStyle w:val="Hyperlink"/>
          </w:rPr>
          <w:t xml:space="preserve">core.ac.uk/download/pdf/47225227.pdf</w:t>
        </w:r>
      </w:hyperlink>
    </w:p>
    <w:p>
      <w:pPr>
        <w:pStyle w:val="BodyText"/>
      </w:pPr>
      <w:r>
        <w:drawing>
          <wp:inline>
            <wp:extent cx="5334000" cy="4000500"/>
            <wp:effectExtent b="0" l="0" r="0" t="0"/>
            <wp:docPr descr="Creation Evidences Museum" title="" id="45" name="Picture"/>
            <a:graphic>
              <a:graphicData uri="http://schemas.openxmlformats.org/drawingml/2006/picture">
                <pic:pic>
                  <pic:nvPicPr>
                    <pic:cNvPr descr="images/Creation_Evidence_Museum_Original.jpe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47">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48"/>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49"/>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50"/>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51"/>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52"/>
    <w:bookmarkStart w:id="74" w:name="wprowadzenie"/>
    <w:p>
      <w:pPr>
        <w:pStyle w:val="Heading2"/>
      </w:pPr>
      <w:r>
        <w:t xml:space="preserve">Wprowadzenie</w:t>
      </w:r>
    </w:p>
    <w:bookmarkStart w:id="68" w:name="natchnienie"/>
    <w:p>
      <w:pPr>
        <w:pStyle w:val="Heading3"/>
      </w:pPr>
      <w:r>
        <w:t xml:space="preserve">Natchnienie</w:t>
      </w:r>
    </w:p>
    <w:p>
      <w:pPr>
        <w:pStyle w:val="FirstParagraph"/>
      </w:pPr>
      <w:r>
        <w:t xml:space="preserve">Gdy piszę książkę</w:t>
      </w:r>
      <w:r>
        <w:rPr>
          <w:rStyle w:val="FootnoteReference"/>
        </w:rPr>
        <w:footnoteReference w:id="53"/>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
          <w:iCs/>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
          <w:bCs/>
        </w:rPr>
        <w:t xml:space="preserve">tylko wieczny Byt mógł wydać wieczne Słowo</w:t>
      </w:r>
      <w:r>
        <w:rPr>
          <w:rStyle w:val="FootnoteReference"/>
        </w:rPr>
        <w:footnoteReference w:id="54"/>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55"/>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56"/>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57"/>
      </w:r>
    </w:p>
    <w:p>
      <w:pPr>
        <w:pStyle w:val="BodyText"/>
      </w:pPr>
      <w:r>
        <w:rPr>
          <w:i/>
          <w:iCs/>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58"/>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pStyle w:val="Compact"/>
        <w:numPr>
          <w:ilvl w:val="0"/>
          <w:numId w:val="1004"/>
        </w:numPr>
      </w:pPr>
      <w:r>
        <w:t xml:space="preserve">Pismo dostarcza obiektywnie prawdziwych informacji.</w:t>
      </w:r>
    </w:p>
    <w:p>
      <w:pPr>
        <w:pStyle w:val="Compact"/>
        <w:numPr>
          <w:ilvl w:val="0"/>
          <w:numId w:val="1004"/>
        </w:numPr>
      </w:pPr>
      <w:r>
        <w:t xml:space="preserve">Następnie Duch Święty używa Swego Miecza, aby przekonać o grzechu.</w:t>
      </w:r>
    </w:p>
    <w:p>
      <w:pPr>
        <w:pStyle w:val="Compact"/>
        <w:numPr>
          <w:ilvl w:val="0"/>
          <w:numId w:val="1004"/>
        </w:numPr>
      </w:pPr>
      <w:r>
        <w:t xml:space="preserve">To prowadzi do pokuty i nawrócenia.</w:t>
      </w:r>
    </w:p>
    <w:p>
      <w:pPr>
        <w:pStyle w:val="Compact"/>
        <w:numPr>
          <w:ilvl w:val="0"/>
          <w:numId w:val="1004"/>
        </w:numPr>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59"/>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60"/>
      </w:r>
      <w:r>
        <w:t xml:space="preserve"> </w:t>
      </w:r>
      <w:r>
        <w:t xml:space="preserve">Ewangelii Chrystusa</w:t>
      </w:r>
      <w:r>
        <w:rPr>
          <w:rStyle w:val="FootnoteReference"/>
        </w:rPr>
        <w:footnoteReference w:id="61"/>
      </w:r>
      <w:r>
        <w:t xml:space="preserve">, ponieważ jest ona mocą Bożą dla zbawienia każdego, kto wierzy (najpierw Żyda, potem Greka). Bo w niej jest ujawniona sprawiedliwość Boża, z wiary w wiarę, tak jak jest napisane:</w:t>
      </w:r>
      <w:r>
        <w:t xml:space="preserve"> </w:t>
      </w:r>
      <w:r>
        <w:t xml:space="preserve">‘Sprawiedliwy z wiary żyć będzie’</w:t>
      </w:r>
      <w:r>
        <w:t xml:space="preserve">.”</w:t>
      </w:r>
      <w:r>
        <w:rPr>
          <w:rStyle w:val="FootnoteReference"/>
        </w:rPr>
        <w:footnoteReference w:id="62"/>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63"/>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64"/>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
          <w:iCs/>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65"/>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66"/>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67"/>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68"/>
    <w:bookmarkStart w:id="70"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69"/>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70"/>
    <w:bookmarkStart w:id="73"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71"/>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72"/>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73"/>
    <w:bookmarkEnd w:id="74"/>
    <w:bookmarkStart w:id="158"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75"/>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82"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76"/>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77"/>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pStyle w:val="Compact"/>
        <w:numPr>
          <w:ilvl w:val="0"/>
          <w:numId w:val="1006"/>
        </w:numPr>
      </w:pPr>
      <w:r>
        <w:t xml:space="preserve">jeśli oryginalny egzemplarz miał być przechowywany, w celu kontroli jakości, powinien być wykonany na trwałym materiale</w:t>
      </w:r>
    </w:p>
    <w:p>
      <w:pPr>
        <w:pStyle w:val="Compact"/>
        <w:numPr>
          <w:ilvl w:val="0"/>
          <w:numId w:val="1006"/>
        </w:numPr>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
          <w:bCs/>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78"/>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79"/>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80"/>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81"/>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82"/>
    <w:bookmarkStart w:id="110" w:name="X2567adac6f25933c916ef36242b5d7814bc2aed"/>
    <w:p>
      <w:pPr>
        <w:pStyle w:val="Heading3"/>
      </w:pPr>
      <w:r>
        <w:t xml:space="preserve">Wczesne rozpoznanie</w:t>
      </w:r>
      <w:r>
        <w:t xml:space="preserve"> </w:t>
      </w:r>
      <w:r>
        <w:rPr>
          <w:rStyle w:val="FootnoteReference"/>
        </w:rPr>
        <w:footnoteReference w:id="83"/>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84"/>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85"/>
      </w:r>
    </w:p>
    <w:p>
      <w:pPr>
        <w:pStyle w:val="FirstParagraph"/>
      </w:pPr>
      <w:r>
        <w:rPr>
          <w:i/>
          <w:iCs/>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
          <w:bCs/>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86"/>
      </w:r>
      <w:r>
        <w:t xml:space="preserve"> </w:t>
      </w:r>
      <w:r>
        <w:t xml:space="preserve">Paweł oświadcza, że</w:t>
      </w:r>
      <w:r>
        <w:t xml:space="preserve"> </w:t>
      </w:r>
      <w:r>
        <w:rPr>
          <w:b/>
          <w:bCs/>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
          <w:bCs/>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
          <w:bCs/>
        </w:rPr>
        <w:t xml:space="preserve">dokończyć</w:t>
      </w:r>
      <w:r>
        <w:t xml:space="preserve"> </w:t>
      </w:r>
      <w:r>
        <w:t xml:space="preserve">Słowo Boże, tajemnicę, która była ukryta od przeszłych wieków i pokoleń, ale</w:t>
      </w:r>
      <w:r>
        <w:t xml:space="preserve"> </w:t>
      </w:r>
      <w:r>
        <w:rPr>
          <w:b/>
          <w:bCs/>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87"/>
      </w:r>
      <w:r>
        <w:t xml:space="preserve"> </w:t>
      </w:r>
      <w:r>
        <w:t xml:space="preserve">tak jak ci, którzy stali się naocznymi świadkami, od początku, i słudzy Słowa dostarczyli nam je,</w:t>
      </w:r>
      <w:r>
        <w:rPr>
          <w:rStyle w:val="FootnoteReference"/>
        </w:rPr>
        <w:footnoteReference w:id="88"/>
      </w:r>
      <w:r>
        <w:t xml:space="preserve"> </w:t>
      </w:r>
      <w:r>
        <w:t xml:space="preserve">mnie również się to wydawało dobre, najdoskonalszy Teofilu, po starannym zapoznaniu się ze wszystkim z</w:t>
      </w:r>
      <w:r>
        <w:t xml:space="preserve"> </w:t>
      </w:r>
      <w:r>
        <w:rPr>
          <w:b/>
          <w:bCs/>
        </w:rPr>
        <w:t xml:space="preserve">Góry</w:t>
      </w:r>
      <w:r>
        <w:t xml:space="preserve">, napisać do ciebie dokładnie i po kolei,</w:t>
      </w:r>
      <w:r>
        <w:rPr>
          <w:rStyle w:val="FootnoteReference"/>
        </w:rPr>
        <w:footnoteReference w:id="89"/>
      </w:r>
      <w:r>
        <w:t xml:space="preserve"> </w:t>
      </w:r>
      <w:r>
        <w:t xml:space="preserve">abyś mógł</w:t>
      </w:r>
      <w:r>
        <w:t xml:space="preserve"> </w:t>
      </w:r>
      <w:r>
        <w:rPr>
          <w:b/>
          <w:bCs/>
        </w:rPr>
        <w:t xml:space="preserve">poznać</w:t>
      </w:r>
      <w:r>
        <w:t xml:space="preserve"> </w:t>
      </w:r>
      <w:r>
        <w:t xml:space="preserve">pewność tych rzeczy, o których zostałeś pouczony.</w:t>
      </w:r>
      <w:r>
        <w:rPr>
          <w:rStyle w:val="FootnoteReference"/>
        </w:rPr>
        <w:footnoteReference w:id="90"/>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
          <w:bCs/>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91"/>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92"/>
      </w:r>
    </w:p>
    <w:p>
      <w:pPr>
        <w:pStyle w:val="BodyText"/>
      </w:pPr>
      <w:r>
        <w:t xml:space="preserve">Autor, kimkolwiek był, wyraźnie przypisuje boskie autorstwo temu cytatowi, który wydaje się pochodzić z 2 Listu Piotra 3,8.</w:t>
      </w:r>
      <w:r>
        <w:rPr>
          <w:rStyle w:val="FootnoteReference"/>
        </w:rPr>
        <w:footnoteReference w:id="93"/>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
          <w:iCs/>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94"/>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
          <w:bCs/>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95"/>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96"/>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97"/>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
          <w:iCs/>
        </w:rPr>
        <w:t xml:space="preserve">Didache</w:t>
      </w:r>
      <w:r>
        <w:rPr>
          <w:rStyle w:val="FootnoteReference"/>
        </w:rPr>
        <w:footnoteReference w:id="98"/>
      </w:r>
      <w:r>
        <w:t xml:space="preserve"> </w:t>
      </w:r>
      <w:r>
        <w:t xml:space="preserve">i List do Diogneta, posługują się pismami Nowego Testamentu jako autorytatywnymi, ale bez wyraźnego nazywania ich Pismem Świętym.</w:t>
      </w:r>
      <w:r>
        <w:t xml:space="preserve"> </w:t>
      </w:r>
      <w:r>
        <w:rPr>
          <w:i/>
          <w:iCs/>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99"/>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
          <w:iCs/>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00"/>
      </w:r>
      <w:r>
        <w:t xml:space="preserve">. A w</w:t>
      </w:r>
      <w:r>
        <w:t xml:space="preserve"> </w:t>
      </w:r>
      <w:r>
        <w:rPr>
          <w:i/>
          <w:iCs/>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
          <w:iCs/>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
          <w:iCs/>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01"/>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
          <w:iCs/>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02"/>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
          <w:bCs/>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03"/>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04"/>
      </w:r>
      <w:r>
        <w:t xml:space="preserve">. Podobnie traktuje on Ewangelię Mateusza 19,9 lub Ewangelię Marka 10,11 w rozdziale 33.</w:t>
      </w:r>
    </w:p>
    <w:p>
      <w:pPr>
        <w:pStyle w:val="BodyText"/>
      </w:pPr>
      <w:r>
        <w:t xml:space="preserve">Teofil, biskup Antiochii</w:t>
      </w:r>
      <w:r>
        <w:rPr>
          <w:rStyle w:val="FootnoteReference"/>
        </w:rPr>
        <w:footnoteReference w:id="105"/>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06"/>
      </w:r>
    </w:p>
    <w:p>
      <w:pPr>
        <w:pStyle w:val="BodyText"/>
      </w:pPr>
      <w:r>
        <w:t xml:space="preserve">Dzieła Ireneusza (zm. 202 r.)</w:t>
      </w:r>
      <w:r>
        <w:rPr>
          <w:rStyle w:val="FootnoteReference"/>
        </w:rPr>
        <w:footnoteReference w:id="107"/>
      </w:r>
      <w:r>
        <w:t xml:space="preserve">, które zachowały się do dziś, jego główne dzieło</w:t>
      </w:r>
      <w:r>
        <w:t xml:space="preserve"> </w:t>
      </w:r>
      <w:r>
        <w:rPr>
          <w:i/>
          <w:iCs/>
        </w:rPr>
        <w:t xml:space="preserve">Przeciw heretykom</w:t>
      </w:r>
      <w:r>
        <w:rPr>
          <w:rStyle w:val="FootnoteReference"/>
        </w:rPr>
        <w:footnoteReference w:id="108"/>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09"/>
      </w:r>
    </w:p>
    <w:p>
      <w:pPr>
        <w:pStyle w:val="BodyText"/>
      </w:pPr>
      <w:r>
        <w:t xml:space="preserve">Ireneusz stwierdził, że apostołowie nauczali, iż Bóg jest Autorem obu Testamentów (</w:t>
      </w:r>
      <w:r>
        <w:rPr>
          <w:i/>
          <w:iCs/>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
          <w:bCs/>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
          <w:iCs/>
        </w:rPr>
        <w:t xml:space="preserve">Recepta przeciw heretykom</w:t>
      </w:r>
      <w:r>
        <w:t xml:space="preserve"> </w:t>
      </w:r>
      <w:r>
        <w:t xml:space="preserve">[ang.</w:t>
      </w:r>
      <w:r>
        <w:t xml:space="preserve"> </w:t>
      </w:r>
      <w:r>
        <w:rPr>
          <w:i/>
          <w:iCs/>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10"/>
    <w:bookmarkStart w:id="123"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
          <w:bCs/>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
          <w:bCs/>
        </w:rPr>
        <w:t xml:space="preserve">szczególnie</w:t>
      </w:r>
      <w:r>
        <w:t xml:space="preserve"> </w:t>
      </w:r>
      <w:r>
        <w:t xml:space="preserve">czujni i ostrożni?</w:t>
      </w:r>
    </w:p>
    <w:p>
      <w:pPr>
        <w:pStyle w:val="BodyText"/>
      </w:pPr>
      <w:r>
        <w:rPr>
          <w:i/>
          <w:iCs/>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11"/>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12"/>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13"/>
      </w:r>
      <w:r>
        <w:t xml:space="preserve"> </w:t>
      </w:r>
      <w:r>
        <w:t xml:space="preserve">którzy nie uznają Jezusa Chrystusa jako przychodzącego w ciele</w:t>
      </w:r>
      <w:r>
        <w:rPr>
          <w:rStyle w:val="FootnoteReference"/>
        </w:rPr>
        <w:footnoteReference w:id="114"/>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15"/>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
          <w:bCs/>
        </w:rPr>
        <w:t xml:space="preserve">mu</w:t>
      </w:r>
      <w:r>
        <w:t xml:space="preserve"> </w:t>
      </w:r>
      <w:r>
        <w:t xml:space="preserve">siedem plag wypisanych w tej księdze! A jeśli ktokolwiek zabierze ze sł</w:t>
      </w:r>
      <w:r>
        <w:rPr>
          <w:b/>
          <w:bCs/>
        </w:rPr>
        <w:t xml:space="preserve">ów</w:t>
      </w:r>
      <w:r>
        <w:rPr>
          <w:rStyle w:val="FootnoteReference"/>
        </w:rPr>
        <w:footnoteReference w:id="116"/>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
          <w:iCs/>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
          <w:bCs/>
        </w:rPr>
        <w:t xml:space="preserve">wzburzony</w:t>
      </w:r>
      <w:r>
        <w:t xml:space="preserve">.</w:t>
      </w:r>
    </w:p>
    <w:p>
      <w:pPr>
        <w:pStyle w:val="BodyText"/>
      </w:pPr>
      <w:r>
        <w:t xml:space="preserve">Podobnie, Justyn Męczennik mówi (Apologia I</w:t>
      </w:r>
      <w:r>
        <w:rPr>
          <w:rStyle w:val="FootnoteReference"/>
        </w:rPr>
        <w:footnoteReference w:id="117"/>
      </w:r>
      <w:r>
        <w:t xml:space="preserve">, 58): „okropne demony wysunęły także Marcjona z Pontu”. Ponownie, tak mocny język jasno pokazuje, że był on świadomy i zaniepokojony. A w</w:t>
      </w:r>
      <w:r>
        <w:t xml:space="preserve"> </w:t>
      </w:r>
      <w:r>
        <w:rPr>
          <w:i/>
          <w:iCs/>
        </w:rPr>
        <w:t xml:space="preserve">Dialogu z Żydem Tryfonem</w:t>
      </w:r>
      <w:r>
        <w:rPr>
          <w:rStyle w:val="FootnoteReference"/>
        </w:rPr>
        <w:footnoteReference w:id="118"/>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
          <w:iCs/>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19"/>
      </w:r>
    </w:p>
    <w:p>
      <w:pPr>
        <w:pStyle w:val="BodyText"/>
      </w:pPr>
      <w:r>
        <w:rPr>
          <w:i/>
          <w:iCs/>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
          <w:iCs/>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20"/>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
          <w:bCs/>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
          <w:iCs/>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
          <w:iCs/>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21"/>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22"/>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
          <w:bCs/>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
          <w:bCs/>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23"/>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
          <w:iCs/>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24"/>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
          <w:bCs/>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25"/>
      </w:r>
    </w:p>
    <w:p>
      <w:pPr>
        <w:pStyle w:val="BodyText"/>
      </w:pPr>
      <w:r>
        <w:rPr>
          <w:i/>
          <w:iCs/>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26"/>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27"/>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28"/>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29"/>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
          <w:iCs/>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30"/>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31"/>
      </w:r>
      <w:r>
        <w:t xml:space="preserve"> </w:t>
      </w:r>
      <w:r>
        <w:t xml:space="preserve">Aland stwierdza: „Egipt wyróżniał się spośród innych prowincji Kościoła, na ile możemy to ocenić, wczesną dominacją gnostycyzmu”.</w:t>
      </w:r>
      <w:r>
        <w:rPr>
          <w:rStyle w:val="FootnoteReference"/>
        </w:rPr>
        <w:footnoteReference w:id="132"/>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33"/>
      </w:r>
      <w:r>
        <w:t xml:space="preserve"> </w:t>
      </w:r>
      <w:r>
        <w:t xml:space="preserve">No, to wszystko jest bardzo pouczające – innymi słowy, Aland mówi nam, że do 200 roku n.e. tradycji tekstowej w Egipcie</w:t>
      </w:r>
      <w:r>
        <w:t xml:space="preserve"> </w:t>
      </w:r>
      <w:r>
        <w:rPr>
          <w:b/>
          <w:bCs/>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apokalips…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34"/>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
          <w:bCs/>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„bizantyjskiego” istniał na długo przed Lucjanem.</w:t>
      </w:r>
    </w:p>
    <w:p>
      <w:pPr>
        <w:pStyle w:val="BodyText"/>
      </w:pPr>
      <w:r>
        <w:rPr>
          <w:i/>
          <w:iCs/>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35"/>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36"/>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
          <w:iCs/>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37"/>
    <w:bookmarkStart w:id="151"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38"/>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
          <w:iCs/>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39"/>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40"/>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41"/>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
          <w:iCs/>
        </w:rPr>
        <w:t xml:space="preserve">Nienormalny przebieg przekazywania</w:t>
      </w:r>
      <w:r>
        <w:rPr>
          <w:rStyle w:val="FootnoteReference"/>
        </w:rPr>
        <w:footnoteReference w:id="142"/>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43"/>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44"/>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45"/>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46"/>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47"/>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48"/>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49"/>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Gajusz[^Kajusz],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50"/>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
          <w:bCs/>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51"/>
    <w:bookmarkStart w:id="15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
          <w:iCs/>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53" name="Picture"/>
            <a:graphic>
              <a:graphicData uri="http://schemas.openxmlformats.org/drawingml/2006/picture">
                <pic:pic>
                  <pic:nvPicPr>
                    <pic:cNvPr descr="images/Rysunek_A.jpg" id="154" name="Picture"/>
                    <pic:cNvPicPr>
                      <a:picLocks noChangeArrowheads="1" noChangeAspect="1"/>
                    </pic:cNvPicPr>
                  </pic:nvPicPr>
                  <pic:blipFill>
                    <a:blip r:embed="rId152"/>
                    <a:stretch>
                      <a:fillRect/>
                    </a:stretch>
                  </pic:blipFill>
                  <pic:spPr bwMode="auto">
                    <a:xfrm>
                      <a:off x="0" y="0"/>
                      <a:ext cx="5334000" cy="3390972"/>
                    </a:xfrm>
                    <a:prstGeom prst="rect">
                      <a:avLst/>
                    </a:prstGeom>
                    <a:noFill/>
                    <a:ln w="9525">
                      <a:noFill/>
                      <a:headEnd/>
                      <a:tailEnd/>
                    </a:ln>
                  </pic:spPr>
                </pic:pic>
              </a:graphicData>
            </a:graphic>
          </wp:inline>
        </w:drawing>
      </w:r>
      <w:r>
        <w:br/>
      </w:r>
      <w:r>
        <w:rPr>
          <w:b/>
          <w:bCs/>
        </w:rPr>
        <w:t xml:space="preserve">Rysunek A</w:t>
      </w:r>
      <w:r>
        <w:rPr>
          <w:rStyle w:val="FootnoteReference"/>
        </w:rPr>
        <w:footnoteReference w:id="155"/>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pragnęł dobrych kopii Pism Świętych. Dlatego też zniszczono prawdopodobnie głównie bardziej zanieczyszczone manuskrypty, pozostawiając te czystsze, by ponownie zasiliły ziemię.</w:t>
      </w:r>
      <w:r>
        <w:rPr>
          <w:rStyle w:val="FootnoteReference"/>
        </w:rPr>
        <w:footnoteReference w:id="156"/>
      </w:r>
      <w:r>
        <w:t xml:space="preserve"> </w:t>
      </w:r>
      <w:r>
        <w:t xml:space="preserve">Strzałka wewnątrz stożków reprezentuje Rodzinę 35 (patrz część II poniżej).</w:t>
      </w:r>
    </w:p>
    <w:p>
      <w:pPr>
        <w:pStyle w:val="BodyText"/>
      </w:pPr>
      <w:r>
        <w:t xml:space="preserve">As the figure suggests, I argue that Diocletian’s campaign had a purifying effect upon the stream of transmission. In order to withstand torture rather than give up your MS(S), you would have to be a truly committed believer, the sort of person who would want good copies of the Scriptures. Thus it was probably the more contaminated MSS that were destroyed, in the main, leaving the purer MSS to replenish the earth.2 The arrow within the cones represents Family 35 (see Part II below).</w:t>
      </w:r>
    </w:p>
    <w:bookmarkEnd w:id="157"/>
    <w:bookmarkEnd w:id="158"/>
    <w:bookmarkEnd w:id="1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Krytyka tekstu (łac.</w:t>
      </w:r>
      <w:r>
        <w:t xml:space="preserve"> </w:t>
      </w:r>
      <w:r>
        <w:rPr>
          <w:i/>
          <w:iCs/>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21">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22">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24">
    <w:p>
      <w:pPr>
        <w:pStyle w:val="FootnoteText"/>
      </w:pPr>
      <w:r>
        <w:rPr>
          <w:rStyle w:val="FootnoteReference"/>
        </w:rPr>
        <w:footnoteRef/>
      </w:r>
      <w:r>
        <w:t xml:space="preserve"> </w:t>
      </w:r>
      <w:r>
        <w:t xml:space="preserve">Oryginalna okładka i formatowanie nie zostało wykorzystane w polskim tłumaczeniu. [przyp. tłum.]</w:t>
      </w:r>
    </w:p>
  </w:footnote>
  <w:footnote w:id="26">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
          <w:iCs/>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27">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
          <w:iCs/>
        </w:rPr>
        <w:t xml:space="preserve">The Chimpanzee Sequencing and Analysis Consortium, Nature, 2005</w:t>
      </w:r>
      <w:r>
        <w:br/>
      </w:r>
      <w:r>
        <w:rPr>
          <w:i/>
          <w:iCs/>
        </w:rPr>
        <w:t xml:space="preserve">Evolutionary Rate at the Molecular Level - Kimura, 1968</w:t>
      </w:r>
      <w:r>
        <w:br/>
      </w:r>
      <w:r>
        <w:rPr>
          <w:i/>
          <w:iCs/>
        </w:rPr>
        <w:t xml:space="preserve">Why evolution is true - Jerry A. Coyne</w:t>
      </w:r>
    </w:p>
  </w:footnote>
  <w:footnote w:id="28">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29">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30">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31">
    <w:p>
      <w:pPr>
        <w:pStyle w:val="FootnoteText"/>
      </w:pPr>
      <w:r>
        <w:rPr>
          <w:rStyle w:val="FootnoteReference"/>
        </w:rPr>
        <w:footnoteRef/>
      </w:r>
      <w:r>
        <w:t xml:space="preserve"> </w:t>
      </w:r>
      <w:r>
        <w:t xml:space="preserve">Autorowi prawdopodobnie chodzi o</w:t>
      </w:r>
      <w:r>
        <w:t xml:space="preserve"> </w:t>
      </w:r>
      <w:r>
        <w:rPr>
          <w:i/>
          <w:iCs/>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36">
    <w:p>
      <w:pPr>
        <w:pStyle w:val="FootnoteText"/>
      </w:pPr>
      <w:r>
        <w:rPr>
          <w:rStyle w:val="FootnoteReference"/>
        </w:rPr>
        <w:footnoteRef/>
      </w:r>
      <w:r>
        <w:t xml:space="preserve"> </w:t>
      </w:r>
      <w:r>
        <w:t xml:space="preserve">Trylobity (Trilobita, z gr. treis ‘trzy’ + lobos ‘płat’)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37">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38">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39">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48">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49">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50">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51">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53">
    <w:p>
      <w:pPr>
        <w:pStyle w:val="FootnoteText"/>
      </w:pPr>
      <w:r>
        <w:rPr>
          <w:rStyle w:val="FootnoteReference"/>
        </w:rPr>
        <w:footnoteRef/>
      </w:r>
      <w:r>
        <w:t xml:space="preserve"> </w:t>
      </w:r>
      <w:r>
        <w:t xml:space="preserve">Do tej pory opublikowałem osiem, plus Tekst Grecki.</w:t>
      </w:r>
    </w:p>
  </w:footnote>
  <w:footnote w:id="54">
    <w:p>
      <w:pPr>
        <w:pStyle w:val="FootnoteText"/>
      </w:pPr>
      <w:r>
        <w:rPr>
          <w:rStyle w:val="FootnoteReference"/>
        </w:rPr>
        <w:footnoteRef/>
      </w:r>
      <w:r>
        <w:t xml:space="preserve"> </w:t>
      </w:r>
      <w:r>
        <w:t xml:space="preserve">Odniosłem się już do 1 Kronik 16,15.</w:t>
      </w:r>
    </w:p>
  </w:footnote>
  <w:footnote w:id="55">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56">
    <w:p>
      <w:pPr>
        <w:pStyle w:val="FootnoteText"/>
      </w:pPr>
      <w:r>
        <w:rPr>
          <w:rStyle w:val="FootnoteReference"/>
        </w:rPr>
        <w:footnoteRef/>
      </w:r>
      <w:r>
        <w:t xml:space="preserve"> </w:t>
      </w:r>
      <w:r>
        <w:t xml:space="preserve">Słowo przetłumaczone jako „wydanie” [ang.</w:t>
      </w:r>
      <w:r>
        <w:t xml:space="preserve"> </w:t>
      </w:r>
      <w:r>
        <w:rPr>
          <w:i/>
          <w:iCs/>
        </w:rPr>
        <w:t xml:space="preserve">release</w:t>
      </w:r>
      <w:r>
        <w:t xml:space="preserve">, gr.</w:t>
      </w:r>
      <w:r>
        <w:t xml:space="preserve"> </w:t>
      </w:r>
      <w:r>
        <w:rPr>
          <w:i/>
          <w:iCs/>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57">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58">
    <w:p>
      <w:pPr>
        <w:pStyle w:val="FootnoteText"/>
      </w:pPr>
      <w:r>
        <w:rPr>
          <w:rStyle w:val="FootnoteReference"/>
        </w:rPr>
        <w:footnoteRef/>
      </w:r>
      <w:r>
        <w:t xml:space="preserve"> </w:t>
      </w:r>
      <w:r>
        <w:t xml:space="preserve">Dostęp do Pisma jest niezbędny do duchowego wzrostu i pracy.</w:t>
      </w:r>
    </w:p>
  </w:footnote>
  <w:footnote w:id="59">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60">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61">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62">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63">
    <w:p>
      <w:pPr>
        <w:pStyle w:val="FootnoteText"/>
      </w:pPr>
      <w:r>
        <w:rPr>
          <w:rStyle w:val="FootnoteReference"/>
        </w:rPr>
        <w:footnoteRef/>
      </w:r>
      <w:r>
        <w:t xml:space="preserve"> </w:t>
      </w:r>
      <w:r>
        <w:t xml:space="preserve">Bardzo niewiele rozdziałów zostało napisanych w języku aramejskim.</w:t>
      </w:r>
    </w:p>
  </w:footnote>
  <w:footnote w:id="64">
    <w:p>
      <w:pPr>
        <w:pStyle w:val="FootnoteText"/>
      </w:pPr>
      <w:r>
        <w:rPr>
          <w:rStyle w:val="FootnoteReference"/>
        </w:rPr>
        <w:footnoteRef/>
      </w:r>
      <w:r>
        <w:t xml:space="preserve"> </w:t>
      </w:r>
      <w:r>
        <w:t xml:space="preserve">Więc nie mamy tu do czynienia z nauką w sensie obiektywnym.</w:t>
      </w:r>
    </w:p>
  </w:footnote>
  <w:footnote w:id="65">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66">
    <w:p>
      <w:pPr>
        <w:pStyle w:val="FootnoteText"/>
      </w:pPr>
      <w:r>
        <w:rPr>
          <w:rStyle w:val="FootnoteReference"/>
        </w:rPr>
        <w:footnoteRef/>
      </w:r>
      <w:r>
        <w:t xml:space="preserve"> </w:t>
      </w:r>
      <w:r>
        <w:t xml:space="preserve">Mowa o informacjach historycznych w Biblii, w porównaniu do proroctw. [przyp. tłum.]</w:t>
      </w:r>
    </w:p>
  </w:footnote>
  <w:footnote w:id="67">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69">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71">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72">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75">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76">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77">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78">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79">
    <w:p>
      <w:pPr>
        <w:pStyle w:val="FootnoteText"/>
      </w:pPr>
      <w:r>
        <w:rPr>
          <w:rStyle w:val="FootnoteReference"/>
        </w:rPr>
        <w:footnoteRef/>
      </w:r>
      <w:r>
        <w:t xml:space="preserve"> </w:t>
      </w:r>
      <w:r>
        <w:t xml:space="preserve">NKJV - Biblia, przekład New King James Version. [przyp. tłum.]</w:t>
      </w:r>
    </w:p>
  </w:footnote>
  <w:footnote w:id="80">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81">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83">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84">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85">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86">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87">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88">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89">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90">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91">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92">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93">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94">
    <w:p>
      <w:pPr>
        <w:pStyle w:val="FootnoteText"/>
      </w:pPr>
      <w:r>
        <w:rPr>
          <w:rStyle w:val="FootnoteReference"/>
        </w:rPr>
        <w:footnoteRef/>
      </w:r>
      <w:r>
        <w:t xml:space="preserve"> </w:t>
      </w:r>
      <w:r>
        <w:t xml:space="preserve">Korpus Pawłowy (łac.</w:t>
      </w:r>
      <w:r>
        <w:t xml:space="preserve"> </w:t>
      </w:r>
      <w:r>
        <w:rPr>
          <w:i/>
          <w:iCs/>
        </w:rPr>
        <w:t xml:space="preserve">corpus Paulinum</w:t>
      </w:r>
      <w:r>
        <w:t xml:space="preserve">) - zbiór listów przypisywanych apostołowi Pawłowi. [przyp. tłum.]</w:t>
      </w:r>
    </w:p>
  </w:footnote>
  <w:footnote w:id="95">
    <w:p>
      <w:pPr>
        <w:pStyle w:val="FootnoteText"/>
      </w:pPr>
      <w:r>
        <w:rPr>
          <w:rStyle w:val="FootnoteReference"/>
        </w:rPr>
        <w:footnoteRef/>
      </w:r>
      <w:r>
        <w:t xml:space="preserve"> </w:t>
      </w:r>
      <w:r>
        <w:t xml:space="preserve">Francis Glimm, ponownie.</w:t>
      </w:r>
    </w:p>
  </w:footnote>
  <w:footnote w:id="96">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w:t>
      </w:r>
    </w:p>
  </w:footnote>
  <w:footnote w:id="97">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98">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99">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00">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01">
    <w:p>
      <w:pPr>
        <w:pStyle w:val="FootnoteText"/>
      </w:pPr>
      <w:r>
        <w:rPr>
          <w:rStyle w:val="FootnoteReference"/>
        </w:rPr>
        <w:footnoteRef/>
      </w:r>
      <w:r>
        <w:t xml:space="preserve"> </w:t>
      </w:r>
      <w:r>
        <w:t xml:space="preserve">Roberts i Donaldson, ponownie.</w:t>
      </w:r>
    </w:p>
  </w:footnote>
  <w:footnote w:id="102">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
          <w:iCs/>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
          <w:iCs/>
        </w:rPr>
        <w:t xml:space="preserve">Adversus Haereses</w:t>
      </w:r>
      <w:r>
        <w:t xml:space="preserve">, napisana w Lyonie, została przywieziona do Oksyrynchos w ciągu pierwszych kilku lat od jej powstania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 23, 53), stanowiąc wymowne świadectwo skali ruchu między wczesnymi kościołami.</w:t>
      </w:r>
    </w:p>
  </w:footnote>
  <w:footnote w:id="103">
    <w:p>
      <w:pPr>
        <w:pStyle w:val="FootnoteText"/>
      </w:pPr>
      <w:r>
        <w:rPr>
          <w:rStyle w:val="FootnoteReference"/>
        </w:rPr>
        <w:footnoteRef/>
      </w:r>
      <w:r>
        <w:t xml:space="preserve"> </w:t>
      </w:r>
      <w:r>
        <w:t xml:space="preserve">Atenagoras z Aten napisał rozprawę</w:t>
      </w:r>
      <w:r>
        <w:t xml:space="preserve"> </w:t>
      </w:r>
      <w:r>
        <w:rPr>
          <w:i/>
          <w:iCs/>
        </w:rPr>
        <w:t xml:space="preserve">Πρεσβεία περὶ Χριστιανῶν</w:t>
      </w:r>
      <w:r>
        <w:t xml:space="preserve">, w języku angielskim znaną jako</w:t>
      </w:r>
      <w:r>
        <w:t xml:space="preserve"> </w:t>
      </w:r>
      <w:r>
        <w:rPr>
          <w:i/>
          <w:iCs/>
        </w:rPr>
        <w:t xml:space="preserve">A Plea for the Christians</w:t>
      </w:r>
      <w:r>
        <w:t xml:space="preserve"> </w:t>
      </w:r>
      <w:r>
        <w:t xml:space="preserve">albo</w:t>
      </w:r>
      <w:r>
        <w:t xml:space="preserve"> </w:t>
      </w:r>
      <w:r>
        <w:rPr>
          <w:i/>
          <w:iCs/>
        </w:rPr>
        <w:t xml:space="preserve">An Embassy for the Christians</w:t>
      </w:r>
      <w:r>
        <w:t xml:space="preserve">, na język polski przetłumaczoną przez Stanisława Kalinkowskiego pod tytułem „Prośba za chrześcijanami”, Warszawa: Instytut Wydawniczy PAX, 1985. [przyp. tłum.]</w:t>
      </w:r>
    </w:p>
  </w:footnote>
  <w:footnote w:id="104">
    <w:p>
      <w:pPr>
        <w:pStyle w:val="FootnoteText"/>
      </w:pPr>
      <w:r>
        <w:rPr>
          <w:rStyle w:val="FootnoteReference"/>
        </w:rPr>
        <w:footnoteRef/>
      </w:r>
      <w:r>
        <w:t xml:space="preserve"> </w:t>
      </w:r>
      <w:r>
        <w:t xml:space="preserve">Skorzystałem z tłumaczenia autorstwa C.C. Richardsona z książki Early Christian Fathers.</w:t>
      </w:r>
    </w:p>
  </w:footnote>
  <w:footnote w:id="105">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06">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07">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08">
    <w:p>
      <w:pPr>
        <w:pStyle w:val="FootnoteText"/>
      </w:pPr>
      <w:r>
        <w:rPr>
          <w:rStyle w:val="FootnoteReference"/>
        </w:rPr>
        <w:footnoteRef/>
      </w:r>
      <w:r>
        <w:t xml:space="preserve"> </w:t>
      </w:r>
      <w:r>
        <w:t xml:space="preserve">Autor prawdopodobnie ma na myśli dzieło znane w Polsce jako</w:t>
      </w:r>
      <w:r>
        <w:t xml:space="preserve"> </w:t>
      </w:r>
      <w:r>
        <w:rPr>
          <w:i/>
          <w:iCs/>
        </w:rPr>
        <w:t xml:space="preserve">Przeciwko herezjom</w:t>
      </w:r>
      <w:r>
        <w:t xml:space="preserve"> </w:t>
      </w:r>
      <w:r>
        <w:t xml:space="preserve">(</w:t>
      </w:r>
      <w:r>
        <w:rPr>
          <w:i/>
          <w:iCs/>
        </w:rPr>
        <w:t xml:space="preserve">Adversus haereses</w:t>
      </w:r>
      <w:r>
        <w:t xml:space="preserve">). [przyp. tłum.]</w:t>
      </w:r>
      <w:r>
        <w:br/>
      </w:r>
      <w:r>
        <w:t xml:space="preserve">https://pl.wikipedia.org/wiki/Adversus_haereses</w:t>
      </w:r>
    </w:p>
  </w:footnote>
  <w:footnote w:id="109">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11">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12">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13">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14">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15">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16">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
          <w:bCs/>
        </w:rPr>
        <w:t xml:space="preserve">wierne</w:t>
      </w:r>
      <w:r>
        <w:t xml:space="preserve">” i oczekuje od nas, że będziemy je tak interpretować.</w:t>
      </w:r>
    </w:p>
  </w:footnote>
  <w:footnote w:id="117">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18">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19">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37. Skorzystałem z tłumaczenia Petera Holmesa zamieszczonego w tomie III serii</w:t>
      </w:r>
      <w:r>
        <w:t xml:space="preserve"> </w:t>
      </w:r>
      <w:r>
        <w:rPr>
          <w:i/>
          <w:iCs/>
        </w:rPr>
        <w:t xml:space="preserve">The Ante-Nicene Fathers</w:t>
      </w:r>
      <w:r>
        <w:t xml:space="preserve">.</w:t>
      </w:r>
    </w:p>
  </w:footnote>
  <w:footnote w:id="120">
    <w:p>
      <w:pPr>
        <w:pStyle w:val="FootnoteText"/>
      </w:pPr>
      <w:r>
        <w:rPr>
          <w:rStyle w:val="FootnoteReference"/>
        </w:rPr>
        <w:footnoteRef/>
      </w:r>
      <w:r>
        <w:t xml:space="preserve"> </w:t>
      </w:r>
      <w:r>
        <w:t xml:space="preserve">B.M. Metzger,</w:t>
      </w:r>
      <w:r>
        <w:t xml:space="preserve"> </w:t>
      </w:r>
      <w:r>
        <w:rPr>
          <w:i/>
          <w:iCs/>
        </w:rPr>
        <w:t xml:space="preserve">Tekst Nowego Testamentu</w:t>
      </w:r>
      <w:r>
        <w:t xml:space="preserve"> </w:t>
      </w:r>
      <w:r>
        <w:t xml:space="preserve">[ang.</w:t>
      </w:r>
      <w:r>
        <w:t xml:space="preserve"> </w:t>
      </w:r>
      <w:r>
        <w:rPr>
          <w:i/>
          <w:iCs/>
        </w:rPr>
        <w:t xml:space="preserve">The Text of the New Testament</w:t>
      </w:r>
      <w:r>
        <w:t xml:space="preserve">, przyp. tłum.] (Londyn: Oxford University Press, 1964), str. 21.</w:t>
      </w:r>
    </w:p>
  </w:footnote>
  <w:footnote w:id="121">
    <w:p>
      <w:pPr>
        <w:pStyle w:val="FootnoteText"/>
      </w:pPr>
      <w:r>
        <w:rPr>
          <w:rStyle w:val="FootnoteReference"/>
        </w:rPr>
        <w:footnoteRef/>
      </w:r>
      <w:r>
        <w:t xml:space="preserve"> </w:t>
      </w:r>
      <w:r>
        <w:rPr>
          <w:i/>
          <w:iCs/>
        </w:rPr>
        <w:t xml:space="preserve">Recepta przeciw heretykom</w:t>
      </w:r>
      <w:r>
        <w:t xml:space="preserve"> </w:t>
      </w:r>
      <w:r>
        <w:t xml:space="preserve">[ang.</w:t>
      </w:r>
      <w:r>
        <w:t xml:space="preserve"> </w:t>
      </w:r>
      <w:r>
        <w:rPr>
          <w:i/>
          <w:iCs/>
        </w:rPr>
        <w:t xml:space="preserve">Prescription against Heretics</w:t>
      </w:r>
      <w:r>
        <w:t xml:space="preserve">, przyp. tłum.], 36, korzystając z tłumaczenia Holmesa.</w:t>
      </w:r>
    </w:p>
  </w:footnote>
  <w:footnote w:id="122">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24">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25">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
          <w:bCs/>
        </w:rPr>
        <w:t xml:space="preserve">nie można było ufać</w:t>
      </w:r>
      <w:r>
        <w:t xml:space="preserve">. (K. i B. Aland, str. 59 oraz K. Aland, „The Text of the Church?”,</w:t>
      </w:r>
      <w:r>
        <w:t xml:space="preserve"> </w:t>
      </w:r>
      <w:r>
        <w:rPr>
          <w:i/>
          <w:iCs/>
        </w:rPr>
        <w:t xml:space="preserve">Trinity Journal</w:t>
      </w:r>
      <w:r>
        <w:t xml:space="preserve">, 1987, 8NS:138).</w:t>
      </w:r>
    </w:p>
  </w:footnote>
  <w:footnote w:id="126">
    <w:p>
      <w:pPr>
        <w:pStyle w:val="FootnoteText"/>
      </w:pPr>
      <w:r>
        <w:rPr>
          <w:rStyle w:val="FootnoteReference"/>
        </w:rPr>
        <w:footnoteRef/>
      </w:r>
      <w:r>
        <w:t xml:space="preserve"> </w:t>
      </w:r>
      <w:r>
        <w:t xml:space="preserve">B.M. Metzger, The Early Versions of the New Testament (Oksford: Clarendon Press, 1977), s. 104.</w:t>
      </w:r>
    </w:p>
  </w:footnote>
  <w:footnote w:id="127">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28">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29">
    <w:p>
      <w:pPr>
        <w:pStyle w:val="FootnoteText"/>
      </w:pPr>
      <w:r>
        <w:rPr>
          <w:rStyle w:val="FootnoteReference"/>
        </w:rPr>
        <w:footnoteRef/>
      </w:r>
      <w:r>
        <w:t xml:space="preserve"> </w:t>
      </w:r>
      <w:r>
        <w:t xml:space="preserve">K. i B. Aland, Tekst Nowego Testamentu (Grand Rapids: Eerdmans, 1981), s. 52–53.</w:t>
      </w:r>
    </w:p>
  </w:footnote>
  <w:footnote w:id="130">
    <w:p>
      <w:pPr>
        <w:pStyle w:val="FootnoteText"/>
      </w:pPr>
      <w:r>
        <w:rPr>
          <w:rStyle w:val="FootnoteReference"/>
        </w:rPr>
        <w:footnoteRef/>
      </w:r>
      <w:r>
        <w:t xml:space="preserve"> </w:t>
      </w:r>
      <w:r>
        <w:rPr>
          <w:i/>
          <w:iCs/>
        </w:rPr>
        <w:t xml:space="preserve">Ibid.</w:t>
      </w:r>
      <w:r>
        <w:t xml:space="preserve"> </w:t>
      </w:r>
      <w:r>
        <w:t xml:space="preserve">[łac.</w:t>
      </w:r>
      <w:r>
        <w:t xml:space="preserve"> </w:t>
      </w:r>
      <w:r>
        <w:rPr>
          <w:i/>
          <w:iCs/>
        </w:rPr>
        <w:t xml:space="preserve">ibidem</w:t>
      </w:r>
      <w:r>
        <w:t xml:space="preserve"> </w:t>
      </w:r>
      <w:r>
        <w:t xml:space="preserve">-</w:t>
      </w:r>
      <w:r>
        <w:t xml:space="preserve"> </w:t>
      </w:r>
      <w:r>
        <w:rPr>
          <w:i/>
          <w:iCs/>
        </w:rPr>
        <w:t xml:space="preserve">tamże</w:t>
      </w:r>
      <w:r>
        <w:t xml:space="preserve">/</w:t>
      </w:r>
      <w:r>
        <w:rPr>
          <w:i/>
          <w:iCs/>
        </w:rPr>
        <w:t xml:space="preserve">w tym samym miejscu</w:t>
      </w:r>
      <w:r>
        <w:t xml:space="preserve">, przyp. tłum.], strona 53.</w:t>
      </w:r>
    </w:p>
  </w:footnote>
  <w:footnote w:id="131">
    <w:p>
      <w:pPr>
        <w:pStyle w:val="FootnoteText"/>
      </w:pPr>
      <w:r>
        <w:rPr>
          <w:rStyle w:val="FootnoteReference"/>
        </w:rPr>
        <w:footnoteRef/>
      </w:r>
      <w:r>
        <w:t xml:space="preserve"> </w:t>
      </w:r>
      <w:r>
        <w:t xml:space="preserve">C.H. Roberts,</w:t>
      </w:r>
      <w:r>
        <w:t xml:space="preserve"> </w:t>
      </w:r>
      <w:r>
        <w:rPr>
          <w:i/>
          <w:iCs/>
        </w:rPr>
        <w:t xml:space="preserve">Manuscript, Society and Belief in Early Christian Egypt</w:t>
      </w:r>
      <w:r>
        <w:t xml:space="preserve"> </w:t>
      </w:r>
      <w:r>
        <w:t xml:space="preserve">(Londyn: Oxford University Press, 1979), s. 42–43, 54–58.</w:t>
      </w:r>
    </w:p>
  </w:footnote>
  <w:footnote w:id="132">
    <w:p>
      <w:pPr>
        <w:pStyle w:val="FootnoteText"/>
      </w:pPr>
      <w:r>
        <w:rPr>
          <w:rStyle w:val="FootnoteReference"/>
        </w:rPr>
        <w:footnoteRef/>
      </w:r>
      <w:r>
        <w:t xml:space="preserve"> </w:t>
      </w:r>
      <w:r>
        <w:t xml:space="preserve">K. i B. Aland, s. 59.</w:t>
      </w:r>
    </w:p>
  </w:footnote>
  <w:footnote w:id="133">
    <w:p>
      <w:pPr>
        <w:pStyle w:val="FootnoteText"/>
      </w:pPr>
      <w:r>
        <w:rPr>
          <w:rStyle w:val="FootnoteReference"/>
        </w:rPr>
        <w:footnoteRef/>
      </w:r>
      <w:r>
        <w:t xml:space="preserve"> </w:t>
      </w:r>
      <w:r>
        <w:t xml:space="preserve">K. Aland, „The Text of the Church?”,</w:t>
      </w:r>
      <w:r>
        <w:t xml:space="preserve"> </w:t>
      </w:r>
      <w:r>
        <w:rPr>
          <w:i/>
          <w:iCs/>
        </w:rPr>
        <w:t xml:space="preserve">Trinity Journal</w:t>
      </w:r>
      <w:r>
        <w:t xml:space="preserve">, 1987, 8NS:138.</w:t>
      </w:r>
    </w:p>
  </w:footnote>
  <w:footnote w:id="134">
    <w:p>
      <w:pPr>
        <w:pStyle w:val="FootnoteText"/>
      </w:pPr>
      <w:r>
        <w:rPr>
          <w:rStyle w:val="FootnoteReference"/>
        </w:rPr>
        <w:footnoteRef/>
      </w:r>
      <w:r>
        <w:t xml:space="preserve"> </w:t>
      </w:r>
      <w:r>
        <w:t xml:space="preserve">Metzger,</w:t>
      </w:r>
      <w:r>
        <w:t xml:space="preserve"> </w:t>
      </w:r>
      <w:r>
        <w:rPr>
          <w:i/>
          <w:iCs/>
        </w:rPr>
        <w:t xml:space="preserve">Early Versions</w:t>
      </w:r>
      <w:r>
        <w:t xml:space="preserve">, s. 101.</w:t>
      </w:r>
    </w:p>
  </w:footnote>
  <w:footnote w:id="135">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36">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38">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39">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
          <w:iCs/>
        </w:rPr>
        <w:t xml:space="preserve">The Identity of the New Testament Text IV</w:t>
      </w:r>
      <w:r>
        <w:t xml:space="preserve">, dostępnej na Amazon.com jak również na mojej stronie internetowej www.prunch.org.</w:t>
      </w:r>
    </w:p>
  </w:footnote>
  <w:footnote w:id="140">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41">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42">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
          <w:bCs/>
        </w:rPr>
        <w:t xml:space="preserve">natchnionego Tekstu</w:t>
      </w:r>
      <w:r>
        <w:t xml:space="preserve">, czemu Westcott i Hort zaprzeczali. Odnoszę się do wierzących kopiujących tekst, który</w:t>
      </w:r>
      <w:r>
        <w:t xml:space="preserve"> </w:t>
      </w:r>
      <w:r>
        <w:rPr>
          <w:b/>
          <w:bCs/>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
          <w:iCs/>
        </w:rPr>
        <w:t xml:space="preserve">The Identity of the New Testament Text</w:t>
      </w:r>
      <w:r>
        <w:t xml:space="preserve">: A Review Article”,</w:t>
      </w:r>
      <w:r>
        <w:t xml:space="preserve"> </w:t>
      </w:r>
      <w:r>
        <w:rPr>
          <w:i/>
          <w:iCs/>
        </w:rPr>
        <w:t xml:space="preserve">The Westminster Theological Journal</w:t>
      </w:r>
      <w:r>
        <w:t xml:space="preserve">, XLI [wiosna 1979], str. 404-408) oraz błędnie przedstawiając mój pogląd na temat normalnego przebiegu przekazywania (</w:t>
      </w:r>
      <w:r>
        <w:rPr>
          <w:i/>
          <w:iCs/>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43">
    <w:p>
      <w:pPr>
        <w:pStyle w:val="FootnoteText"/>
      </w:pPr>
      <w:r>
        <w:rPr>
          <w:rStyle w:val="FootnoteReference"/>
        </w:rPr>
        <w:footnoteRef/>
      </w:r>
      <w:r>
        <w:t xml:space="preserve"> </w:t>
      </w:r>
      <w:r>
        <w:t xml:space="preserve">3 J.W. Burgon,</w:t>
      </w:r>
      <w:r>
        <w:t xml:space="preserve"> </w:t>
      </w:r>
      <w:r>
        <w:rPr>
          <w:i/>
          <w:iCs/>
        </w:rPr>
        <w:t xml:space="preserve">The Revision Revised</w:t>
      </w:r>
      <w:r>
        <w:t xml:space="preserve"> </w:t>
      </w:r>
      <w:r>
        <w:t xml:space="preserve">(Londyn: John Murray, 1883), s. 323–324.</w:t>
      </w:r>
    </w:p>
  </w:footnote>
  <w:footnote w:id="144">
    <w:p>
      <w:pPr>
        <w:pStyle w:val="FootnoteText"/>
      </w:pPr>
      <w:r>
        <w:rPr>
          <w:rStyle w:val="FootnoteReference"/>
        </w:rPr>
        <w:footnoteRef/>
      </w:r>
      <w:r>
        <w:t xml:space="preserve"> </w:t>
      </w:r>
      <w:r>
        <w:t xml:space="preserve">E.C. Colwell, „The Origin of Text-types of New Testament Manuscripts”,</w:t>
      </w:r>
      <w:r>
        <w:t xml:space="preserve"> </w:t>
      </w:r>
      <w:r>
        <w:rPr>
          <w:i/>
          <w:iCs/>
        </w:rPr>
        <w:t xml:space="preserve">Early Christian Origins</w:t>
      </w:r>
      <w:r>
        <w:t xml:space="preserve">, red. Allen Wikgren (Chicago: Quadrangle Books, 1961), s. 138.</w:t>
      </w:r>
    </w:p>
  </w:footnote>
  <w:footnote w:id="145">
    <w:p>
      <w:pPr>
        <w:pStyle w:val="FootnoteText"/>
      </w:pPr>
      <w:r>
        <w:rPr>
          <w:rStyle w:val="FootnoteReference"/>
        </w:rPr>
        <w:footnoteRef/>
      </w:r>
      <w:r>
        <w:t xml:space="preserve"> </w:t>
      </w:r>
      <w:r>
        <w:t xml:space="preserve">F.H.A. Scrivener,</w:t>
      </w:r>
      <w:r>
        <w:t xml:space="preserve"> </w:t>
      </w:r>
      <w:r>
        <w:rPr>
          <w:i/>
          <w:iCs/>
        </w:rPr>
        <w:t xml:space="preserve">A Plain Introduction to the Criticism of the New Testament</w:t>
      </w:r>
      <w:r>
        <w:t xml:space="preserve">, wydanie czwarte pod redakcją E. Millera (2 tomy; Londyn: George Bell and Sons, 1894), II, 264.</w:t>
      </w:r>
    </w:p>
  </w:footnote>
  <w:footnote w:id="146">
    <w:p>
      <w:pPr>
        <w:pStyle w:val="FootnoteText"/>
      </w:pPr>
      <w:r>
        <w:rPr>
          <w:rStyle w:val="FootnoteReference"/>
        </w:rPr>
        <w:footnoteRef/>
      </w:r>
      <w:r>
        <w:t xml:space="preserve"> </w:t>
      </w:r>
      <w:r>
        <w:t xml:space="preserve">G.D. Kilpatrick, „The Transmission of the New Testament and its Reliability”,</w:t>
      </w:r>
      <w:r>
        <w:t xml:space="preserve"> </w:t>
      </w:r>
      <w:r>
        <w:rPr>
          <w:i/>
          <w:iCs/>
        </w:rPr>
        <w:t xml:space="preserve">The Bible Translator</w:t>
      </w:r>
      <w:r>
        <w:t xml:space="preserve">, IX (lipiec 1958), 128-29.</w:t>
      </w:r>
    </w:p>
  </w:footnote>
  <w:footnote w:id="147">
    <w:p>
      <w:pPr>
        <w:pStyle w:val="FootnoteText"/>
      </w:pPr>
      <w:r>
        <w:rPr>
          <w:rStyle w:val="FootnoteReference"/>
        </w:rPr>
        <w:footnoteRef/>
      </w:r>
      <w:r>
        <w:t xml:space="preserve"> </w:t>
      </w:r>
      <w:r>
        <w:t xml:space="preserve">G. Zuntz,</w:t>
      </w:r>
      <w:r>
        <w:t xml:space="preserve"> </w:t>
      </w:r>
      <w:r>
        <w:rPr>
          <w:i/>
          <w:iCs/>
        </w:rPr>
        <w:t xml:space="preserve">The Text of the Epistles</w:t>
      </w:r>
      <w:r>
        <w:t xml:space="preserve"> </w:t>
      </w:r>
      <w:r>
        <w:t xml:space="preserve">(Londyn: Oxford University Press, 1953), s. 11.</w:t>
      </w:r>
    </w:p>
  </w:footnote>
  <w:footnote w:id="148">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49">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50">
    <w:p>
      <w:pPr>
        <w:pStyle w:val="FootnoteText"/>
      </w:pPr>
      <w:r>
        <w:rPr>
          <w:rStyle w:val="FootnoteReference"/>
        </w:rPr>
        <w:footnoteRef/>
      </w:r>
      <w:r>
        <w:t xml:space="preserve"> </w:t>
      </w:r>
      <w:r>
        <w:t xml:space="preserve">Zob. Burgon,</w:t>
      </w:r>
      <w:r>
        <w:t xml:space="preserve"> </w:t>
      </w:r>
      <w:r>
        <w:rPr>
          <w:i/>
          <w:iCs/>
        </w:rPr>
        <w:t xml:space="preserve">The Revision Revised</w:t>
      </w:r>
      <w:r>
        <w:t xml:space="preserve">, s. 323.</w:t>
      </w:r>
    </w:p>
  </w:footnote>
  <w:footnote w:id="155">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56">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
          <w:iCs/>
        </w:rPr>
        <w:t xml:space="preserve">The Identity of the New Testament Text IV</w:t>
      </w:r>
      <w:r>
        <w:t xml:space="preserve">, dostępnej na Amazon.com oraz na mojej stronie internetowej www.prunch.org.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jpg" /><Relationship Type="http://schemas.openxmlformats.org/officeDocument/2006/relationships/image" Id="rId44" Target="media/rId44.jpg" /><Relationship Type="http://schemas.openxmlformats.org/officeDocument/2006/relationships/image" Id="rId40" Target="media/rId40.png" /><Relationship Type="http://schemas.openxmlformats.org/officeDocument/2006/relationships/image" Id="rId152" Target="media/rId152.jpg" /><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47" Target="http://creationwiki.org/Image:Cem2.jpg" TargetMode="External" /><Relationship Type="http://schemas.openxmlformats.org/officeDocument/2006/relationships/hyperlink" Id="rId35" Target="https://commons.wikimedia.org/wiki/File:Chief_Mountain.jpg" TargetMode="External" /><Relationship Type="http://schemas.openxmlformats.org/officeDocument/2006/relationships/hyperlink" Id="rId43" Target="https://core.ac.uk/download/pdf/47225227.pdf" TargetMode="External" /><Relationship Type="http://schemas.openxmlformats.org/officeDocument/2006/relationships/hyperlink" Id="rId15" Target="https://creativecommons.org/licenses/by-sa/4.0/" TargetMode="External" /><Relationship Type="http://schemas.openxmlformats.org/officeDocument/2006/relationships/hyperlink" Id="rId16" Target="https://creativecommons.org/licenses/by-sa/4.0/deed.pl#ref-indicate-changes" TargetMode="External" /><Relationship Type="http://schemas.openxmlformats.org/officeDocument/2006/relationships/hyperlink" Id="rId17" Target="https://creativecommons.org/licenses/by-sa/4.0/deed.pl#ref-same-license" TargetMode="External" /><Relationship Type="http://schemas.openxmlformats.org/officeDocument/2006/relationships/hyperlink" Id="rId14" Target="https://github.com/tometchy/Bog-zachowal-swoj-Tekst-Wilbur-Pickering/raw/refs/heads/master/build/docx/Bog-zachowal-swoj-Tekst-Wilbur-Pickering.docx" TargetMode="External" /><Relationship Type="http://schemas.openxmlformats.org/officeDocument/2006/relationships/hyperlink" Id="rId12" Target="https://github.com/tometchy/Bog-zachowal-swoj-Tekst-Wilbur-Pickering/raw/refs/heads/master/build/epub/Bog-zachowal-swoj-Tekst-Wilbur-Pickering.epub" TargetMode="External" /><Relationship Type="http://schemas.openxmlformats.org/officeDocument/2006/relationships/hyperlink" Id="rId13" Target="https://github.com/tometchy/Bog-zachowal-swoj-Tekst-Wilbur-Pickering/raw/refs/heads/master/build/pdf/Bog-zachowal-swoj-Tekst-Wilbur-Pickering.pdf" TargetMode="External" /><Relationship Type="http://schemas.openxmlformats.org/officeDocument/2006/relationships/hyperlink" Id="rId11" Target="https://tometchy.github.io/Bog-zachowal-swoj-Tekst-Wilbur-Pickering" TargetMode="External" /><Relationship Type="http://schemas.openxmlformats.org/officeDocument/2006/relationships/hyperlink" Id="rId9" Target="https://web.archive.org/web/20240804201013/https://www.prunch.com.br/wp-content/uploads/2021/07/God-Has-Preserved-His-Text-4th.pdf" TargetMode="External" /><Relationship Type="http://schemas.openxmlformats.org/officeDocument/2006/relationships/hyperlink" Id="rId10"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2026-05-14T04:22:11Z</dcterms:created>
  <dcterms:modified xsi:type="dcterms:W3CDTF">2026-05-14T04:22:11Z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