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0"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49"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48"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rękopisów, niezależnie od siebie. Skryba w rzeczywistości zastępuje jeden wariant czytania innym w około siedemdziesięciu miejscach, co pozwala wnioskować, że już w jego czasach w tych miejscach występowały odmiany.</w:t>
      </w:r>
      <w:r>
        <w:rPr>
          <w:rStyle w:val="FootnoteReference"/>
        </w:rPr>
        <w:footnoteReference w:id="146"/>
      </w:r>
    </w:p>
    <w:p>
      <w:pPr>
        <w:pStyle w:val="BodyText"/>
      </w:pPr>
      <w:r>
        <w:t xml:space="preserve">Further in the Bodmer Papyrus the original scribe has frequently corrected what he first wrote. At some places he is correcting his own mistakes but at others he substitutes one form of phrasing for another. At about seventy-five of these substitutions both alternatives are known from other manuscripts independently. The scribe is in fact replacing one variant reading by another at some seventy places so that we may conclude that already in his day there was variation at these points.3</w:t>
      </w:r>
    </w:p>
    <w:p>
      <w:pPr>
        <w:pStyle w:val="BodyText"/>
      </w:pPr>
      <w:r>
        <w:t xml:space="preserve">Papirus Bodmera to P</w:t>
      </w:r>
      <w:r>
        <w:rPr>
          <w:vertAlign w:val="superscript"/>
        </w:rPr>
        <w:t xml:space="preserve">66</w:t>
      </w:r>
      <w:r>
        <w:t xml:space="preserve">, a to, czego Kilpatrick nie wspomina, to fakt, że w tych 75 miejscach skryba na przemian stosował odczyty bizantyjskie i aleksandryjskie: czasami zaczynał od odczytu bizantyjskiego, a następnie zmieniał go na aleksandryjski, a czasami robił odwrotnie. Najwyraźniej miał przed sobą takie wzorce, co oznacza, że tekst bizantyjski istniał już w roku 200!</w:t>
      </w:r>
    </w:p>
    <w:p>
      <w:pPr>
        <w:pStyle w:val="BodyText"/>
      </w:pPr>
      <w:r>
        <w:t xml:space="preserve">The Bodmer papyrus is P66, and what Kilpatrick does not tell you is that in those 75 places the scribe was alternating between Byzantine and Alexandrian readings: sometimes he started with a Byzantine reading and then changed it to an Alexandrian and sometimes he did the opposite. He obviously had such exemplars before him, which means that the Byzantine Text was already in existence in the year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G. Zuntz also recognized all of this. “Modern criticism stops before the barrier of the second century, the age, so it seems, of unbounded liberties with the text”.1</w:t>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dodaje:</w:t>
      </w:r>
    </w:p>
    <w:p>
      <w:pPr>
        <w:pStyle w:val="BodyText"/>
      </w:pPr>
      <w:r>
        <w:t xml:space="preserve">Kilpatrick goes on to argue that the creation of new variants ceased by about 200 AD because it became impossible to ‘sell’ them. He discusses some of Origen’s attempts at introducing a change into the text, and proceeds:</w:t>
      </w:r>
    </w:p>
    <w:p>
      <w:pPr>
        <w:pStyle w:val="BlockText"/>
      </w:pPr>
      <w:r>
        <w:t xml:space="preserve">Sposób, w jaki Orygenes potraktował fragment z Ewangelii Mateusza 19,19, ma znaczenie jeszcze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nie dotknięta. Od III wieku nawet Orygenes nie był w stanie skutecznie zmienić tekst.</w:t>
      </w:r>
    </w:p>
    <w:p>
      <w:pPr>
        <w:pStyle w:val="BlockText"/>
      </w:pPr>
      <w:r>
        <w:t xml:space="preserve">Origen’s treatment of Matthew 19,19 is significant in two other ways. First he was probably the most influential commentator of the Ancient Church and yet his conjecture at this point seems to have influenced only one manuscript of a local version of the New Testament. The Greek tradition is apparently quite unaffected by it. From the third century onward even an Origen could not effectively alter the text.</w:t>
      </w:r>
    </w:p>
    <w:bookmarkEnd w:id="148"/>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2026-05-01T10:08:07Z</dcterms:created>
  <dcterms:modified xsi:type="dcterms:W3CDTF">2026-05-01T10:08:07Z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