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Override PartName="/word/media/rId1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 wydawnictwa</w:t>
      </w:r>
      <w:r>
        <w:t xml:space="preserve"> </w:t>
      </w:r>
      <w:hyperlink r:id="rId21">
        <w:r>
          <w:rPr>
            <w:rStyle w:val="Hyperlink"/>
          </w:rPr>
          <w:t xml:space="preserve">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w:t>
      </w:r>
      <w:r>
        <w:t xml:space="preserve"> </w:t>
      </w:r>
      <w:r>
        <w:rPr>
          <w:iCs/>
          <w:i/>
        </w:rPr>
        <w:t xml:space="preserve">pro publico bono</w:t>
      </w:r>
      <w:r>
        <w:t xml:space="preserve">,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90" w:name="część-i-dowody-historyczne"/>
    <w:p>
      <w:pPr>
        <w:pStyle w:val="Heading1"/>
      </w:pPr>
      <w:r>
        <w:t xml:space="preserve">CZĘŚĆ I: Dowody historyczne</w:t>
      </w:r>
    </w:p>
    <w:bookmarkStart w:id="6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6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3"/>
    <w:bookmarkStart w:id="85" w:name="wprowadzenie"/>
    <w:p>
      <w:pPr>
        <w:pStyle w:val="Heading2"/>
      </w:pPr>
      <w:r>
        <w:t xml:space="preserve">Wprowadzenie</w:t>
      </w:r>
    </w:p>
    <w:bookmarkStart w:id="79" w:name="natchnienie"/>
    <w:p>
      <w:pPr>
        <w:pStyle w:val="Heading3"/>
      </w:pPr>
      <w:r>
        <w:t xml:space="preserve">Natchnienie</w:t>
      </w:r>
    </w:p>
    <w:p>
      <w:pPr>
        <w:pStyle w:val="FirstParagraph"/>
      </w:pPr>
      <w:r>
        <w:t xml:space="preserve">Gdy piszę książkę</w:t>
      </w:r>
      <w:r>
        <w:rPr>
          <w:rStyle w:val="FootnoteReference"/>
        </w:rPr>
        <w:footnoteReference w:id="6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8"/>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6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1"/>
      </w:r>
      <w:r>
        <w:t xml:space="preserve"> </w:t>
      </w:r>
      <w:r>
        <w:t xml:space="preserve">Ewangelii Chrystusa</w:t>
      </w:r>
      <w:r>
        <w:rPr>
          <w:rStyle w:val="FootnoteReference"/>
        </w:rPr>
        <w:footnoteReference w:id="72"/>
      </w:r>
      <w:r>
        <w:t xml:space="preserve">, ponieważ jest ona mocą Bożą dla zbawienia każdego, kto wierzy (najpierw Żyda, potem Greka). Bo w niej jest ujawniona sprawiedliwość Boża, z wiary w wiarę, tak jak jest napisane: ‘Sprawiedliwy z wiary żyć będzie‘.”</w:t>
      </w:r>
      <w:r>
        <w:rPr>
          <w:rStyle w:val="FootnoteReference"/>
        </w:rPr>
        <w:footnoteReference w:id="7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79"/>
    <w:bookmarkStart w:id="8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1"/>
    <w:bookmarkStart w:id="8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4"/>
    <w:bookmarkEnd w:id="85"/>
    <w:bookmarkStart w:id="18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8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3"/>
    <w:bookmarkStart w:id="121" w:name="X2567adac6f25933c916ef36242b5d7814bc2aed"/>
    <w:p>
      <w:pPr>
        <w:pStyle w:val="Heading3"/>
      </w:pPr>
      <w:r>
        <w:t xml:space="preserve">Wczesne rozpoznanie</w:t>
      </w:r>
      <w:r>
        <w:t xml:space="preserve"> </w:t>
      </w:r>
      <w:r>
        <w:rPr>
          <w:rStyle w:val="FootnoteReference"/>
        </w:rPr>
        <w:footnoteReference w:id="9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6"/>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7"/>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8"/>
      </w:r>
      <w:r>
        <w:t xml:space="preserve"> </w:t>
      </w:r>
      <w:r>
        <w:t xml:space="preserve">tak jak ci, którzy stali się naocznymi świadkami, od początku, i słudzy Słowa dostarczyli nam je,</w:t>
      </w:r>
      <w:r>
        <w:rPr>
          <w:rStyle w:val="FootnoteReference"/>
        </w:rPr>
        <w:footnoteReference w:id="99"/>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0"/>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3"/>
      </w:r>
    </w:p>
    <w:p>
      <w:pPr>
        <w:pStyle w:val="BodyText"/>
      </w:pPr>
      <w:r>
        <w:t xml:space="preserve">Autor, kimkolwiek był, wyraźnie przypisuje boskie autorstwo temu cytatowi, który wydaje się pochodzić z 2 Listu Piotra 3,8.</w:t>
      </w:r>
      <w:r>
        <w:rPr>
          <w:rStyle w:val="FootnoteReference"/>
        </w:rPr>
        <w:footnoteReference w:id="10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09"/>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1"/>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5"/>
      </w:r>
      <w:r>
        <w:t xml:space="preserve">. Podobnie traktuje on Ewangelię Mateusza 19,9 lub Ewangelię Marka 10,11 w rozdziale 33.</w:t>
      </w:r>
    </w:p>
    <w:p>
      <w:pPr>
        <w:pStyle w:val="BodyText"/>
      </w:pPr>
      <w:r>
        <w:t xml:space="preserve">Teofil, biskup Antiochii</w:t>
      </w:r>
      <w:r>
        <w:rPr>
          <w:rStyle w:val="FootnoteReference"/>
        </w:rPr>
        <w:footnoteReference w:id="11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7"/>
      </w:r>
    </w:p>
    <w:p>
      <w:pPr>
        <w:pStyle w:val="BodyText"/>
      </w:pPr>
      <w:r>
        <w:t xml:space="preserve">Dzieła Ireneusza (zm. 202 r.)</w:t>
      </w:r>
      <w:r>
        <w:rPr>
          <w:rStyle w:val="FootnoteReference"/>
        </w:rPr>
        <w:footnoteReference w:id="118"/>
      </w:r>
      <w:r>
        <w:t xml:space="preserve">, które zachowały się do dziś, jego główne dzieło</w:t>
      </w:r>
      <w:r>
        <w:t xml:space="preserve"> </w:t>
      </w:r>
      <w:r>
        <w:rPr>
          <w:iCs/>
          <w:i/>
        </w:rPr>
        <w:t xml:space="preserve">Przeciw heretykom</w:t>
      </w:r>
      <w:r>
        <w:rPr>
          <w:rStyle w:val="FootnoteReference"/>
        </w:rPr>
        <w:footnoteReference w:id="11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0"/>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1"/>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4"/>
      </w:r>
      <w:r>
        <w:t xml:space="preserve"> </w:t>
      </w:r>
      <w:r>
        <w:t xml:space="preserve">którzy nie uznają Jezusa Chrystusa jako przychodzącego w ciele</w:t>
      </w:r>
      <w:r>
        <w:rPr>
          <w:rStyle w:val="FootnoteReference"/>
        </w:rPr>
        <w:footnoteReference w:id="12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8"/>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2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0"/>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32"/>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9"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Cs/>
          <w:i/>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42"/>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43"/>
      </w:r>
      <w:r>
        <w:t xml:space="preserve"> </w:t>
      </w:r>
      <w:r>
        <w:t xml:space="preserve">Aland stwierdza: „Egipt wyróżniał się spośród innych prowincji Kościoła, na ile możemy to ocenić, wczesną dominacją gnostycyzmu”.</w:t>
      </w:r>
      <w:r>
        <w:rPr>
          <w:rStyle w:val="FootnoteReference"/>
        </w:rPr>
        <w:footnoteReference w:id="144"/>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45"/>
      </w:r>
      <w:r>
        <w:t xml:space="preserve"> </w:t>
      </w:r>
      <w:r>
        <w:t xml:space="preserve">No, to wszystko jest bardzo pouczające – innymi słowy, Aland mówi nam, że do 200 roku n.e. tradycji tekstowej w Egipcie</w:t>
      </w:r>
      <w:r>
        <w:t xml:space="preserve"> </w:t>
      </w:r>
      <w:r>
        <w:rPr>
          <w:bCs/>
          <w:b/>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objawień…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46"/>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Cs/>
          <w:b/>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Cs/>
          <w:i/>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47"/>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48"/>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Cs/>
          <w:i/>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49"/>
    <w:bookmarkStart w:id="16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50"/>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Cs/>
          <w:i/>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51"/>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52"/>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53"/>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Cs/>
          <w:i/>
        </w:rPr>
        <w:t xml:space="preserve">Nienormalny przebieg przekazywania</w:t>
      </w:r>
      <w:r>
        <w:rPr>
          <w:rStyle w:val="FootnoteReference"/>
        </w:rPr>
        <w:footnoteReference w:id="154"/>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55"/>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56"/>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57"/>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58"/>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59"/>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60"/>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61"/>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62"/>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63"/>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Cs/>
          <w:b/>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64"/>
    <w:bookmarkStart w:id="177"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Cs/>
          <w:i/>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66" name="Picture"/>
            <a:graphic>
              <a:graphicData uri="http://schemas.openxmlformats.org/drawingml/2006/picture">
                <pic:pic>
                  <pic:nvPicPr>
                    <pic:cNvPr descr="images/Rysunek_A.jpg" id="16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r>
        <w:br/>
      </w:r>
      <w:r>
        <w:rPr>
          <w:bCs/>
          <w:b/>
        </w:rPr>
        <w:t xml:space="preserve">Rysunek A</w:t>
      </w:r>
      <w:r>
        <w:rPr>
          <w:rStyle w:val="FootnoteReference"/>
        </w:rPr>
        <w:footnoteReference w:id="168"/>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69"/>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Cs/>
          <w:i/>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70"/>
      </w:r>
      <w:r>
        <w:t xml:space="preserve"> </w:t>
      </w:r>
      <w:r>
        <w:t xml:space="preserve">Kiedy mówię, że Tekst Większościowy dominuje strumień, mam na myśli to, że jest on reprezentowany w około 95% manuskryptów.</w:t>
      </w:r>
      <w:r>
        <w:rPr>
          <w:rStyle w:val="FootnoteReference"/>
        </w:rPr>
        <w:footnoteReference w:id="171"/>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72"/>
      </w:r>
    </w:p>
    <w:p>
      <w:pPr>
        <w:pStyle w:val="BodyText"/>
      </w:pPr>
      <w:r>
        <w:t xml:space="preserve">A członkowie niezgadzającej się grupy różnią się od odczytu do odczytu.</w:t>
      </w:r>
      <w:r>
        <w:rPr>
          <w:rStyle w:val="FootnoteReference"/>
        </w:rPr>
        <w:footnoteReference w:id="173"/>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74"/>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odczytów zawiera inne słowo. Spośród tych dziewięciu odczytów, trzy mają odczyty indywidualne, a sześć zgadza się co do odczytu „kto”.</w:t>
      </w:r>
      <w:r>
        <w:rPr>
          <w:rStyle w:val="FootnoteReference"/>
        </w:rPr>
        <w:footnoteReference w:id="175"/>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76"/>
      </w:r>
      <w:r>
        <w:t xml:space="preserve"> </w:t>
      </w:r>
      <w:r>
        <w:t xml:space="preserve">W jaki sposób jakakolwiek ilość „procesów” mógłaby wypełnić lukę między B lub Alefem a Textus Receptus?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Cs/>
          <w:b/>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Cs/>
          <w:b/>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dostrzegł potrzebę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odwoływanie się do Autografów (o ile był to odrębny wynalazek)?</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dozą dokładności w całej tradycji rękopiśmiennej. Przedstawiona powyżej historia tekstu nie tylko dobrze wyjaśnia istnienie Tekstu Większościowego, wyjaśnia także istnienie niespójnej mniejszości manuskryptów. Są one pozostałościami po nienormalnym przebiegu przekazywania tekstu, odzwierciedlającymi starożytne, nieprawidłowe formy. To właśnie opieranie się na takich nieprawidłowych formach odróżnia współczesne krytyczne/eklektyczne wydania greckiego Nowego Testamentu oraz oparte na nich współczesne tłumaczenia.</w:t>
      </w:r>
    </w:p>
    <w:bookmarkEnd w:id="177"/>
    <w:bookmarkStart w:id="185" w:name="jakie-są-rzeczywiste-dowody"/>
    <w:p>
      <w:pPr>
        <w:pStyle w:val="Heading3"/>
      </w:pPr>
      <w:r>
        <w:t xml:space="preserve">Jakie są rzeczywiste dowody?</w:t>
      </w:r>
    </w:p>
    <w:p>
      <w:pPr>
        <w:pStyle w:val="FirstParagraph"/>
      </w:pPr>
      <w:r>
        <w:t xml:space="preserve">Jakie są rzeczywiste dowody, które należy poddać ocenie? Manuskrypty zawierające ciągły tekst stanowią świadectwa pierwszorzędne. Lekcjonarze są świadectwami drugorzędnymi. Starożytne wersje i cytaty ojców Kościoła stanowią świadectwa trzeciorzędne. Wszelkie dowody historyczne, o ile można je zweryfikować, mają charakter pomocniczy. Znaczenie dowodów drugorzędnych i trzeciorzędnych zależy od założeń, że oryginalne brzmienie zostało utracone oraz że przekaz tekstu nie przebiegał w sposób normalny. Ponieważ oba te założenia są fałszywe, skupię się na świadectwach pierwszorzędnych, tym bardziej, że jest ich tak wiele.</w:t>
      </w:r>
    </w:p>
    <w:p>
      <w:pPr>
        <w:pStyle w:val="BodyText"/>
      </w:pPr>
      <w:r>
        <w:t xml:space="preserve">Do głównych świadków zalicza się zazwyczaj trzy rodzaje: papirusy, uncjały i pisma kursywne. Zarówno papirusy, jak i uncjały są zapisane wielkimi literami (często bez odstępów między wyrazami), a różnica polega na używanym materiale – papirusie lub pergaminie (skórze). Pisma kursywne są zapisywane małymi literami, często połączonymi ze sobą, i zazwyczaj z odstępami między wyrazami, jako materiał używano pergaminu lub papieru. Pismo uncjałowe było stosowane wyłącznie do IX wieku, kiedy to pojawiły się pierwsze manuskrypty kursywne. Do XI wieku pismo kursywne zdominowało.</w:t>
      </w:r>
    </w:p>
    <w:p>
      <w:pPr>
        <w:pStyle w:val="BodyText"/>
      </w:pPr>
      <w:r>
        <w:t xml:space="preserve">Międzynarodowy wykaz zachowanych (znanych) manuskryptów Nowego Testamentu jest prowadzony przez Instytut Badań Tekstologicznych Nowego Testamentu (INTF) w Münster w Niemczech. Nazywa się on</w:t>
      </w:r>
      <w:r>
        <w:t xml:space="preserve"> </w:t>
      </w:r>
      <w:r>
        <w:rPr>
          <w:iCs/>
          <w:i/>
        </w:rPr>
        <w:t xml:space="preserve">Kurzgefasste Liste</w:t>
      </w:r>
      <w:r>
        <w:t xml:space="preserve">.</w:t>
      </w:r>
      <w:r>
        <w:rPr>
          <w:rStyle w:val="FootnoteReference"/>
        </w:rPr>
        <w:footnoteReference w:id="178"/>
      </w:r>
      <w:r>
        <w:t xml:space="preserve"> </w:t>
      </w:r>
      <w:r>
        <w:t xml:space="preserve">Według stanu na luty 2018 r. lista wykazu zawierała 133 papirusy, 282 manuskrypty uncjałowe (majuskuły) oraz około 2 850 ponumerowanych manuskryptów kursywnych (minuskuły).</w:t>
      </w:r>
    </w:p>
    <w:p>
      <w:pPr>
        <w:pStyle w:val="BodyText"/>
      </w:pPr>
      <w:r>
        <w:t xml:space="preserve">Datowanie manuskryptów to śliski interes, podatny na domysły, stronniczość i „linię partyjną”. Czytelnik powinien rozumieć, że daty przypisane poszczególnym manuskryptom mogą być niewiele więcej niż przybliżonymi przypuszczeniami, do tego stopnia, że zazwyczaj podane są jako stulecie. Jeśli manuskrypt posiada konkretną datę, oznacza to, że kopista zapisał ją gdy skończył.</w:t>
      </w:r>
    </w:p>
    <w:p>
      <w:pPr>
        <w:pStyle w:val="BodyText"/>
      </w:pPr>
      <w:r>
        <w:t xml:space="preserve">Sporządziłem przybliżone zestawienie papirusów według stuleci (przyjmując późniejszą datę, gdy była taka opcja)</w:t>
      </w:r>
      <w:r>
        <w:t xml:space="preserve"> </w:t>
      </w:r>
      <w:r>
        <w:rPr>
          <w:rStyle w:val="FootnoteReference"/>
        </w:rPr>
        <w:footnoteReference w:id="179"/>
      </w:r>
      <w:r>
        <w:t xml:space="preserve">, obejmują one okres od II do VIII wieku: II — 4, III — 49, IV — 31, V — 14, VI — 16, VII — 16, VIII — 3. Spośród tych 133 papirusów, 35 zawiera mniej niż pięć wersetów(są to jedynie fragmenty)</w:t>
      </w:r>
      <w:r>
        <w:rPr>
          <w:rStyle w:val="FootnoteReference"/>
        </w:rPr>
        <w:footnoteReference w:id="180"/>
      </w:r>
      <w:r>
        <w:t xml:space="preserve">, 76 zawiera od sześciu do dwudziestu wersetów (nadal fragmenty), 13 zawiera mniej niż dwa rozdziały, a tylko 9 z nich ma znaczną objętość. Dla około 40 rozdziałów w całym Nowym Testamencie nie ma żadnego świadectwa papirusowego. Jedynie Ewangelia Łukasza, Ewangelia Jana, Dzieje Apostolskie, List do Hebrajczyków, 1 i 2 List Piotra oraz List Judy mają świadectwo papirusowe dla całego rozdziału. Tylko jeden papirus zawiera kompletną księgę: P</w:t>
      </w:r>
      <w:r>
        <w:rPr>
          <w:vertAlign w:val="superscript"/>
        </w:rPr>
        <w:t xml:space="preserve">72</w:t>
      </w:r>
      <w:r>
        <w:t xml:space="preserve"> </w:t>
      </w:r>
      <w:r>
        <w:t xml:space="preserve">zawiera 1 i 2 List Piotra oraz List Judy. Znaczenie przypisywane papirusom będzie zależało od indywidualnych założeń.</w:t>
      </w:r>
    </w:p>
    <w:p>
      <w:pPr>
        <w:pStyle w:val="BodyText"/>
      </w:pPr>
      <w:r>
        <w:t xml:space="preserve">Sporządziłem przybliżone zestawienie uncjałów według stuleci (przyjmując późniejszą datę, gdy była taka opcja), obejmują one okres od III do XI wieku: III — 2, IV — 18, V — 50, VI — 65, VII — 36, VIII — 27, IX — 62, X — 20, XI — 2. Spośród tych 282 uncjałów 182 zawierają mniej niż jeden rozdział (większość z nich ma tylko kilka wersetów, a niektóre nawet mniej), kolejne 37 zawierają mniej niż całą księgę, jedynie 63 zawierają kompletną księgę lub więcej. Znaczenie przypisywane uncjałom będzie zależało od indywidualnych założeń.</w:t>
      </w:r>
    </w:p>
    <w:p>
      <w:pPr>
        <w:pStyle w:val="BodyText"/>
      </w:pPr>
      <w:r>
        <w:t xml:space="preserve">Pisma kursywne mają rozpiętość dat od IX do XVII wieku. Zdecydowana większość z nich, około 2 130, skupia się w czterech stuleciach: od XI do XIV. Około 90 z nich jest dość fragmentarycznych, a wiele więcej nie jest kompletnych. Około 25 z nich ma numer, ale wiadomo o nich tak niewiele, że najwyraźniej nie są dostępne, a równie wiele zniknęło z pola widzenia. Mimo to pozostało wystarczająco dużo, by zapewnić nam zajęcie na bardzo, bardzo długi czas.</w:t>
      </w:r>
    </w:p>
    <w:p>
      <w:pPr>
        <w:pStyle w:val="BodyText"/>
      </w:pPr>
      <w:r>
        <w:t xml:space="preserve">Przed wynalezieniem papieru, materiałami używanymi do tworzenia kopii były papirus i pergamin (skóra), oba grubsze od papieru. Kompletny Nowy Testament oprawiony w jednym tomie byłby raczej opasły i dość kosztowny. Dlatego już na początku zaczęto oprawiać księgi w mniejsze grupy: cztery Ewangelie, listy Pawła (w tym List do Hebrajczyków), Dzieje Apostolskie i Listy Ogólne, z Objawieniem dodanym tu i ówdzie. Ewangelie były zdecydowanie najpopularniejsze, po nich listy Pawła. W chwili pisania tego tekstu znamy około 2 350 manuskryptów (włącznie z fragmentami), które zawierają jakąś część Ewangelii, około 800 zawierających jakąś część listów Pawła, ponad 650 zawierających jakąś część Dziejów Apostolskich, ponad 600 zawierających jakąś część Listów Ogólnych oraz około 300 zawierających jakąś część Objawienia. Znamy około 60 kompletnych Nowych Testamentów, kolejne 150 zawierających wszystkie księgi z wyjątkiem Objawienia oraz około 270 zawierających Dzieje Apostolskie aż po List Judy.</w:t>
      </w:r>
    </w:p>
    <w:p>
      <w:pPr>
        <w:pStyle w:val="BodyText"/>
      </w:pPr>
      <w:r>
        <w:t xml:space="preserve">Nie wszystkie z powyższych będą dostępne do pracy dla zainteresowanej osoby. Rozważ Ewangelie: spośród 2 350 manuskryptów wspomnianych powyżej, dla dowolnej pojedynczej Ewangelii (np. Ewangelii Jana) liczba ta wyniesie około 2 000. Jednak ze względu na fragmenty, uszkodzenia i luki, dla każdego wersetu liczba ta wyniesie około 1 700. INTF w Münster w Niemczech posiada mikrofilmy prawie wszystkich z nich.</w:t>
      </w:r>
      <w:r>
        <w:t xml:space="preserve"> </w:t>
      </w:r>
      <w:r>
        <w:rPr>
          <w:bCs/>
          <w:b/>
        </w:rPr>
        <w:t xml:space="preserve">Jednak</w:t>
      </w:r>
      <w:r>
        <w:t xml:space="preserve"> </w:t>
      </w:r>
      <w:r>
        <w:t xml:space="preserve">taka zainteresowana osoba musi zrozumieć, że nie ma do czynienia z 1 700 niezależnymi świadkami – te manuskrypty reprezentują różne linie przekazu, lub „rodziny”, takie rodziny byłyby świadkami.</w:t>
      </w:r>
      <w:r>
        <w:t xml:space="preserve"> </w:t>
      </w:r>
      <w:r>
        <w:rPr>
          <w:rStyle w:val="FootnoteReference"/>
        </w:rPr>
        <w:footnoteReference w:id="181"/>
      </w:r>
      <w:r>
        <w:t xml:space="preserve"> </w:t>
      </w:r>
      <w:r>
        <w:t xml:space="preserve">Jednak między rodzinami będą wzajemne powiązania, a aby uzyskać pewność co do tych relacji, potrzebna jest naukowo opracowana rekonstrukcja historii przekazywania Tekstu Nowego Testamentu. Niestety, taka rekonstrukcja nie istnieje. Co gorsza, z powodu usypiającego wpływu teorii Horta, rodziny te nie zostały jeszcze zdefiniowane. Naukowo zdefiniowałem rodzinę 35 dla całego Nowego Testamentu, ale jak dotąd, o ile mi wiadomo, żadna inna rodzina nie została podobnie zdefiniowana. Być może w całym Nowym Testamencie nie istnieje żadna inna rodzina, ale to dopiero trzeba ustalić.</w:t>
      </w:r>
    </w:p>
    <w:p>
      <w:pPr>
        <w:pStyle w:val="BodyText"/>
      </w:pPr>
      <w:r>
        <w:t xml:space="preserve">Ci, którzy zajmują się katalogowaniem manuskryptów Nowego Testamentu, informują nas, że pod względem liczby zachowanych manuskryptów na czele plasują się XII i XIII wiek, a za nimi XIV, XI, XV, XVI i X wiek, w takiej kolejności. Istnieje ponad cztery razy więcej manuskryptów z XIII wieku niż z X wieku, ale oczywiście greka koine była językiem bardziej żywym w X wieku niż w XIII, a zatem popyt był większy, a co za tym idzie – większa była również podaż. Innymi słowy, wiele setek naprawdę czystych manuskryptów z X wieku uległo zniszczeniu. Przetrwał większy odsetek naprawdę dobrych manuskryptów powstałych w XIV wieku niż tych z XI wieku i tak dalej. Właśnie dlatego poziom zgodności między manuskryptami bizantyjskimi jest coraz wyższy, przy czym w XIV wieku odsetek ten jest wyższy niż w X wieku. Gdybyśmy jednak żyli w X wieku i przeprowadzili szeroko zakrojone badanie manuskryptów, stwierdzilibyśmy niemal taki sam poziom zgodności (być może 98%). Tak samo gdybyśmy żyli w VIII, VI, IV lub II wieku. Innymi słowy, ZACHOWANE MANUSKRYPTY Z PIERWSZYCH DZIESIĘCIU WIEKÓW NIE SĄ REPREZENTATYWNE DLA RZECZYWISTEGO STANU SPRAW W TAMTYM CZASIE.</w:t>
      </w:r>
      <w:r>
        <w:rPr>
          <w:rStyle w:val="FootnoteReference"/>
        </w:rPr>
        <w:footnoteReference w:id="182"/>
      </w:r>
    </w:p>
    <w:p>
      <w:pPr>
        <w:pStyle w:val="FirstParagraph"/>
      </w:pPr>
      <w:r>
        <w:t xml:space="preserve">Wydaje się, że Aland przyznaje, iż na przestrzeni wieków historii Kościoła tekst bizantyjski był uznawany za „tekst Kościoła”, a początek tego stanu rzeczy wywodzi od Lucjana.</w:t>
      </w:r>
      <w:r>
        <w:t xml:space="preserve"> </w:t>
      </w:r>
      <w:r>
        <w:rPr>
          <w:rStyle w:val="FootnoteReference"/>
        </w:rPr>
        <w:footnoteReference w:id="183"/>
      </w:r>
      <w:r>
        <w:t xml:space="preserve"> </w:t>
      </w:r>
      <w:r>
        <w:t xml:space="preserve">Wielokrotnie wspomina on o „szkole (w) Antiochii” oraz o Azji Mniejszej. Wszystko to jest bardzo interesujące, ponieważ w swojej książce zgadza się z Adolfem Harnackiem, że „około 180 r. największa koncentracja kościołów znajdowała się w Azji Mniejszej oraz wzdłuż greckiego wybrzeża Morza Egejskiego”.</w:t>
      </w:r>
      <w:r>
        <w:t xml:space="preserve"> </w:t>
      </w:r>
      <w:r>
        <w:rPr>
          <w:rStyle w:val="FootnoteReference"/>
        </w:rPr>
        <w:footnoteReference w:id="184"/>
      </w:r>
      <w:r>
        <w:t xml:space="preserve"> </w:t>
      </w:r>
      <w:r>
        <w:t xml:space="preserve">Jest to obszar, gdzie grecki był językiem ojczystym i gdzie nadal był używany. Jest to również obszar, który rozpoczął z większością Autografów. Aland kontynuuje jednak: „Nawet około 325 roku n.e. sytuacja pozostawała w dużej mierze niezmieniona. Azja Mniejsza nadal była sercem Kościoła”. „Serce Kościoła” – kto więc miałby lepszą pozycję, by zidentyfikować poprawny tekst Nowego Testamentu? Kto mógłby „sprzedać” sfałszowany tekst w Azji Mniejszej na początku IV wieku? Twierdzę, że tekst bizantyjski zdominował historię przekazu, ponieważ kościoły w Azji Mniejszej ręczyły za niego. I czyniły to, od samego początku, ponieważ wiedziały, że jest to prawdziwy tekst, otrzymawszy go od Apostołów. Tekst większościowy jest tym, czym jest, właśnie dlatego, że zawsze był</w:t>
      </w:r>
      <w:r>
        <w:t xml:space="preserve"> </w:t>
      </w:r>
      <w:r>
        <w:rPr>
          <w:bCs/>
          <w:b/>
        </w:rPr>
        <w:t xml:space="preserve">Tekstem Kościoła</w:t>
      </w:r>
      <w:r>
        <w:t xml:space="preserve">.</w:t>
      </w:r>
    </w:p>
    <w:bookmarkEnd w:id="185"/>
    <w:bookmarkEnd w:id="186"/>
    <w:bookmarkStart w:id="189" w:name="uwagi-końcowe"/>
    <w:p>
      <w:pPr>
        <w:pStyle w:val="Heading2"/>
      </w:pPr>
      <w:r>
        <w:t xml:space="preserve">Uwagi końcowe</w:t>
      </w:r>
    </w:p>
    <w:p>
      <w:pPr>
        <w:pStyle w:val="FirstParagraph"/>
      </w:pPr>
      <w:r>
        <w:t xml:space="preserve">Do tego miejsca zajmowałem się szerokim nurtem normalnego przebiegu przekazywania Tekstu Nowego Testamentu. Ten szeroki nurt jest powszechnie określany jako „bizantyjski” tekst lub typ tekstu. Jednak ten szeroki nurt składa się z wielu odrębnych linii przekazu – przypomnijmy, że F. Wisse wyodrębnił 36 takich linii na podstawie swoich badań nad Ewangelią Łukasza, rozdziałami 1, 10 i 20. Spośród tych 36 linii jedna jest zdecydowanie największa pod względem liczby reprezentatywnych manuskryptów i będę argumentował, że jest ona również bez wątpienia najlepsza. Nazywam tę linię przekazu „Rodziną 35”, a moje omówienie tej „rodziny” zajmuje część II.</w:t>
      </w:r>
      <w:r>
        <w:rPr>
          <w:rStyle w:val="FootnoteReference"/>
        </w:rPr>
        <w:footnoteReference w:id="187"/>
      </w:r>
      <w:r>
        <w:t xml:space="preserve">. Tam będę argumentował, że Rodzina 35 stanowi ostateczny dowód na to, że Bóg zachował Tekst Nowego Testamentu.</w:t>
      </w:r>
    </w:p>
    <w:p>
      <w:pPr>
        <w:pStyle w:val="BodyText"/>
      </w:pPr>
      <w:r>
        <w:t xml:space="preserve">Biorąc pod uwagę moje założenia, uważam, że mam dobry powód, by oświadczać zachowanie przez Boga dokładnych, oryginalnych sformułowań całego Tekstu Nowego Testamentu, aż do dnia dzisiejszego. Sformułowania te zostały odtworzone w moim wydaniu greckiego Nowego Testamentu,</w:t>
      </w:r>
      <w:r>
        <w:t xml:space="preserve"> </w:t>
      </w:r>
      <w:r>
        <w:rPr>
          <w:iCs/>
          <w:i/>
        </w:rPr>
        <w:t xml:space="preserve">The Greek New Testament According to Family 35</w:t>
      </w:r>
      <w:r>
        <w:t xml:space="preserve">. Książkę tę można zamówić na stronie Amazon.com bądź pobrać z mojej strony internetowej www.prunch.org. Wymieniam tutaj moje wnioski, obiecując czytelnikowi, że następnie przedstawię dowody prowadzące do tych wniosków (oprócz tych, które zostały już podane powyżej).</w:t>
      </w:r>
    </w:p>
    <w:p>
      <w:pPr>
        <w:pStyle w:val="BodyText"/>
      </w:pPr>
      <w:r>
        <w:t xml:space="preserve">Na podstawie jak dotąd dostępnych dowodów stwierdzam, co następuje:</w:t>
      </w:r>
    </w:p>
    <w:p>
      <w:pPr>
        <w:numPr>
          <w:ilvl w:val="0"/>
          <w:numId w:val="1007"/>
        </w:numPr>
      </w:pPr>
      <w:r>
        <w:t xml:space="preserve">Oryginalne sformułowania nigdy nie zostały „utracone”, a ich przekazywanie na przestrzeni lat przebiegało zasadniczo normalnie, będąc od początku rozpoznane jako materiał natchniony.</w:t>
      </w:r>
    </w:p>
    <w:p>
      <w:pPr>
        <w:numPr>
          <w:ilvl w:val="0"/>
          <w:numId w:val="1007"/>
        </w:numPr>
      </w:pPr>
      <w:r>
        <w:t xml:space="preserve">Ten naturalny proces doprowadził do powstania linii przekazywania.</w:t>
      </w:r>
    </w:p>
    <w:p>
      <w:pPr>
        <w:numPr>
          <w:ilvl w:val="0"/>
          <w:numId w:val="1007"/>
        </w:numPr>
      </w:pPr>
      <w:r>
        <w:t xml:space="preserve">Aby nakreślić takie linie, manuskrypty muszą być pogrupowane empirycznie na podstawie wspólnej mozaiki odczytów.</w:t>
      </w:r>
    </w:p>
    <w:p>
      <w:pPr>
        <w:numPr>
          <w:ilvl w:val="0"/>
          <w:numId w:val="1007"/>
        </w:numPr>
      </w:pPr>
      <w:r>
        <w:t xml:space="preserve">Takie grupy lub rodziny muszą zostać poddane ocenie pod kątem niezależności i wiarygodności.</w:t>
      </w:r>
    </w:p>
    <w:p>
      <w:pPr>
        <w:numPr>
          <w:ilvl w:val="0"/>
          <w:numId w:val="1007"/>
        </w:numPr>
      </w:pPr>
      <w:r>
        <w:t xml:space="preserve">Największą wyraźnie zdefiniowaną grupą jest Rodzina 35.</w:t>
      </w:r>
    </w:p>
    <w:p>
      <w:pPr>
        <w:numPr>
          <w:ilvl w:val="0"/>
          <w:numId w:val="1007"/>
        </w:numPr>
      </w:pPr>
      <w:r>
        <w:t xml:space="preserve">Rodzina 35 jest w sposób oczywisty (możliwy do wykazania) niezależna od wszystkich innych linii przekazu w całym Nowym Testamencie.</w:t>
      </w:r>
    </w:p>
    <w:p>
      <w:pPr>
        <w:numPr>
          <w:ilvl w:val="0"/>
          <w:numId w:val="1007"/>
        </w:numPr>
      </w:pPr>
      <w:r>
        <w:t xml:space="preserve">Rodzina 35 jest w sposób oczywisty (możliwy do wykazania) bardzo stara, sięgająca co najmniej III wieku.</w:t>
      </w:r>
    </w:p>
    <w:p>
      <w:pPr>
        <w:numPr>
          <w:ilvl w:val="0"/>
          <w:numId w:val="1007"/>
        </w:numPr>
      </w:pPr>
      <w:r>
        <w:t xml:space="preserve">Przedstawiciele Rodziny 35 pochodzą z całego obszaru basenu Morza Śródziemnego, a ich rozmieszczenie geograficzne jest niemal całkowite.</w:t>
      </w:r>
    </w:p>
    <w:p>
      <w:pPr>
        <w:numPr>
          <w:ilvl w:val="0"/>
          <w:numId w:val="1007"/>
        </w:numPr>
      </w:pPr>
      <w:r>
        <w:t xml:space="preserve">Rodzina 35 nie jest opracowaniem krytycznym, nie powstała później niż Autografy wskutek recenzji.</w:t>
      </w:r>
    </w:p>
    <w:p>
      <w:pPr>
        <w:numPr>
          <w:ilvl w:val="0"/>
          <w:numId w:val="1007"/>
        </w:numPr>
      </w:pPr>
      <w:r>
        <w:t xml:space="preserve">Rodzina 35 jest obiektywnie/empirycznie zdefiniowaną jednostką w całym Nowym Testamencie, ma możliwy do wykazania profil diagnostyczny od Ewangelii Mateusza 1,1 do Objawienia Jana 22,21. (Profil ten jest przedstawiony w części II.)</w:t>
      </w:r>
    </w:p>
    <w:p>
      <w:pPr>
        <w:numPr>
          <w:ilvl w:val="0"/>
          <w:numId w:val="1007"/>
        </w:numPr>
      </w:pPr>
      <w:r>
        <w:t xml:space="preserve">Archetypowa forma Rodziny 35 jest możliwa do wykazania – została ona wykazana.</w:t>
      </w:r>
    </w:p>
    <w:p>
      <w:pPr>
        <w:numPr>
          <w:ilvl w:val="0"/>
          <w:numId w:val="1007"/>
        </w:numPr>
      </w:pPr>
      <w:r>
        <w:t xml:space="preserve">Tekst Oryginalny jest ostatecznym archetypem, każdy kandydat musi być również archetypem – prawdziwym, autentycznym, obiektywnie weryfikowalnym archetypem, istnieje tylko jeden – Rodzina 35.</w:t>
      </w:r>
    </w:p>
    <w:p>
      <w:pPr>
        <w:numPr>
          <w:ilvl w:val="0"/>
          <w:numId w:val="1007"/>
        </w:numPr>
      </w:pPr>
      <w:r>
        <w:t xml:space="preserve">Troska Boga o zachowanie Tekstu Biblijnego jest ewidentna: uważam, że fragmenty takie jak 1 Ksiega Kronik 16,15, Psalm 119,89, Księga Izajasza 40,8, Ewangelia Mateusza 5,18, Ewangelia Łukasza 16,17 i 21,33, Ewangelia Jana 10,35 oraz 16,12-13, 1 List Piotra 1,23-25 oraz Ewangelia Łukasza 4,4 można rozsądnie uznać za sugerujące obietnicę, że Święte Pisma (aż do ostatniej kreski) zostaną zachowane do użytku człowieka (mamy żyć „z</w:t>
      </w:r>
      <w:r>
        <w:t xml:space="preserve"> </w:t>
      </w:r>
      <w:r>
        <w:rPr>
          <w:iCs/>
          <w:i/>
        </w:rPr>
        <w:t xml:space="preserve">każdego</w:t>
      </w:r>
      <w:r>
        <w:t xml:space="preserve"> </w:t>
      </w:r>
      <w:r>
        <w:t xml:space="preserve">słowa Bożego”) i aż do końca świata („przez tysiąc pokoleń”), ale nie ma żadnej wskazówki co do tego, w jaki sposób Bóg zamierzał to uczynić. Odpowiedź musimy wywnioskować z tego, co On faktycznie uczynił – odkrywamy, że rzeczywiście to</w:t>
      </w:r>
      <w:r>
        <w:t xml:space="preserve"> </w:t>
      </w:r>
      <w:r>
        <w:rPr>
          <w:bCs/>
          <w:b/>
        </w:rPr>
        <w:t xml:space="preserve">uczynił</w:t>
      </w:r>
      <w:r>
        <w:t xml:space="preserve">!</w:t>
      </w:r>
    </w:p>
    <w:p>
      <w:pPr>
        <w:numPr>
          <w:ilvl w:val="0"/>
          <w:numId w:val="1007"/>
        </w:numPr>
      </w:pPr>
      <w:r>
        <w:t xml:space="preserve">Ta troska znajduje odzwierciedlenie w Rodzinie 35, która charakteryzuje się niesamowicie starannym przekazem (w przeciwieństwie do innych linii). (Posiadam doskonałą kopię tekstu archetypowego Rodziny 35 dla większości ksiąg Nowego Testamentu (22), mam kopie sporządzone na podstawie (przypuszczalnie) doskonałego egzemplarza dla kolejnych czterech (4), w miarę kontynuowania porównywania manuskryptów mam nadzieję dodać ostatnią (Dzieje Apostolskie), ale nawet w jej przypadku forma archetypowa jest możliwa do wykazania.)</w:t>
      </w:r>
    </w:p>
    <w:p>
      <w:pPr>
        <w:numPr>
          <w:ilvl w:val="0"/>
          <w:numId w:val="1007"/>
        </w:numPr>
      </w:pPr>
      <w:r>
        <w:t xml:space="preserve">Jeśli Bóg zachowałby oryginalne sformułowania w jakiejś linii przekazu innej niż Rodzina 35, czy ta linia byłaby mniej staranna? Myślę, że nie. Zatem każda linia przekazu charakteryzująca się wewnętrznym zamieszaniem zostaje wykluczona – dotyczy to</w:t>
      </w:r>
      <w:r>
        <w:t xml:space="preserve"> </w:t>
      </w:r>
      <w:r>
        <w:rPr>
          <w:bCs/>
          <w:b/>
        </w:rPr>
        <w:t xml:space="preserve">wszystkich</w:t>
      </w:r>
      <w:r>
        <w:t xml:space="preserve"> </w:t>
      </w:r>
      <w:r>
        <w:t xml:space="preserve">pozostałych linii przekazu, które jak dotąd widziałem.</w:t>
      </w:r>
    </w:p>
    <w:p>
      <w:pPr>
        <w:numPr>
          <w:ilvl w:val="0"/>
          <w:numId w:val="1007"/>
        </w:numPr>
      </w:pPr>
      <w:r>
        <w:t xml:space="preserve">Zapewniam, że Bóg posłużył się Rodziną 35, aby zachować dokładne, oryginalne sformułowania Tekstu Nowego Testamentu, zostały one odtworzone w moim wydaniu Tekstu Greckiego.</w:t>
      </w:r>
      <w:r>
        <w:rPr>
          <w:rStyle w:val="FootnoteReference"/>
        </w:rPr>
        <w:footnoteReference w:id="188"/>
      </w:r>
    </w:p>
    <w:p>
      <w:pPr>
        <w:pStyle w:val="FirstParagraph"/>
      </w:pPr>
      <w:r>
        <w:rPr>
          <w:bCs/>
          <w:b/>
        </w:rPr>
        <w:t xml:space="preserve">Twierdzę, że wykazałem wyższość Rodziny 35 w oparciu o</w:t>
      </w:r>
      <w:r>
        <w:rPr>
          <w:bCs/>
          <w:b/>
        </w:rPr>
        <w:t xml:space="preserve"> </w:t>
      </w:r>
      <w:r>
        <w:rPr>
          <w:iCs/>
          <w:i/>
          <w:bCs/>
          <w:b/>
        </w:rPr>
        <w:t xml:space="preserve">wielkość</w:t>
      </w:r>
      <w:r>
        <w:t xml:space="preserve"> </w:t>
      </w:r>
      <w:r>
        <w:t xml:space="preserve">(liczbę przedstawicieli),</w:t>
      </w:r>
      <w:r>
        <w:t xml:space="preserve"> </w:t>
      </w:r>
      <w:r>
        <w:rPr>
          <w:iCs/>
          <w:i/>
          <w:bCs/>
          <w:b/>
        </w:rPr>
        <w:t xml:space="preserve">niezależność</w:t>
      </w:r>
      <w:r>
        <w:t xml:space="preserve"> </w:t>
      </w:r>
      <w:r>
        <w:t xml:space="preserve">(można wykazać, że jest ona niezależna od wszystkich innych linii przekazu),</w:t>
      </w:r>
      <w:r>
        <w:t xml:space="preserve"> </w:t>
      </w:r>
      <w:r>
        <w:rPr>
          <w:iCs/>
          <w:i/>
          <w:bCs/>
          <w:b/>
        </w:rPr>
        <w:t xml:space="preserve">wiek</w:t>
      </w:r>
      <w:r>
        <w:t xml:space="preserve"> </w:t>
      </w:r>
      <w:r>
        <w:t xml:space="preserve">(sięga co najmniej III wieku),</w:t>
      </w:r>
      <w:r>
        <w:t xml:space="preserve"> </w:t>
      </w:r>
      <w:r>
        <w:rPr>
          <w:iCs/>
          <w:i/>
          <w:bCs/>
          <w:b/>
        </w:rPr>
        <w:t xml:space="preserve">rozmieszczenie geograficzne</w:t>
      </w:r>
      <w:r>
        <w:t xml:space="preserve"> </w:t>
      </w:r>
      <w:r>
        <w:t xml:space="preserve">(na całym obszarze basenu Morza Śródziemnego),</w:t>
      </w:r>
      <w:r>
        <w:t xml:space="preserve"> </w:t>
      </w:r>
      <w:r>
        <w:rPr>
          <w:iCs/>
          <w:i/>
          <w:bCs/>
          <w:b/>
        </w:rPr>
        <w:t xml:space="preserve">profil</w:t>
      </w:r>
      <w:r>
        <w:t xml:space="preserve"> </w:t>
      </w:r>
      <w:r>
        <w:t xml:space="preserve">(ustalony empirycznie),</w:t>
      </w:r>
      <w:r>
        <w:t xml:space="preserve"> </w:t>
      </w:r>
      <w:r>
        <w:rPr>
          <w:iCs/>
          <w:i/>
          <w:bCs/>
          <w:b/>
        </w:rPr>
        <w:t xml:space="preserve">staranność</w:t>
      </w:r>
      <w:r>
        <w:t xml:space="preserve"> </w:t>
      </w:r>
      <w:r>
        <w:t xml:space="preserve">(kopistów) oraz</w:t>
      </w:r>
      <w:r>
        <w:t xml:space="preserve"> </w:t>
      </w:r>
      <w:r>
        <w:rPr>
          <w:iCs/>
          <w:i/>
          <w:bCs/>
          <w:b/>
        </w:rPr>
        <w:t xml:space="preserve">zakres</w:t>
      </w:r>
      <w:r>
        <w:t xml:space="preserve"> </w:t>
      </w:r>
      <w:r>
        <w:t xml:space="preserve">(wszystkich 27 ksiąg).</w:t>
      </w:r>
      <w:r>
        <w:t xml:space="preserve"> </w:t>
      </w:r>
      <w:r>
        <w:rPr>
          <w:bCs/>
          <w:b/>
        </w:rPr>
        <w:t xml:space="preserve">Wyzywam każdego do zrobienia tego samego w odniesieniu do jakiejkolwiek innej linii przekazu!</w:t>
      </w:r>
    </w:p>
    <w:p>
      <w:pPr>
        <w:pStyle w:val="BodyText"/>
      </w:pPr>
      <w:r>
        <w:t xml:space="preserve">Tekst Oryginalny stanowi ostateczny archetyp, każdy kandydat musi być również archetypem – prawdziwym, autentycznym i obiektywnie weryfikowalnym archetypem. Jak dotąd zidentyfikowano tylko jeden – Rodzinę 35. Przechodzę teraz do części II, w której przedstawiam dalsze dowody, które prowadzą mnie do moich wniosków.</w:t>
      </w:r>
    </w:p>
    <w:bookmarkEnd w:id="189"/>
    <w:bookmarkEnd w:id="190"/>
    <w:bookmarkStart w:id="344" w:name="część-ii-najlepsza-linia-przekazywania"/>
    <w:p>
      <w:pPr>
        <w:pStyle w:val="Heading1"/>
      </w:pPr>
      <w:r>
        <w:t xml:space="preserve">CZĘŚĆ II: Najlepsza linia przekazywania</w:t>
      </w:r>
    </w:p>
    <w:bookmarkStart w:id="204" w:name="czym-właściwie-jest-rodzina-35"/>
    <w:p>
      <w:pPr>
        <w:pStyle w:val="Heading2"/>
      </w:pPr>
      <w:r>
        <w:t xml:space="preserve">Czym właściwie jest Rodzina 35?</w:t>
      </w:r>
    </w:p>
    <w:p>
      <w:pPr>
        <w:pStyle w:val="FirstParagraph"/>
      </w:pPr>
      <w:r>
        <w:t xml:space="preserve">Mogę sobie dobrze wyobrazić, że wielu z moich czytelników słyszy o „Rodzinie 35” po raz pierwszy. Termin ten odnosi się do linii przekazu w ramach szerokiego nurtu manuskryptów „bizantyjskich” i to ja nadałem mu tę nazwę. Jak narazie, o ile mi wiadomo, środowisko akademickie całkowicie ignoruje moją pracę, jak zresztą musi, aby być pewnym, ponieważ obnażam fałszywe informacje, które oni rozpowszechniają od pokoleń. Zacznę od odrobiny najnowszej historii.</w:t>
      </w:r>
    </w:p>
    <w:p>
      <w:pPr>
        <w:pStyle w:val="BodyText"/>
      </w:pPr>
      <w:r>
        <w:t xml:space="preserve">Kiedy w 1977 roku wydawnictwo Thomas Nelson Inc. opublikowało moją pierwszą książkę,</w:t>
      </w:r>
      <w:r>
        <w:t xml:space="preserve"> </w:t>
      </w:r>
      <w:r>
        <w:rPr>
          <w:iCs/>
          <w:i/>
        </w:rPr>
        <w:t xml:space="preserve">The Identity of the New Testament Text</w:t>
      </w:r>
      <w:r>
        <w:t xml:space="preserve">, najlepszym drukowanym greckim Nowym Testamentem, jaki był wówczas łatwo dostępny, był</w:t>
      </w:r>
      <w:r>
        <w:t xml:space="preserve"> </w:t>
      </w:r>
      <w:r>
        <w:rPr>
          <w:iCs/>
          <w:i/>
        </w:rPr>
        <w:t xml:space="preserve">Textus Receptus</w:t>
      </w:r>
      <w:r>
        <w:t xml:space="preserve">, czyli Tekst Przyjęty — był to grecki Tekst z czasów reformacji protestanckiej. John William Burgon, dziekan z Chichester, nazwał go „Tekstem Tradycyjnym”. Chociaż Zane C. Hodges i Arthur L. Farstad rozpoczęli prace nad</w:t>
      </w:r>
      <w:r>
        <w:t xml:space="preserve"> </w:t>
      </w:r>
      <w:r>
        <w:rPr>
          <w:iCs/>
          <w:i/>
        </w:rPr>
        <w:t xml:space="preserve">Tekstem Większościowym</w:t>
      </w:r>
      <w:r>
        <w:t xml:space="preserve"> </w:t>
      </w:r>
      <w:r>
        <w:t xml:space="preserve">(Majority Text), opierając się na dorobku Hermanna von Sodena</w:t>
      </w:r>
      <w:r>
        <w:rPr>
          <w:rStyle w:val="FootnoteReference"/>
        </w:rPr>
        <w:footnoteReference w:id="191"/>
      </w:r>
      <w:r>
        <w:t xml:space="preserve">, to został on opublikowany dopiero w 1982 roku. W 1977 roku wykazałem, że teoria krytyczna Westcotta i Horta była fałszywa w każdym punkcie, a dowód ten, na ile mi wiadomo, nie został od tamtej pory nigdy obalony. Jednak jeśli chodzi o zaproponowanie alternatywy, ograniczałem się do ogólników i siedmiu „Uwag o Prawdzie” Burgona</w:t>
      </w:r>
      <w:r>
        <w:rPr>
          <w:rStyle w:val="FootnoteReference"/>
        </w:rPr>
        <w:footnoteReference w:id="192"/>
      </w:r>
      <w:r>
        <w:t xml:space="preserve">. Wydawnictwo Thomas Nelson wydało moją książkę w co najmniej trzech kolejnych nakładach, w tym z pewnymi poprawkami, z których ostatni ukazał się w 1990 roku. Nawet wtedy nie miałem nic lepszego do zaoferowania.</w:t>
      </w:r>
    </w:p>
    <w:p>
      <w:pPr>
        <w:pStyle w:val="BodyText"/>
      </w:pPr>
      <w:r>
        <w:t xml:space="preserve">Jednakże w 1988 roku pomogłem założyć Towarzystwo Tekstu Większościowego (Majority Text Society) wraz z Zane’em Hodgesem, Artem Farstadem i Frankiem Carmichalem, i zostałem jego pierwszym prezesem. W tym czasie zacząłem poważnie zajmować się teorią Tekstu Większościowego, a w ciągu następnej dekady opracowałem coś, czemu miałem przyjemność nadać nazwę „teoria Tekstu Oryginalnego”. Wykorzystałem ją jako punkt wyjścia do mojego obecnego podejścia do krytyki tekstu Nowego Testamentu (które możemy nazwać Teorią priorytetu Rodziny 35). Oto ona:</w:t>
      </w:r>
    </w:p>
    <w:p>
      <w:pPr>
        <w:numPr>
          <w:ilvl w:val="0"/>
          <w:numId w:val="1008"/>
        </w:numPr>
      </w:pPr>
      <w:r>
        <w:t xml:space="preserve">Po pierwsze, teoria tekstu oryginalnego dotyczy identyfikacji dokładnych, oryginalnych sformułowań pism Nowego Testamentu.</w:t>
      </w:r>
      <w:r>
        <w:rPr>
          <w:rStyle w:val="FootnoteReference"/>
        </w:rPr>
        <w:footnoteReference w:id="193"/>
      </w:r>
    </w:p>
    <w:p>
      <w:pPr>
        <w:numPr>
          <w:ilvl w:val="0"/>
          <w:numId w:val="1008"/>
        </w:numPr>
      </w:pPr>
      <w:r>
        <w:t xml:space="preserve">Po drugie, kryteria muszą być biblijne, obiektywne i rozsądne.</w:t>
      </w:r>
      <w:r>
        <w:rPr>
          <w:rStyle w:val="FootnoteReference"/>
        </w:rPr>
        <w:footnoteReference w:id="194"/>
      </w:r>
    </w:p>
    <w:p>
      <w:pPr>
        <w:numPr>
          <w:ilvl w:val="0"/>
          <w:numId w:val="1008"/>
        </w:numPr>
      </w:pPr>
      <w:r>
        <w:t xml:space="preserve">Po trzecie, 90% poświadczenie będzie uznawane za niepodważalne, a 80% niemalże niepodważalne.</w:t>
      </w:r>
      <w:r>
        <w:rPr>
          <w:rStyle w:val="FootnoteReference"/>
        </w:rPr>
        <w:footnoteReference w:id="195"/>
      </w:r>
    </w:p>
    <w:p>
      <w:pPr>
        <w:numPr>
          <w:ilvl w:val="0"/>
          <w:numId w:val="1008"/>
        </w:numPr>
      </w:pPr>
      <w:r>
        <w:t xml:space="preserve">Po czwarte, do gry wejdą „notatki prawdy” Burgona, zwłaszcza tam, gdzie poświadczenie spada poniżej 80%.</w:t>
      </w:r>
      <w:r>
        <w:rPr>
          <w:rStyle w:val="FootnoteReference"/>
        </w:rPr>
        <w:footnoteReference w:id="196"/>
      </w:r>
    </w:p>
    <w:p>
      <w:pPr>
        <w:numPr>
          <w:ilvl w:val="0"/>
          <w:numId w:val="1008"/>
        </w:numPr>
      </w:pPr>
      <w:r>
        <w:t xml:space="preserve">Po piąte, w przypadkach, gdy istnieją zestawienia umożliwiające empiryczne pogrupowanie manuskryptów na podstawie wspólnych mozaik odczytów, trzeba to zrobić. Grupy takie muszą być ocenione pod kątem ich wyników i mieć przypisane współczynniki wiarygodności. Przypuszczalną historię przekazywania Tekstu należy opracować w oparciu o wzajemne powiązania między takimi grupami.</w:t>
      </w:r>
      <w:r>
        <w:t xml:space="preserve"> </w:t>
      </w:r>
      <w:r>
        <w:rPr>
          <w:bCs/>
          <w:b/>
        </w:rPr>
        <w:t xml:space="preserve">Wykazane pogrupowania i relacje zastępują liczenie manuskryptów.</w:t>
      </w:r>
      <w:r>
        <w:rPr>
          <w:rStyle w:val="FootnoteReference"/>
        </w:rPr>
        <w:footnoteReference w:id="197"/>
      </w:r>
    </w:p>
    <w:p>
      <w:pPr>
        <w:numPr>
          <w:ilvl w:val="0"/>
          <w:numId w:val="1008"/>
        </w:numPr>
      </w:pPr>
      <w:r>
        <w:t xml:space="preserve">Po szóste, zakłada ona, że Stwórca istnieje i że przemówił do naszej rasy. Przyjmuje dorozumiany boski zamysł, by zachować Jego objawienie dla użytku kolejnych pokoleń, w tym naszego. Rozumie, że zarówno Bóg, jak i Szatan wykazują nieustanne, aktywne zainteresowanie losami Tekstu Nowego Testamentu – podchodzenie do krytyki tekstowej Nowego Testamentu bez należytego uwzględnienia tego zainteresowania jest działaniem nieodpowiedzialnym.</w:t>
      </w:r>
      <w:r>
        <w:rPr>
          <w:rStyle w:val="FootnoteReference"/>
        </w:rPr>
        <w:footnoteReference w:id="198"/>
      </w:r>
    </w:p>
    <w:p>
      <w:pPr>
        <w:numPr>
          <w:ilvl w:val="0"/>
          <w:numId w:val="1008"/>
        </w:numPr>
      </w:pPr>
      <w:r>
        <w:t xml:space="preserve">Po siódme, kładzie nacisk na to, że należy zawsze uwzględniać i oceniać założenia i motywy.</w:t>
      </w:r>
      <w:r>
        <w:rPr>
          <w:rStyle w:val="FootnoteReference"/>
        </w:rPr>
        <w:footnoteReference w:id="199"/>
      </w:r>
    </w:p>
    <w:p>
      <w:pPr>
        <w:pStyle w:val="FirstParagraph"/>
      </w:pPr>
      <w:r>
        <w:t xml:space="preserve">Używam terminu „punkt pośredni” (ang. steppingstone), ponieważ wciąż myślałem w kategoriach znacznej większości, a wynikało to z tego, że Rodzina 35 nie zwróciła jeszcze mojej uwagi (nadal ograniczałem się do ogólnikow). Jednak piąty z powyższych punktów pokazuje kierunek, w którym zmierzałem. Zwróć szczególną uwagę na ostatnie zdanie, które od samego początku było zapisane pogrubioną czcionką, a zwłaszcza na termin „</w:t>
      </w:r>
      <w:r>
        <w:rPr>
          <w:bCs/>
          <w:b/>
        </w:rPr>
        <w:t xml:space="preserve">wykazane</w:t>
      </w:r>
      <w:r>
        <w:t xml:space="preserve">”.</w:t>
      </w:r>
      <w:r>
        <w:rPr>
          <w:rStyle w:val="FootnoteReference"/>
        </w:rPr>
        <w:footnoteReference w:id="200"/>
      </w:r>
      <w:r>
        <w:t xml:space="preserve"> </w:t>
      </w:r>
      <w:r>
        <w:t xml:space="preserve">Na przykład mój aparat krytyczny do Objawienia Jana przedstawia dowody według dziewięciu grup Hoskiera, a nie w postaci procentowego udziału manuskryptów.</w:t>
      </w:r>
    </w:p>
    <w:p>
      <w:pPr>
        <w:pStyle w:val="BodyText"/>
      </w:pPr>
      <w:r>
        <w:t xml:space="preserve">Niemniej jednak w 2003 roku wydawnictwo Wipf and Stock Publishers opublikowało</w:t>
      </w:r>
      <w:r>
        <w:t xml:space="preserve"> </w:t>
      </w:r>
      <w:r>
        <w:rPr>
          <w:iCs/>
          <w:i/>
        </w:rPr>
        <w:t xml:space="preserve">The Identity of the New Testament Text II</w:t>
      </w:r>
      <w:r>
        <w:t xml:space="preserve"> </w:t>
      </w:r>
      <w:r>
        <w:t xml:space="preserve">jako wznowienie akademickie. Wydanie to zawierało dalsze korekty, lecz nadal wykorzystywało „Notatki prawdy” Burgona, chociaż wprowadziłem Rodzinę 18, którą wkrótce zmieniłem na Rodzinę 35. Do 2002 roku zdałem sobie sprawę z Rodziny 35, jednak rozwijana przeze mnie teoria jej dotycząca była wciąż niepewna i niepełna. Do czasu, gdy Wipf and Stock opublikowało</w:t>
      </w:r>
      <w:r>
        <w:t xml:space="preserve"> </w:t>
      </w:r>
      <w:r>
        <w:rPr>
          <w:iCs/>
          <w:i/>
        </w:rPr>
        <w:t xml:space="preserve">The Identity of the New Testament Text III</w:t>
      </w:r>
      <w:r>
        <w:t xml:space="preserve"> </w:t>
      </w:r>
      <w:r>
        <w:t xml:space="preserve">w 2012 roku, wykonałem już wystarczająco dużo pracy nad tą teorią, aby zastąpić nią „Notatki prawdy” Burgona.</w:t>
      </w:r>
    </w:p>
    <w:p>
      <w:pPr>
        <w:pStyle w:val="BodyText"/>
      </w:pPr>
      <w:r>
        <w:t xml:space="preserve">Moją uwagę zwróciło przedstawienie dowodów dotyczących</w:t>
      </w:r>
      <w:r>
        <w:t xml:space="preserve"> </w:t>
      </w:r>
      <w:r>
        <w:rPr>
          <w:iCs/>
          <w:i/>
        </w:rPr>
        <w:t xml:space="preserve">Pericope Adulterae</w:t>
      </w:r>
      <w:r>
        <w:t xml:space="preserve"> </w:t>
      </w:r>
      <w:r>
        <w:t xml:space="preserve">w Tekście Większościowym Hodgesa-Farstada, oparte na rzekomym skolacjonowaniu przez von Sodena ponad 900 manuskryptów.</w:t>
      </w:r>
      <w:r>
        <w:rPr>
          <w:rStyle w:val="FootnoteReference"/>
        </w:rPr>
        <w:footnoteReference w:id="201"/>
      </w:r>
      <w:r>
        <w:t xml:space="preserve"> </w:t>
      </w:r>
      <w:r>
        <w:t xml:space="preserve">Jak podano w ich aparacie krytycznym, istniały trzy główne nurty:</w:t>
      </w:r>
      <w:r>
        <w:t xml:space="preserve"> </w:t>
      </w:r>
      <w:r>
        <w:rPr>
          <w:bCs/>
          <w:b/>
        </w:rPr>
        <w:t xml:space="preserve">M</w:t>
      </w:r>
      <w:r>
        <w:rPr>
          <w:vertAlign w:val="superscript"/>
          <w:bCs/>
          <w:b/>
        </w:rPr>
        <w:t xml:space="preserve">5</w:t>
      </w:r>
      <w:r>
        <w:t xml:space="preserve">,</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7</w:t>
      </w:r>
      <w:r>
        <w:t xml:space="preserve">.</w:t>
      </w:r>
      <w:r>
        <w:t xml:space="preserve"> </w:t>
      </w:r>
      <w:r>
        <w:rPr>
          <w:bCs/>
          <w:b/>
        </w:rPr>
        <w:t xml:space="preserve">7</w:t>
      </w:r>
      <w:r>
        <w:t xml:space="preserve"> </w:t>
      </w:r>
      <w:r>
        <w:t xml:space="preserve">zawsze stanowił większość (z wyjątkiem jednego przypadku podziału na pięć wariantów, gdzie nie ma większości), ponieważ zawsze towarzyszył mu albo</w:t>
      </w:r>
      <w:r>
        <w:t xml:space="preserve"> </w:t>
      </w:r>
      <w:r>
        <w:rPr>
          <w:bCs/>
          <w:b/>
        </w:rPr>
        <w:t xml:space="preserve">5</w:t>
      </w:r>
      <w:r>
        <w:t xml:space="preserve">, albo</w:t>
      </w:r>
      <w:r>
        <w:t xml:space="preserve"> </w:t>
      </w:r>
      <w:r>
        <w:rPr>
          <w:bCs/>
          <w:b/>
        </w:rPr>
        <w:t xml:space="preserve">6</w:t>
      </w:r>
      <w:r>
        <w:t xml:space="preserve"> </w:t>
      </w:r>
      <w:r>
        <w:t xml:space="preserve">(5 + 6 nigdy nie występują przeciwko 7). Wyglądało mi to na trzy niezależne nurty, z których rzadko więcej niż jeden błądził w danym miejscu. Jako wspólny mianownik</w:t>
      </w:r>
      <w:r>
        <w:t xml:space="preserve"> </w:t>
      </w:r>
      <w:r>
        <w:rPr>
          <w:bCs/>
          <w:b/>
        </w:rPr>
        <w:t xml:space="preserve">7</w:t>
      </w:r>
      <w:r>
        <w:t xml:space="preserve"> </w:t>
      </w:r>
      <w:r>
        <w:t xml:space="preserve">był wyraźnie najlepszym z trzech, a przypuszczalnie także najstarszym.</w:t>
      </w:r>
    </w:p>
    <w:p>
      <w:pPr>
        <w:pStyle w:val="BodyText"/>
      </w:pPr>
      <w:r>
        <w:t xml:space="preserve">Następnie przeszedłem do Objawienia Jana (w H-F) i ponownie zauważyłem trzy główne nurty:</w:t>
      </w:r>
      <w:r>
        <w:t xml:space="preserve"> </w:t>
      </w:r>
      <w:r>
        <w:rPr>
          <w:bCs/>
          <w:b/>
        </w:rPr>
        <w:t xml:space="preserve">M</w:t>
      </w:r>
      <w:r>
        <w:rPr>
          <w:vertAlign w:val="superscript"/>
          <w:bCs/>
          <w:b/>
        </w:rPr>
        <w:t xml:space="preserve">a-b</w:t>
      </w:r>
      <w:r>
        <w:t xml:space="preserve">,</w:t>
      </w:r>
      <w:r>
        <w:t xml:space="preserve"> </w:t>
      </w:r>
      <w:r>
        <w:rPr>
          <w:bCs/>
          <w:b/>
        </w:rPr>
        <w:t xml:space="preserve">M</w:t>
      </w:r>
      <w:r>
        <w:rPr>
          <w:vertAlign w:val="superscript"/>
          <w:bCs/>
          <w:b/>
        </w:rPr>
        <w:t xml:space="preserve">c</w:t>
      </w:r>
      <w:r>
        <w:t xml:space="preserve"> </w:t>
      </w:r>
      <w:r>
        <w:t xml:space="preserve">i</w:t>
      </w:r>
      <w:r>
        <w:t xml:space="preserve"> </w:t>
      </w:r>
      <w:r>
        <w:rPr>
          <w:bCs/>
          <w:b/>
        </w:rPr>
        <w:t xml:space="preserve">M</w:t>
      </w:r>
      <w:r>
        <w:rPr>
          <w:vertAlign w:val="superscript"/>
          <w:bCs/>
          <w:b/>
        </w:rPr>
        <w:t xml:space="preserve">d-e</w:t>
      </w:r>
      <w:r>
        <w:t xml:space="preserve">. Obraz był analogiczny do tego z</w:t>
      </w:r>
      <w:r>
        <w:t xml:space="preserve"> </w:t>
      </w:r>
      <w:r>
        <w:rPr>
          <w:iCs/>
          <w:i/>
        </w:rPr>
        <w:t xml:space="preserve">PA</w:t>
      </w:r>
      <w:r>
        <w:t xml:space="preserve">. Objawienie Jana stanowi znacznie większy korpus niż</w:t>
      </w:r>
      <w:r>
        <w:t xml:space="preserve"> </w:t>
      </w:r>
      <w:r>
        <w:rPr>
          <w:iCs/>
          <w:i/>
        </w:rPr>
        <w:t xml:space="preserve">PA</w:t>
      </w:r>
      <w:r>
        <w:t xml:space="preserve">, ale mimo to istnieje tylko 8 przypadków, w których</w:t>
      </w:r>
      <w:r>
        <w:t xml:space="preserve"> </w:t>
      </w:r>
      <w:r>
        <w:rPr>
          <w:bCs/>
          <w:b/>
        </w:rPr>
        <w:t xml:space="preserve">a-b</w:t>
      </w:r>
      <w:r>
        <w:t xml:space="preserve"> </w:t>
      </w:r>
      <w:r>
        <w:t xml:space="preserve">i</w:t>
      </w:r>
      <w:r>
        <w:t xml:space="preserve"> </w:t>
      </w:r>
      <w:r>
        <w:rPr>
          <w:bCs/>
          <w:b/>
        </w:rPr>
        <w:t xml:space="preserve">d-e</w:t>
      </w:r>
      <w:r>
        <w:t xml:space="preserve"> </w:t>
      </w:r>
      <w:r>
        <w:t xml:space="preserve">łączą się przeciwko</w:t>
      </w:r>
      <w:r>
        <w:t xml:space="preserve"> </w:t>
      </w:r>
      <w:r>
        <w:rPr>
          <w:bCs/>
          <w:b/>
        </w:rPr>
        <w:t xml:space="preserve">c</w:t>
      </w:r>
      <w:r>
        <w:t xml:space="preserve"> </w:t>
      </w:r>
      <w:r>
        <w:t xml:space="preserve">(+ 6 innych, w których jeden z czterech jest podzielony), w porównaniu z ponad 100 przypadkami zarówno</w:t>
      </w:r>
      <w:r>
        <w:t xml:space="preserve"> </w:t>
      </w:r>
      <w:r>
        <w:rPr>
          <w:bCs/>
          <w:b/>
        </w:rPr>
        <w:t xml:space="preserve">a-b</w:t>
      </w:r>
      <w:r>
        <w:t xml:space="preserve"> </w:t>
      </w:r>
      <w:r>
        <w:t xml:space="preserve">i</w:t>
      </w:r>
      <w:r>
        <w:t xml:space="preserve"> </w:t>
      </w:r>
      <w:r>
        <w:rPr>
          <w:bCs/>
          <w:b/>
        </w:rPr>
        <w:t xml:space="preserve">c</w:t>
      </w:r>
      <w:r>
        <w:t xml:space="preserve"> </w:t>
      </w:r>
      <w:r>
        <w:t xml:space="preserve">przeciwko</w:t>
      </w:r>
      <w:r>
        <w:t xml:space="preserve"> </w:t>
      </w:r>
      <w:r>
        <w:rPr>
          <w:bCs/>
          <w:b/>
        </w:rPr>
        <w:t xml:space="preserve">d-e</w:t>
      </w:r>
      <w:r>
        <w:t xml:space="preserve">, jak i</w:t>
      </w:r>
      <w:r>
        <w:t xml:space="preserve"> </w:t>
      </w:r>
      <w:r>
        <w:rPr>
          <w:bCs/>
          <w:b/>
        </w:rPr>
        <w:t xml:space="preserve">c</w:t>
      </w:r>
      <w:r>
        <w:t xml:space="preserve"> </w:t>
      </w:r>
      <w:r>
        <w:t xml:space="preserve">i</w:t>
      </w:r>
      <w:r>
        <w:t xml:space="preserve"> </w:t>
      </w:r>
      <w:r>
        <w:rPr>
          <w:bCs/>
          <w:b/>
        </w:rPr>
        <w:t xml:space="preserve">d-e</w:t>
      </w:r>
      <w:r>
        <w:t xml:space="preserve"> </w:t>
      </w:r>
      <w:r>
        <w:t xml:space="preserve">przeciwko</w:t>
      </w:r>
      <w:r>
        <w:t xml:space="preserve"> </w:t>
      </w:r>
      <w:r>
        <w:rPr>
          <w:bCs/>
          <w:b/>
        </w:rPr>
        <w:t xml:space="preserve">a-b</w:t>
      </w:r>
      <w:r>
        <w:t xml:space="preserve">. Ponownie, jako wspólny mianownik,</w:t>
      </w:r>
      <w:r>
        <w:t xml:space="preserve"> </w:t>
      </w:r>
      <w:r>
        <w:rPr>
          <w:bCs/>
          <w:b/>
        </w:rPr>
        <w:t xml:space="preserve">c</w:t>
      </w:r>
      <w:r>
        <w:t xml:space="preserve"> </w:t>
      </w:r>
      <w:r>
        <w:t xml:space="preserve">był wyraźnie najlepszym z trzech (zob. aparat krytyczny mojego greckiego Tekstu Objawienia Jana).</w:t>
      </w:r>
    </w:p>
    <w:p>
      <w:pPr>
        <w:pStyle w:val="BodyText"/>
      </w:pPr>
      <w:r>
        <w:t xml:space="preserve">Tak się składa, że</w:t>
      </w:r>
      <w:r>
        <w:t xml:space="preserve"> </w:t>
      </w:r>
      <w:r>
        <w:rPr>
          <w:bCs/>
          <w:b/>
        </w:rPr>
        <w:t xml:space="preserve">M</w:t>
      </w:r>
      <w:r>
        <w:rPr>
          <w:vertAlign w:val="superscript"/>
          <w:bCs/>
          <w:b/>
        </w:rPr>
        <w:t xml:space="preserve">7</w:t>
      </w:r>
      <w:r>
        <w:t xml:space="preserve"> </w:t>
      </w:r>
      <w:r>
        <w:t xml:space="preserve">w</w:t>
      </w:r>
      <w:r>
        <w:t xml:space="preserve"> </w:t>
      </w:r>
      <w:r>
        <w:rPr>
          <w:iCs/>
          <w:i/>
        </w:rPr>
        <w:t xml:space="preserve">PA</w:t>
      </w:r>
      <w:r>
        <w:t xml:space="preserve"> </w:t>
      </w:r>
      <w:r>
        <w:t xml:space="preserve">i</w:t>
      </w:r>
      <w:r>
        <w:t xml:space="preserve"> </w:t>
      </w:r>
      <w:r>
        <w:rPr>
          <w:bCs/>
          <w:b/>
        </w:rPr>
        <w:t xml:space="preserve">M</w:t>
      </w:r>
      <w:r>
        <w:rPr>
          <w:vertAlign w:val="superscript"/>
          <w:bCs/>
          <w:b/>
        </w:rPr>
        <w:t xml:space="preserve">c</w:t>
      </w:r>
      <w:r>
        <w:t xml:space="preserve"> </w:t>
      </w:r>
      <w:r>
        <w:t xml:space="preserve">w Objawieniu Jana odpowiadają</w:t>
      </w:r>
      <w:r>
        <w:t xml:space="preserve"> </w:t>
      </w:r>
      <w:r>
        <w:rPr>
          <w:bCs/>
          <w:b/>
        </w:rPr>
        <w:t xml:space="preserve">K</w:t>
      </w:r>
      <w:r>
        <w:rPr>
          <w:vertAlign w:val="superscript"/>
          <w:bCs/>
          <w:b/>
        </w:rPr>
        <w:t xml:space="preserve">r</w:t>
      </w:r>
      <w:r>
        <w:t xml:space="preserve"> </w:t>
      </w:r>
      <w:r>
        <w:t xml:space="preserve">Sodena, więc zacząłem podejrzewać, że coś tu jest nie tak.</w:t>
      </w:r>
      <w:r>
        <w:rPr>
          <w:rStyle w:val="FootnoteReference"/>
        </w:rPr>
        <w:footnoteReference w:id="202"/>
      </w:r>
      <w:r>
        <w:t xml:space="preserve"> </w:t>
      </w:r>
      <w:r>
        <w:t xml:space="preserve">Następnie seria</w:t>
      </w:r>
      <w:r>
        <w:t xml:space="preserve"> </w:t>
      </w:r>
      <w:r>
        <w:rPr>
          <w:iCs/>
          <w:i/>
        </w:rPr>
        <w:t xml:space="preserve">Text und Textwert</w:t>
      </w:r>
      <w:r>
        <w:t xml:space="preserve"> </w:t>
      </w:r>
      <w:r>
        <w:t xml:space="preserve">wykazała,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w:t>
      </w:r>
      <w:r>
        <w:t xml:space="preserve">w całym Nowym Testamencie. Wynika z tego, że</w:t>
      </w:r>
      <w:r>
        <w:t xml:space="preserve"> </w:t>
      </w:r>
      <w:r>
        <w:rPr>
          <w:bCs/>
          <w:b/>
        </w:rPr>
        <w:t xml:space="preserve">K</w:t>
      </w:r>
      <w:r>
        <w:rPr>
          <w:vertAlign w:val="superscript"/>
          <w:bCs/>
          <w:b/>
        </w:rPr>
        <w:t xml:space="preserve">r</w:t>
      </w:r>
      <w:r>
        <w:t xml:space="preserve"> </w:t>
      </w:r>
      <w:r>
        <w:rPr>
          <w:bCs/>
          <w:b/>
        </w:rPr>
        <w:t xml:space="preserve">nie może</w:t>
      </w:r>
      <w:r>
        <w:t xml:space="preserve"> </w:t>
      </w:r>
      <w:r>
        <w:t xml:space="preserve">być rewizją</w:t>
      </w:r>
      <w:r>
        <w:t xml:space="preserve"> </w:t>
      </w:r>
      <w:r>
        <w:rPr>
          <w:bCs/>
          <w:b/>
        </w:rPr>
        <w:t xml:space="preserve">K</w:t>
      </w:r>
      <w:r>
        <w:rPr>
          <w:vertAlign w:val="superscript"/>
          <w:bCs/>
          <w:b/>
        </w:rPr>
        <w:t xml:space="preserve">x</w:t>
      </w:r>
      <w:r>
        <w:t xml:space="preserve">. Istnieją również setki miejsc, w których</w:t>
      </w:r>
      <w:r>
        <w:t xml:space="preserve"> </w:t>
      </w:r>
      <w:r>
        <w:rPr>
          <w:bCs/>
          <w:b/>
        </w:rPr>
        <w:t xml:space="preserve">K</w:t>
      </w:r>
      <w:r>
        <w:rPr>
          <w:vertAlign w:val="superscript"/>
          <w:bCs/>
          <w:b/>
        </w:rPr>
        <w:t xml:space="preserve">r</w:t>
      </w:r>
      <w:r>
        <w:t xml:space="preserve"> </w:t>
      </w:r>
      <w:r>
        <w:t xml:space="preserve">ma wyraźne wczesne poświadczenie przeciwko</w:t>
      </w:r>
      <w:r>
        <w:t xml:space="preserve"> </w:t>
      </w:r>
      <w:r>
        <w:rPr>
          <w:bCs/>
          <w:b/>
        </w:rPr>
        <w:t xml:space="preserve">K</w:t>
      </w:r>
      <w:r>
        <w:rPr>
          <w:vertAlign w:val="superscript"/>
          <w:bCs/>
          <w:b/>
        </w:rPr>
        <w:t xml:space="preserve">x</w:t>
      </w:r>
      <w:r>
        <w:t xml:space="preserve">, lecz nie ma żadnego wzorca do tego wczesnego poświadczenia. Skoro nie ma żadnego wzorca,</w:t>
      </w:r>
      <w:r>
        <w:t xml:space="preserve"> </w:t>
      </w:r>
      <w:r>
        <w:rPr>
          <w:bCs/>
          <w:b/>
        </w:rPr>
        <w:t xml:space="preserve">K</w:t>
      </w:r>
      <w:r>
        <w:rPr>
          <w:vertAlign w:val="superscript"/>
          <w:bCs/>
          <w:b/>
        </w:rPr>
        <w:t xml:space="preserve">r</w:t>
      </w:r>
      <w:r>
        <w:t xml:space="preserve"> </w:t>
      </w:r>
      <w:r>
        <w:t xml:space="preserve">musi być wczesny, jak już sugerował obraz wyłaniający się z</w:t>
      </w:r>
      <w:r>
        <w:t xml:space="preserve"> </w:t>
      </w:r>
      <w:r>
        <w:rPr>
          <w:iCs/>
          <w:i/>
        </w:rPr>
        <w:t xml:space="preserve">PA</w:t>
      </w:r>
      <w:r>
        <w:t xml:space="preserve"> </w:t>
      </w:r>
      <w:r>
        <w:t xml:space="preserve">i Objawienia Jana.</w:t>
      </w:r>
      <w:r>
        <w:t xml:space="preserve"> </w:t>
      </w:r>
      <w:r>
        <w:rPr>
          <w:bCs/>
          <w:b/>
        </w:rPr>
        <w:t xml:space="preserve">Jeśli K</w:t>
      </w:r>
      <w:r>
        <w:rPr>
          <w:vertAlign w:val="superscript"/>
          <w:bCs/>
          <w:b/>
        </w:rPr>
        <w:t xml:space="preserve">r</w:t>
      </w:r>
      <w:r>
        <w:rPr>
          <w:bCs/>
          <w:b/>
        </w:rPr>
        <w:t xml:space="preserve"> </w:t>
      </w:r>
      <w:r>
        <w:rPr>
          <w:bCs/>
          <w:b/>
        </w:rPr>
        <w:t xml:space="preserve">jest wczesny i niezależny, to musi zostać zrehabilitowany w praktyce krytyki tekstu Nowego Testamentu. Jeśli jest najlepszą linią przekazu w</w:t>
      </w:r>
      <w:r>
        <w:rPr>
          <w:bCs/>
          <w:b/>
        </w:rPr>
        <w:t xml:space="preserve"> </w:t>
      </w:r>
      <w:r>
        <w:rPr>
          <w:iCs/>
          <w:i/>
          <w:bCs/>
          <w:b/>
        </w:rPr>
        <w:t xml:space="preserve">PA</w:t>
      </w:r>
      <w:r>
        <w:rPr>
          <w:bCs/>
          <w:b/>
        </w:rPr>
        <w:t xml:space="preserve"> </w:t>
      </w:r>
      <w:r>
        <w:rPr>
          <w:bCs/>
          <w:b/>
        </w:rPr>
        <w:t xml:space="preserve">i Objawieniu Jana, to równie dobrze może być najlepszą także gdzie indziej.</w:t>
      </w:r>
    </w:p>
    <w:p>
      <w:pPr>
        <w:pStyle w:val="BodyText"/>
      </w:pPr>
      <w:r>
        <w:t xml:space="preserve">Istnieje jednak głęboko zakorzeniona pogarda/antypatia wobec symbolu</w:t>
      </w:r>
      <w:r>
        <w:t xml:space="preserve"> </w:t>
      </w:r>
      <w:r>
        <w:rPr>
          <w:bCs/>
          <w:b/>
        </w:rPr>
        <w:t xml:space="preserve">K</w:t>
      </w:r>
      <w:r>
        <w:rPr>
          <w:vertAlign w:val="superscript"/>
          <w:bCs/>
          <w:b/>
        </w:rPr>
        <w:t xml:space="preserve">r</w:t>
      </w:r>
      <w:r>
        <w:t xml:space="preserve">,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 Minuskuł 35 zawiera cały Nowy Testament i wszędzie odzwierciedla</w:t>
      </w:r>
      <w:r>
        <w:t xml:space="preserve"> </w:t>
      </w:r>
      <w:r>
        <w:rPr>
          <w:bCs/>
          <w:b/>
        </w:rPr>
        <w:t xml:space="preserve">K</w:t>
      </w:r>
      <w:r>
        <w:rPr>
          <w:vertAlign w:val="superscript"/>
          <w:bCs/>
          <w:b/>
        </w:rPr>
        <w:t xml:space="preserve">r</w:t>
      </w:r>
      <w:r>
        <w:t xml:space="preserve">, a zarazem jest manuskryptem o najniższym numerze, który spełnia te kryteria</w:t>
      </w:r>
      <w:r>
        <w:rPr>
          <w:rStyle w:val="FootnoteReference"/>
        </w:rPr>
        <w:footnoteReference w:id="203"/>
      </w:r>
      <w:r>
        <w:t xml:space="preserve"> </w:t>
      </w:r>
      <w:r>
        <w:t xml:space="preserve">(podobnie jak rękopisy kursywne 1 i 13 mają najniższe numery w swoich rodzinach, i podobnie jak one, 35 nie zawsze jest najlepszym przedstawicielem [choć na ogół jest znakomity] — pochodzi jednak z XI wieku [i jest kopią starszego egzemplarza, a nie nowym tworem], więc ten typ tekstu nie mógł zostać stworzony w XII wieku, Q.E.D. — jest to skrót łacińskiego</w:t>
      </w:r>
      <w:r>
        <w:t xml:space="preserve"> </w:t>
      </w:r>
      <w:r>
        <w:rPr>
          <w:iCs/>
          <w:i/>
        </w:rPr>
        <w:t xml:space="preserve">quod erat demonstrandum</w:t>
      </w:r>
      <w:r>
        <w:t xml:space="preserve">, „to, co należało udowodnić, zostało udowodnione”).</w:t>
      </w:r>
    </w:p>
    <w:p>
      <w:pPr>
        <w:pStyle w:val="BodyText"/>
      </w:pPr>
      <w:r>
        <w:t xml:space="preserve">Rodzina 35 stanowi około 16% ogółu zachowanych (znanych) greckich manuskryptów, lecz niemal nigdy nie występuje całkowicie sama. Jednak lista pozostałych manuskryptów niemal nigdy nie jest taka sama, i to w całym Nowym Testamencie. Czy nie wskazuje to, że</w:t>
      </w:r>
      <w:r>
        <w:t xml:space="preserve"> </w:t>
      </w:r>
      <w:r>
        <w:rPr>
          <w:bCs/>
          <w:b/>
        </w:rPr>
        <w:t xml:space="preserve">f</w:t>
      </w:r>
      <w:r>
        <w:rPr>
          <w:vertAlign w:val="superscript"/>
          <w:bCs/>
          <w:b/>
        </w:rPr>
        <w:t xml:space="preserve">35</w:t>
      </w:r>
      <w:r>
        <w:t xml:space="preserve"> </w:t>
      </w:r>
      <w:r>
        <w:t xml:space="preserve">jest wspólnym mianownikiem? Ponieważ lista pozostałych manuskryptów niemal nigdy nie jest taka sama, można wyodrębnić manuskrypty reprezentujące</w:t>
      </w:r>
      <w:r>
        <w:t xml:space="preserve"> </w:t>
      </w:r>
      <w:r>
        <w:rPr>
          <w:bCs/>
          <w:b/>
        </w:rPr>
        <w:t xml:space="preserve">f</w:t>
      </w:r>
      <w:r>
        <w:rPr>
          <w:vertAlign w:val="superscript"/>
          <w:bCs/>
          <w:b/>
        </w:rPr>
        <w:t xml:space="preserve">35</w:t>
      </w:r>
      <w:r>
        <w:t xml:space="preserve">. Jak stwierdziłem na końcu Części I, Tekst Oryginalny jest ostatecznym archetypem, więc każdy kandydat również musi być archetypem — rzeczywistym, autentycznym, obiektywnie weryfikowalnym archetypem, jak dotąd zidentyfikowano tylko jeden taki archetyp — Rodzinę 35. Większość słów w Nowym Testamencie ma niemal 100% poświadczenie (z zachowanych greckich manuskryptach), lecz tam, gdzie występują różnice, to mozaika lub profil wspólnych odczytów, definiuje rodzinę lub linię przekazu. Przedstawiam teraz profil definiujący Rodzinę 35.</w:t>
      </w:r>
    </w:p>
    <w:bookmarkEnd w:id="204"/>
    <w:bookmarkStart w:id="207" w:name="X2ce4f72614a37f3fef02ca3acede1fe5baf6763"/>
    <w:p>
      <w:pPr>
        <w:pStyle w:val="Heading2"/>
      </w:pPr>
      <w:r>
        <w:t xml:space="preserve">Profil Rodziny 35 dla całego Nowego Testamentu</w:t>
      </w:r>
      <w:r>
        <w:rPr>
          <w:rStyle w:val="FootnoteReference"/>
        </w:rPr>
        <w:footnoteReference w:id="205"/>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w:t>
            </w:r>
          </w:p>
        </w:tc>
      </w:tr>
      <w:tr>
        <w:tc>
          <w:tcPr/>
          <w:p>
            <w:pPr>
              <w:pStyle w:val="Compact"/>
              <w:jc w:val="left"/>
            </w:pPr>
            <w:r>
              <w:t xml:space="preserve">++--</w:t>
            </w:r>
          </w:p>
        </w:tc>
        <w:tc>
          <w:tcPr/>
          <w:p>
            <w:pPr>
              <w:pStyle w:val="Compact"/>
              <w:jc w:val="left"/>
            </w:pPr>
            <w:r>
              <w:t xml:space="preserve">około 25% = całkiem dobre</w:t>
            </w:r>
          </w:p>
        </w:tc>
      </w:tr>
      <w:tr>
        <w:tc>
          <w:tcPr/>
          <w:p>
            <w:pPr>
              <w:pStyle w:val="Compact"/>
              <w:jc w:val="left"/>
            </w:pPr>
            <w:r>
              <w:t xml:space="preserve">++</w:t>
            </w:r>
          </w:p>
        </w:tc>
        <w:tc>
          <w:tcPr/>
          <w:p>
            <w:pPr>
              <w:pStyle w:val="Compact"/>
              <w:jc w:val="left"/>
            </w:pPr>
            <w:r>
              <w:t xml:space="preserve">około 30% = niezłe</w:t>
            </w:r>
          </w:p>
        </w:tc>
      </w:tr>
      <w:tr>
        <w:tc>
          <w:tcPr/>
          <w:p>
            <w:pPr>
              <w:pStyle w:val="Compact"/>
              <w:jc w:val="left"/>
            </w:pPr>
            <w:r>
              <w:t xml:space="preserve">+--</w:t>
            </w:r>
          </w:p>
        </w:tc>
        <w:tc>
          <w:tcPr/>
          <w:p>
            <w:pPr>
              <w:pStyle w:val="Compact"/>
              <w:jc w:val="left"/>
            </w:pPr>
            <w:r>
              <w:t xml:space="preserve">około 35%</w:t>
            </w:r>
          </w:p>
        </w:tc>
      </w:tr>
      <w:tr>
        <w:tc>
          <w:tcPr/>
          <w:p>
            <w:pPr>
              <w:pStyle w:val="Compact"/>
              <w:jc w:val="left"/>
            </w:pPr>
            <w:r>
              <w:t xml:space="preserve">+</w:t>
            </w:r>
          </w:p>
        </w:tc>
        <w:tc>
          <w:tcPr/>
          <w:p>
            <w:pPr>
              <w:pStyle w:val="Compact"/>
              <w:jc w:val="left"/>
            </w:pPr>
            <w:r>
              <w:t xml:space="preserve">około 40%</w:t>
            </w:r>
          </w:p>
        </w:tc>
      </w:tr>
    </w:tbl>
    <w:p>
      <w:pPr>
        <w:pStyle w:val="BodyText"/>
      </w:pPr>
      <w:r>
        <w:t xml:space="preserve">Arbitralnie ustaliłem punkt odcięcia na 40% (ogółu zachowanych manuskryptów), co jest wystarczające dla mojego obecnego celu, ale oczywiście wyższe wartości procentowe również mogą wnosić wkład w mozaikę/profil rodziny. (Gdybym uwzględnił 45% i 50%, liczby wyraźnie by wzrosły, zwłaszcza w przypadku niektórych ksiąg. W niektórych listach Pawła pozostałe linie przekazu w obrębie bizantyjskiej większości nie odbiegały zbytnio od normy Rodziny 35). Tam, gdzie wartości procentowe nie sumują się do 100%, występują dalsze warianty, zainteresowany czytelnik może je odnaleźć w aparacie krytycznym mojego greckiego Tekstu. Odczyt Rodziny 35 podany jest jako pierwszy.</w:t>
      </w:r>
    </w:p>
    <w:p>
      <w:pPr>
        <w:pStyle w:val="BodyText"/>
      </w:pPr>
      <w:r>
        <w:rPr>
          <w:bCs/>
          <w:b/>
        </w:rPr>
        <w:t xml:space="preserve">Ewangelia Mateusza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1:10</w:t>
            </w:r>
          </w:p>
        </w:tc>
        <w:tc>
          <w:tcPr/>
          <w:p>
            <w:pPr>
              <w:pStyle w:val="Compact"/>
              <w:jc w:val="left"/>
            </w:pPr>
            <w:r>
              <w:t xml:space="preserve">μανασσην [25%] || μανασση [73%]</w:t>
            </w:r>
          </w:p>
        </w:tc>
      </w:tr>
      <w:tr>
        <w:tc>
          <w:tcPr/>
          <w:p>
            <w:pPr>
              <w:pStyle w:val="Compact"/>
              <w:jc w:val="left"/>
            </w:pPr>
            <w:r>
              <w:t xml:space="preserve">++</w:t>
            </w:r>
          </w:p>
        </w:tc>
        <w:tc>
          <w:tcPr/>
          <w:p>
            <w:pPr>
              <w:pStyle w:val="Compact"/>
              <w:jc w:val="left"/>
            </w:pPr>
            <w:r>
              <w:t xml:space="preserve">5:31</w:t>
            </w:r>
          </w:p>
        </w:tc>
        <w:tc>
          <w:tcPr/>
          <w:p>
            <w:pPr>
              <w:pStyle w:val="Compact"/>
              <w:jc w:val="left"/>
            </w:pPr>
            <w:r>
              <w:t xml:space="preserve">ερρεθη [30%] || 1 δε [70%]</w:t>
            </w:r>
          </w:p>
        </w:tc>
      </w:tr>
      <w:tr>
        <w:tc>
          <w:tcPr/>
          <w:p>
            <w:pPr>
              <w:pStyle w:val="Compact"/>
              <w:jc w:val="left"/>
            </w:pPr>
            <w:r>
              <w:t xml:space="preserve">++</w:t>
            </w:r>
          </w:p>
        </w:tc>
        <w:tc>
          <w:tcPr/>
          <w:p>
            <w:pPr>
              <w:pStyle w:val="Compact"/>
              <w:jc w:val="left"/>
            </w:pPr>
            <w:r>
              <w:t xml:space="preserve">6:6</w:t>
            </w:r>
          </w:p>
        </w:tc>
        <w:tc>
          <w:tcPr/>
          <w:p>
            <w:pPr>
              <w:pStyle w:val="Compact"/>
              <w:jc w:val="left"/>
            </w:pPr>
            <w:r>
              <w:t xml:space="preserve">ταμειον [30%] || ταμιειον [70%]</w:t>
            </w:r>
          </w:p>
        </w:tc>
      </w:tr>
      <w:tr>
        <w:tc>
          <w:tcPr/>
          <w:p>
            <w:pPr>
              <w:pStyle w:val="Compact"/>
              <w:jc w:val="left"/>
            </w:pPr>
            <w:r>
              <w:t xml:space="preserve">+++</w:t>
            </w:r>
          </w:p>
        </w:tc>
        <w:tc>
          <w:tcPr/>
          <w:p>
            <w:pPr>
              <w:pStyle w:val="Compact"/>
              <w:jc w:val="left"/>
            </w:pPr>
            <w:r>
              <w:t xml:space="preserve">6:25</w:t>
            </w:r>
            <w:r>
              <w:rPr>
                <w:vertAlign w:val="superscript"/>
              </w:rPr>
              <w:t xml:space="preserve">a</w:t>
            </w:r>
          </w:p>
        </w:tc>
        <w:tc>
          <w:tcPr/>
          <w:p>
            <w:pPr>
              <w:pStyle w:val="Compact"/>
              <w:jc w:val="left"/>
            </w:pPr>
            <w:r>
              <w:t xml:space="preserve">ενδυσεσθε [20%] || ενδυσησθε [80%]</w:t>
            </w:r>
          </w:p>
        </w:tc>
      </w:tr>
      <w:tr>
        <w:tc>
          <w:tcPr/>
          <w:p>
            <w:pPr>
              <w:pStyle w:val="Compact"/>
              <w:jc w:val="left"/>
            </w:pPr>
            <w:r>
              <w:t xml:space="preserve">+++</w:t>
            </w:r>
          </w:p>
        </w:tc>
        <w:tc>
          <w:tcPr/>
          <w:p>
            <w:pPr>
              <w:pStyle w:val="Compact"/>
              <w:jc w:val="left"/>
            </w:pPr>
            <w:r>
              <w:t xml:space="preserve">6:25</w:t>
            </w:r>
            <w:r>
              <w:rPr>
                <w:vertAlign w:val="superscript"/>
              </w:rPr>
              <w:t xml:space="preserve">b</w:t>
            </w:r>
          </w:p>
        </w:tc>
        <w:tc>
          <w:tcPr/>
          <w:p>
            <w:pPr>
              <w:pStyle w:val="Compact"/>
              <w:jc w:val="left"/>
            </w:pPr>
            <w:r>
              <w:t xml:space="preserve">πλειων [20%] || πλειον [80%]</w:t>
            </w:r>
          </w:p>
        </w:tc>
      </w:tr>
      <w:tr>
        <w:tc>
          <w:tcPr/>
          <w:p>
            <w:pPr>
              <w:pStyle w:val="Compact"/>
              <w:jc w:val="left"/>
            </w:pPr>
            <w:r>
              <w:t xml:space="preserve">++--</w:t>
            </w:r>
          </w:p>
        </w:tc>
        <w:tc>
          <w:tcPr/>
          <w:p>
            <w:pPr>
              <w:pStyle w:val="Compact"/>
              <w:jc w:val="left"/>
            </w:pPr>
            <w:r>
              <w:t xml:space="preserve">7:19</w:t>
            </w:r>
          </w:p>
        </w:tc>
        <w:tc>
          <w:tcPr/>
          <w:p>
            <w:pPr>
              <w:pStyle w:val="Compact"/>
              <w:jc w:val="left"/>
            </w:pPr>
            <w:r>
              <w:t xml:space="preserve">ουν [25%] || --- [75%]</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εκατονταρχω [30%] || εκατονταρχη [70%]</w:t>
            </w:r>
          </w:p>
        </w:tc>
      </w:tr>
      <w:tr>
        <w:tc>
          <w:tcPr/>
          <w:p>
            <w:pPr>
              <w:pStyle w:val="Compact"/>
              <w:jc w:val="left"/>
            </w:pPr>
            <w:r>
              <w:t xml:space="preserve">+++</w:t>
            </w:r>
          </w:p>
        </w:tc>
        <w:tc>
          <w:tcPr/>
          <w:p>
            <w:pPr>
              <w:pStyle w:val="Compact"/>
              <w:jc w:val="left"/>
            </w:pPr>
            <w:r>
              <w:t xml:space="preserve">8:20</w:t>
            </w:r>
          </w:p>
        </w:tc>
        <w:tc>
          <w:tcPr/>
          <w:p>
            <w:pPr>
              <w:pStyle w:val="Compact"/>
              <w:jc w:val="left"/>
            </w:pPr>
            <w:r>
              <w:t xml:space="preserve">λεγει [20%] || και 1 [80%]</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μαθητων [20%] || 1 αυτου [80%]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ειδως (33.3%) || ιδων (65.7%)</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και πινει [30%] || --- [70%]</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χρονον [20%] || --- [80%]</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τις [30%] || εις [62%]</w:t>
            </w:r>
          </w:p>
        </w:tc>
      </w:tr>
      <w:tr>
        <w:tc>
          <w:tcPr/>
          <w:p>
            <w:pPr>
              <w:pStyle w:val="Compact"/>
              <w:jc w:val="left"/>
            </w:pPr>
            <w:r>
              <w:t xml:space="preserve">+++</w:t>
            </w:r>
          </w:p>
        </w:tc>
        <w:tc>
          <w:tcPr/>
          <w:p>
            <w:pPr>
              <w:pStyle w:val="Compact"/>
              <w:jc w:val="left"/>
            </w:pPr>
            <w:r>
              <w:t xml:space="preserve">9:28</w:t>
            </w:r>
          </w:p>
        </w:tc>
        <w:tc>
          <w:tcPr/>
          <w:p>
            <w:pPr>
              <w:pStyle w:val="Compact"/>
              <w:jc w:val="left"/>
            </w:pPr>
            <w:r>
              <w:t xml:space="preserve">αυτοις [20%] || 1 ο ιησους [80%]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10:2</w:t>
            </w:r>
          </w:p>
        </w:tc>
        <w:tc>
          <w:tcPr/>
          <w:p>
            <w:pPr>
              <w:pStyle w:val="Compact"/>
              <w:jc w:val="left"/>
            </w:pPr>
            <w:r>
              <w:t xml:space="preserve">εισιν [30%] || εστιν [70%]</w:t>
            </w:r>
          </w:p>
        </w:tc>
      </w:tr>
      <w:tr>
        <w:tc>
          <w:tcPr/>
          <w:p>
            <w:pPr>
              <w:pStyle w:val="Compact"/>
              <w:jc w:val="left"/>
            </w:pPr>
            <w:r>
              <w:t xml:space="preserve">++</w:t>
            </w:r>
          </w:p>
        </w:tc>
        <w:tc>
          <w:tcPr/>
          <w:p>
            <w:pPr>
              <w:pStyle w:val="Compact"/>
              <w:jc w:val="left"/>
            </w:pPr>
            <w:r>
              <w:t xml:space="preserve">10:19</w:t>
            </w:r>
          </w:p>
        </w:tc>
        <w:tc>
          <w:tcPr/>
          <w:p>
            <w:pPr>
              <w:pStyle w:val="Compact"/>
              <w:jc w:val="left"/>
            </w:pPr>
            <w:r>
              <w:t xml:space="preserve">λαλησετε (1</w:t>
            </w:r>
            <w:r>
              <w:rPr>
                <w:vertAlign w:val="superscript"/>
              </w:rPr>
              <w:t xml:space="preserve">st</w:t>
            </w:r>
            <w:r>
              <w:t xml:space="preserve">) [30%] || λαλησητε [70%]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απεκαλεσαν [30%] || εκαλεσαν [49%] || επεκαλεσαν [20%]</w:t>
            </w:r>
          </w:p>
        </w:tc>
      </w:tr>
      <w:tr>
        <w:tc>
          <w:tcPr/>
          <w:p>
            <w:pPr>
              <w:pStyle w:val="Compact"/>
              <w:jc w:val="left"/>
            </w:pPr>
            <w:r>
              <w:t xml:space="preserve">+++</w:t>
            </w:r>
          </w:p>
        </w:tc>
        <w:tc>
          <w:tcPr/>
          <w:p>
            <w:pPr>
              <w:pStyle w:val="Compact"/>
              <w:jc w:val="left"/>
            </w:pPr>
            <w:r>
              <w:t xml:space="preserve">10:31</w:t>
            </w:r>
          </w:p>
        </w:tc>
        <w:tc>
          <w:tcPr/>
          <w:p>
            <w:pPr>
              <w:pStyle w:val="Compact"/>
              <w:jc w:val="left"/>
            </w:pPr>
            <w:r>
              <w:t xml:space="preserve">πολλω [20%] || πολλων [80%]</w:t>
            </w:r>
          </w:p>
        </w:tc>
      </w:tr>
      <w:tr>
        <w:tc>
          <w:tcPr/>
          <w:p>
            <w:pPr>
              <w:pStyle w:val="Compact"/>
              <w:jc w:val="left"/>
            </w:pPr>
            <w:r>
              <w:t xml:space="preserve">+--</w:t>
            </w:r>
          </w:p>
        </w:tc>
        <w:tc>
          <w:tcPr/>
          <w:p>
            <w:pPr>
              <w:pStyle w:val="Compact"/>
              <w:jc w:val="left"/>
            </w:pPr>
            <w:r>
              <w:t xml:space="preserve">11:20</w:t>
            </w:r>
          </w:p>
        </w:tc>
        <w:tc>
          <w:tcPr/>
          <w:p>
            <w:pPr>
              <w:pStyle w:val="Compact"/>
              <w:jc w:val="left"/>
            </w:pPr>
            <w:r>
              <w:t xml:space="preserve">ο ιησους [35%] || --- [65%]</w:t>
            </w:r>
          </w:p>
        </w:tc>
      </w:tr>
      <w:tr>
        <w:tc>
          <w:tcPr/>
          <w:p>
            <w:pPr>
              <w:pStyle w:val="Compact"/>
              <w:jc w:val="left"/>
            </w:pPr>
            <w:r>
              <w:t xml:space="preserve">+++</w:t>
            </w:r>
          </w:p>
        </w:tc>
        <w:tc>
          <w:tcPr/>
          <w:p>
            <w:pPr>
              <w:pStyle w:val="Compact"/>
              <w:jc w:val="left"/>
            </w:pPr>
            <w:r>
              <w:t xml:space="preserve">11:21</w:t>
            </w:r>
          </w:p>
        </w:tc>
        <w:tc>
          <w:tcPr/>
          <w:p>
            <w:pPr>
              <w:pStyle w:val="Compact"/>
              <w:jc w:val="left"/>
            </w:pPr>
            <w:r>
              <w:t xml:space="preserve">χωραζιν [20%] || χοραζιν [65%]</w:t>
            </w:r>
          </w:p>
        </w:tc>
      </w:tr>
      <w:tr>
        <w:tc>
          <w:tcPr/>
          <w:p>
            <w:pPr>
              <w:pStyle w:val="Compact"/>
              <w:jc w:val="left"/>
            </w:pPr>
            <w:r>
              <w:t xml:space="preserve">+--</w:t>
            </w:r>
          </w:p>
        </w:tc>
        <w:tc>
          <w:tcPr/>
          <w:p>
            <w:pPr>
              <w:pStyle w:val="Compact"/>
              <w:jc w:val="left"/>
            </w:pPr>
            <w:r>
              <w:t xml:space="preserve">11:23</w:t>
            </w:r>
            <w:r>
              <w:rPr>
                <w:vertAlign w:val="superscript"/>
              </w:rPr>
              <w:t xml:space="preserve">a</w:t>
            </w:r>
          </w:p>
        </w:tc>
        <w:tc>
          <w:tcPr/>
          <w:p>
            <w:pPr>
              <w:pStyle w:val="Compact"/>
              <w:jc w:val="left"/>
            </w:pPr>
            <w:r>
              <w:t xml:space="preserve">ἣ [35%] || ἡ [64%]</w:t>
            </w:r>
          </w:p>
        </w:tc>
      </w:tr>
      <w:tr>
        <w:tc>
          <w:tcPr/>
          <w:p>
            <w:pPr>
              <w:pStyle w:val="Compact"/>
              <w:jc w:val="left"/>
            </w:pPr>
            <w:r>
              <w:t xml:space="preserve">+--</w:t>
            </w:r>
          </w:p>
        </w:tc>
        <w:tc>
          <w:tcPr/>
          <w:p>
            <w:pPr>
              <w:pStyle w:val="Compact"/>
              <w:jc w:val="left"/>
            </w:pPr>
            <w:r>
              <w:t xml:space="preserve">11:23</w:t>
            </w:r>
            <w:r>
              <w:rPr>
                <w:vertAlign w:val="superscript"/>
              </w:rPr>
              <w:t xml:space="preserve">b</w:t>
            </w:r>
          </w:p>
        </w:tc>
        <w:tc>
          <w:tcPr/>
          <w:p>
            <w:pPr>
              <w:pStyle w:val="Compact"/>
              <w:jc w:val="left"/>
            </w:pPr>
            <w:r>
              <w:t xml:space="preserve">υψωθης [35%] || υψωθεισα [63%]</w:t>
            </w:r>
          </w:p>
        </w:tc>
      </w:tr>
      <w:tr>
        <w:tc>
          <w:tcPr/>
          <w:p>
            <w:pPr>
              <w:pStyle w:val="Compact"/>
              <w:jc w:val="left"/>
            </w:pPr>
            <w:r>
              <w:t xml:space="preserve">+++</w:t>
            </w:r>
          </w:p>
        </w:tc>
        <w:tc>
          <w:tcPr/>
          <w:p>
            <w:pPr>
              <w:pStyle w:val="Compact"/>
              <w:jc w:val="left"/>
            </w:pPr>
            <w:r>
              <w:t xml:space="preserve">12:15</w:t>
            </w:r>
          </w:p>
        </w:tc>
        <w:tc>
          <w:tcPr/>
          <w:p>
            <w:pPr>
              <w:pStyle w:val="Compact"/>
              <w:jc w:val="left"/>
            </w:pPr>
            <w:r>
              <w:t xml:space="preserve">απαντας [20%] || παντας [80%]</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κωφον [25%] || 1 και [75%]</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ο χριστος [20%] || --- [80%]</w:t>
            </w:r>
          </w:p>
        </w:tc>
      </w:tr>
      <w:tr>
        <w:tc>
          <w:tcPr/>
          <w:p>
            <w:pPr>
              <w:pStyle w:val="Compact"/>
              <w:jc w:val="left"/>
            </w:pPr>
            <w:r>
              <w:t xml:space="preserve">++--</w:t>
            </w:r>
          </w:p>
        </w:tc>
        <w:tc>
          <w:tcPr/>
          <w:p>
            <w:pPr>
              <w:pStyle w:val="Compact"/>
              <w:jc w:val="left"/>
            </w:pPr>
            <w:r>
              <w:t xml:space="preserve">12:24</w:t>
            </w:r>
          </w:p>
        </w:tc>
        <w:tc>
          <w:tcPr/>
          <w:p>
            <w:pPr>
              <w:pStyle w:val="Compact"/>
              <w:jc w:val="left"/>
            </w:pPr>
            <w:r>
              <w:t xml:space="preserve">εν [25%] || 1 τω [75%]</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εγω εν πνευματι θεου [28%] || ~ 2341 [70%]</w:t>
            </w:r>
          </w:p>
        </w:tc>
      </w:tr>
      <w:tr>
        <w:tc>
          <w:tcPr/>
          <w:p>
            <w:pPr>
              <w:pStyle w:val="Compact"/>
              <w:jc w:val="left"/>
            </w:pPr>
            <w:r>
              <w:t xml:space="preserve">+</w:t>
            </w:r>
          </w:p>
        </w:tc>
        <w:tc>
          <w:tcPr/>
          <w:p>
            <w:pPr>
              <w:pStyle w:val="Compact"/>
              <w:jc w:val="left"/>
            </w:pPr>
            <w:r>
              <w:t xml:space="preserve">12:29</w:t>
            </w:r>
          </w:p>
        </w:tc>
        <w:tc>
          <w:tcPr/>
          <w:p>
            <w:pPr>
              <w:pStyle w:val="Compact"/>
              <w:jc w:val="left"/>
            </w:pPr>
            <w:r>
              <w:t xml:space="preserve">διαρπαση [40%] || διαρπασει [60%]</w:t>
            </w:r>
          </w:p>
        </w:tc>
      </w:tr>
      <w:tr>
        <w:tc>
          <w:tcPr/>
          <w:p>
            <w:pPr>
              <w:pStyle w:val="Compact"/>
              <w:jc w:val="left"/>
            </w:pPr>
            <w:r>
              <w:t xml:space="preserve">++</w:t>
            </w:r>
          </w:p>
        </w:tc>
        <w:tc>
          <w:tcPr/>
          <w:p>
            <w:pPr>
              <w:pStyle w:val="Compact"/>
              <w:jc w:val="left"/>
            </w:pPr>
            <w:r>
              <w:t xml:space="preserve">13:2</w:t>
            </w:r>
          </w:p>
        </w:tc>
        <w:tc>
          <w:tcPr/>
          <w:p>
            <w:pPr>
              <w:pStyle w:val="Compact"/>
              <w:jc w:val="left"/>
            </w:pPr>
            <w:r>
              <w:t xml:space="preserve">εις [30%] || 1 το [70%]</w:t>
            </w:r>
          </w:p>
        </w:tc>
      </w:tr>
      <w:tr>
        <w:tc>
          <w:tcPr/>
          <w:p>
            <w:pPr>
              <w:pStyle w:val="Compact"/>
              <w:jc w:val="left"/>
            </w:pPr>
            <w:r>
              <w:t xml:space="preserve">++--</w:t>
            </w:r>
          </w:p>
        </w:tc>
        <w:tc>
          <w:tcPr/>
          <w:p>
            <w:pPr>
              <w:pStyle w:val="Compact"/>
              <w:jc w:val="left"/>
            </w:pPr>
            <w:r>
              <w:t xml:space="preserve">13:3</w:t>
            </w:r>
          </w:p>
        </w:tc>
        <w:tc>
          <w:tcPr/>
          <w:p>
            <w:pPr>
              <w:pStyle w:val="Compact"/>
              <w:jc w:val="left"/>
            </w:pPr>
            <w:r>
              <w:t xml:space="preserve">εν παραβολαις πολλα [25%] || ~ 312 [75%]</w:t>
            </w:r>
          </w:p>
        </w:tc>
      </w:tr>
      <w:tr>
        <w:tc>
          <w:tcPr/>
          <w:p>
            <w:pPr>
              <w:pStyle w:val="Compact"/>
              <w:jc w:val="left"/>
            </w:pPr>
            <w:r>
              <w:t xml:space="preserve">++</w:t>
            </w:r>
          </w:p>
        </w:tc>
        <w:tc>
          <w:tcPr/>
          <w:p>
            <w:pPr>
              <w:pStyle w:val="Compact"/>
              <w:jc w:val="left"/>
            </w:pPr>
            <w:r>
              <w:t xml:space="preserve">13:24</w:t>
            </w:r>
          </w:p>
        </w:tc>
        <w:tc>
          <w:tcPr/>
          <w:p>
            <w:pPr>
              <w:pStyle w:val="Compact"/>
              <w:jc w:val="left"/>
            </w:pPr>
            <w:r>
              <w:t xml:space="preserve">σπειραντι [30%] || σπειροντι [70%]</w:t>
            </w:r>
          </w:p>
        </w:tc>
      </w:tr>
      <w:tr>
        <w:tc>
          <w:tcPr/>
          <w:p>
            <w:pPr>
              <w:pStyle w:val="Compact"/>
              <w:jc w:val="left"/>
            </w:pPr>
            <w:r>
              <w:t xml:space="preserve">++</w:t>
            </w:r>
          </w:p>
        </w:tc>
        <w:tc>
          <w:tcPr/>
          <w:p>
            <w:pPr>
              <w:pStyle w:val="Compact"/>
              <w:jc w:val="left"/>
            </w:pPr>
            <w:r>
              <w:t xml:space="preserve">13:32</w:t>
            </w:r>
          </w:p>
        </w:tc>
        <w:tc>
          <w:tcPr/>
          <w:p>
            <w:pPr>
              <w:pStyle w:val="Compact"/>
              <w:jc w:val="left"/>
            </w:pPr>
            <w:r>
              <w:t xml:space="preserve">παντων [30%] || --- [70%]</w:t>
            </w:r>
          </w:p>
        </w:tc>
      </w:tr>
      <w:tr>
        <w:tc>
          <w:tcPr/>
          <w:p>
            <w:pPr>
              <w:pStyle w:val="Compact"/>
              <w:jc w:val="left"/>
            </w:pPr>
            <w:r>
              <w:t xml:space="preserve">++</w:t>
            </w:r>
          </w:p>
        </w:tc>
        <w:tc>
          <w:tcPr/>
          <w:p>
            <w:pPr>
              <w:pStyle w:val="Compact"/>
              <w:jc w:val="left"/>
            </w:pPr>
            <w:r>
              <w:t xml:space="preserve">13:44</w:t>
            </w:r>
          </w:p>
        </w:tc>
        <w:tc>
          <w:tcPr/>
          <w:p>
            <w:pPr>
              <w:pStyle w:val="Compact"/>
              <w:jc w:val="left"/>
            </w:pPr>
            <w:r>
              <w:t xml:space="preserve">εν αγρω [30%] || 1 τω 2 [70%]</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εφοβειτο [20%] || εφοβηθη [80%]</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αυτου [30%] || --- [70%]</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δε [25%] || 1 αυτω [73%]</w:t>
            </w:r>
          </w:p>
        </w:tc>
      </w:tr>
      <w:tr>
        <w:tc>
          <w:tcPr/>
          <w:p>
            <w:pPr>
              <w:pStyle w:val="Compact"/>
              <w:jc w:val="left"/>
            </w:pPr>
            <w:r>
              <w:t xml:space="preserve">+++</w:t>
            </w:r>
          </w:p>
        </w:tc>
        <w:tc>
          <w:tcPr/>
          <w:p>
            <w:pPr>
              <w:pStyle w:val="Compact"/>
              <w:jc w:val="left"/>
            </w:pPr>
            <w:r>
              <w:t xml:space="preserve">14:31</w:t>
            </w:r>
          </w:p>
        </w:tc>
        <w:tc>
          <w:tcPr/>
          <w:p>
            <w:pPr>
              <w:pStyle w:val="Compact"/>
              <w:jc w:val="left"/>
            </w:pPr>
            <w:r>
              <w:t xml:space="preserve">και ευθεως [20%] || ~ 2 δε [80%]</w:t>
            </w:r>
          </w:p>
        </w:tc>
      </w:tr>
      <w:tr>
        <w:tc>
          <w:tcPr/>
          <w:p>
            <w:pPr>
              <w:pStyle w:val="Compact"/>
              <w:jc w:val="left"/>
            </w:pPr>
            <w:r>
              <w:t xml:space="preserve">++</w:t>
            </w:r>
          </w:p>
        </w:tc>
        <w:tc>
          <w:tcPr/>
          <w:p>
            <w:pPr>
              <w:pStyle w:val="Compact"/>
              <w:jc w:val="left"/>
            </w:pPr>
            <w:r>
              <w:t xml:space="preserve">14:34</w:t>
            </w:r>
          </w:p>
        </w:tc>
        <w:tc>
          <w:tcPr/>
          <w:p>
            <w:pPr>
              <w:pStyle w:val="Compact"/>
              <w:jc w:val="left"/>
            </w:pPr>
            <w:r>
              <w:t xml:space="preserve">γενησαρετ [30%] || γεννησαρετ [55%]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καν [35%] || --- [65%]</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μητερα [25%] || 1 αυτου [75%]</w:t>
            </w:r>
          </w:p>
        </w:tc>
      </w:tr>
      <w:tr>
        <w:tc>
          <w:tcPr/>
          <w:p>
            <w:pPr>
              <w:pStyle w:val="Compact"/>
              <w:jc w:val="left"/>
            </w:pPr>
            <w:r>
              <w:t xml:space="preserve">++</w:t>
            </w:r>
          </w:p>
        </w:tc>
        <w:tc>
          <w:tcPr/>
          <w:p>
            <w:pPr>
              <w:pStyle w:val="Compact"/>
              <w:jc w:val="left"/>
            </w:pPr>
            <w:r>
              <w:t xml:space="preserve">15:14</w:t>
            </w:r>
          </w:p>
        </w:tc>
        <w:tc>
          <w:tcPr/>
          <w:p>
            <w:pPr>
              <w:pStyle w:val="Compact"/>
              <w:jc w:val="left"/>
            </w:pPr>
            <w:r>
              <w:t xml:space="preserve">εμπεσουνται [30%] || πεσουνται [70%]</w:t>
            </w:r>
          </w:p>
        </w:tc>
      </w:tr>
      <w:tr>
        <w:tc>
          <w:tcPr/>
          <w:p>
            <w:pPr>
              <w:pStyle w:val="Compact"/>
              <w:jc w:val="left"/>
            </w:pPr>
            <w:r>
              <w:t xml:space="preserve">++</w:t>
            </w:r>
          </w:p>
        </w:tc>
        <w:tc>
          <w:tcPr/>
          <w:p>
            <w:pPr>
              <w:pStyle w:val="Compact"/>
              <w:jc w:val="left"/>
            </w:pPr>
            <w:r>
              <w:t xml:space="preserve">15:31</w:t>
            </w:r>
          </w:p>
        </w:tc>
        <w:tc>
          <w:tcPr/>
          <w:p>
            <w:pPr>
              <w:pStyle w:val="Compact"/>
              <w:jc w:val="left"/>
            </w:pPr>
            <w:r>
              <w:t xml:space="preserve">εδοξαζον [30%] || εδοξασαν [70%]</w:t>
            </w:r>
          </w:p>
        </w:tc>
      </w:tr>
      <w:tr>
        <w:tc>
          <w:tcPr/>
          <w:p>
            <w:pPr>
              <w:pStyle w:val="Compact"/>
              <w:jc w:val="left"/>
            </w:pPr>
            <w:r>
              <w:t xml:space="preserve">++</w:t>
            </w:r>
          </w:p>
        </w:tc>
        <w:tc>
          <w:tcPr/>
          <w:p>
            <w:pPr>
              <w:pStyle w:val="Compact"/>
              <w:jc w:val="left"/>
            </w:pPr>
            <w:r>
              <w:t xml:space="preserve">15:32</w:t>
            </w:r>
            <w:r>
              <w:rPr>
                <w:vertAlign w:val="superscript"/>
              </w:rPr>
              <w:t xml:space="preserve">a</w:t>
            </w:r>
          </w:p>
        </w:tc>
        <w:tc>
          <w:tcPr/>
          <w:p>
            <w:pPr>
              <w:pStyle w:val="Compact"/>
              <w:jc w:val="left"/>
            </w:pPr>
            <w:r>
              <w:t xml:space="preserve">ημερας [30%] || ημεραι [70%]</w:t>
            </w:r>
          </w:p>
        </w:tc>
      </w:tr>
      <w:tr>
        <w:tc>
          <w:tcPr/>
          <w:p>
            <w:pPr>
              <w:pStyle w:val="Compact"/>
              <w:jc w:val="left"/>
            </w:pPr>
            <w:r>
              <w:t xml:space="preserve">++--</w:t>
            </w:r>
          </w:p>
        </w:tc>
        <w:tc>
          <w:tcPr/>
          <w:p>
            <w:pPr>
              <w:pStyle w:val="Compact"/>
              <w:jc w:val="left"/>
            </w:pPr>
            <w:r>
              <w:t xml:space="preserve">15:32</w:t>
            </w:r>
            <w:r>
              <w:rPr>
                <w:vertAlign w:val="superscript"/>
              </w:rPr>
              <w:t xml:space="preserve">b</w:t>
            </w:r>
          </w:p>
        </w:tc>
        <w:tc>
          <w:tcPr/>
          <w:p>
            <w:pPr>
              <w:pStyle w:val="Compact"/>
              <w:jc w:val="left"/>
            </w:pPr>
            <w:r>
              <w:t xml:space="preserve">νηστις [25%] || νηστεις [75%]</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ενεβη [30%] || ανεβη [70%]</w:t>
            </w:r>
          </w:p>
        </w:tc>
      </w:tr>
      <w:tr>
        <w:tc>
          <w:tcPr/>
          <w:p>
            <w:pPr>
              <w:pStyle w:val="Compact"/>
              <w:jc w:val="left"/>
            </w:pPr>
            <w:r>
              <w:t xml:space="preserve">+--</w:t>
            </w:r>
          </w:p>
        </w:tc>
        <w:tc>
          <w:tcPr/>
          <w:p>
            <w:pPr>
              <w:pStyle w:val="Compact"/>
              <w:jc w:val="left"/>
            </w:pPr>
            <w:r>
              <w:t xml:space="preserve">16:20</w:t>
            </w:r>
          </w:p>
        </w:tc>
        <w:tc>
          <w:tcPr/>
          <w:p>
            <w:pPr>
              <w:pStyle w:val="Compact"/>
              <w:jc w:val="left"/>
            </w:pPr>
            <w:r>
              <w:t xml:space="preserve">εστιν [35%] || 1 ιησους [65%]</w:t>
            </w:r>
          </w:p>
        </w:tc>
      </w:tr>
      <w:tr>
        <w:tc>
          <w:tcPr/>
          <w:p>
            <w:pPr>
              <w:pStyle w:val="Compact"/>
              <w:jc w:val="left"/>
            </w:pPr>
            <w:r>
              <w:t xml:space="preserve">+</w:t>
            </w:r>
          </w:p>
        </w:tc>
        <w:tc>
          <w:tcPr/>
          <w:p>
            <w:pPr>
              <w:pStyle w:val="Compact"/>
              <w:jc w:val="left"/>
            </w:pPr>
            <w:r>
              <w:t xml:space="preserve">17:2</w:t>
            </w:r>
          </w:p>
        </w:tc>
        <w:tc>
          <w:tcPr/>
          <w:p>
            <w:pPr>
              <w:pStyle w:val="Compact"/>
              <w:jc w:val="left"/>
            </w:pPr>
            <w:r>
              <w:t xml:space="preserve">εγενετο [40%] || εγενοντο [60%]</w:t>
            </w:r>
          </w:p>
        </w:tc>
      </w:tr>
      <w:tr>
        <w:tc>
          <w:tcPr/>
          <w:p>
            <w:pPr>
              <w:pStyle w:val="Compact"/>
              <w:jc w:val="left"/>
            </w:pPr>
            <w:r>
              <w:t xml:space="preserve">+++</w:t>
            </w:r>
          </w:p>
        </w:tc>
        <w:tc>
          <w:tcPr/>
          <w:p>
            <w:pPr>
              <w:pStyle w:val="Compact"/>
              <w:jc w:val="left"/>
            </w:pPr>
            <w:r>
              <w:t xml:space="preserve">17:18</w:t>
            </w:r>
          </w:p>
        </w:tc>
        <w:tc>
          <w:tcPr/>
          <w:p>
            <w:pPr>
              <w:pStyle w:val="Compact"/>
              <w:jc w:val="left"/>
            </w:pPr>
            <w:r>
              <w:t xml:space="preserve">ιαθη [20%] || εθεραπευθη [80%]</w:t>
            </w:r>
          </w:p>
        </w:tc>
      </w:tr>
      <w:tr>
        <w:tc>
          <w:tcPr/>
          <w:p>
            <w:pPr>
              <w:pStyle w:val="Compact"/>
              <w:jc w:val="left"/>
            </w:pPr>
            <w:r>
              <w:t xml:space="preserve">++--</w:t>
            </w:r>
          </w:p>
        </w:tc>
        <w:tc>
          <w:tcPr/>
          <w:p>
            <w:pPr>
              <w:pStyle w:val="Compact"/>
              <w:jc w:val="left"/>
            </w:pPr>
            <w:r>
              <w:t xml:space="preserve">17:25</w:t>
            </w:r>
          </w:p>
        </w:tc>
        <w:tc>
          <w:tcPr/>
          <w:p>
            <w:pPr>
              <w:pStyle w:val="Compact"/>
              <w:jc w:val="left"/>
            </w:pPr>
            <w:r>
              <w:t xml:space="preserve">εισηλθον [25%] || εισηλθεν [72%]</w:t>
            </w:r>
          </w:p>
        </w:tc>
      </w:tr>
      <w:tr>
        <w:tc>
          <w:tcPr/>
          <w:p>
            <w:pPr>
              <w:pStyle w:val="Compact"/>
              <w:jc w:val="left"/>
            </w:pPr>
            <w:r>
              <w:t xml:space="preserve">+</w:t>
            </w:r>
          </w:p>
        </w:tc>
        <w:tc>
          <w:tcPr/>
          <w:p>
            <w:pPr>
              <w:pStyle w:val="Compact"/>
              <w:jc w:val="left"/>
            </w:pPr>
            <w:r>
              <w:t xml:space="preserve">17:27</w:t>
            </w:r>
          </w:p>
        </w:tc>
        <w:tc>
          <w:tcPr/>
          <w:p>
            <w:pPr>
              <w:pStyle w:val="Compact"/>
              <w:jc w:val="left"/>
            </w:pPr>
            <w:r>
              <w:t xml:space="preserve">αναβαντα [40%] || αναβαινοντο [60%]</w:t>
            </w:r>
          </w:p>
        </w:tc>
      </w:tr>
      <w:tr>
        <w:tc>
          <w:tcPr/>
          <w:p>
            <w:pPr>
              <w:pStyle w:val="Compact"/>
              <w:jc w:val="left"/>
            </w:pPr>
            <w:r>
              <w:t xml:space="preserve">++--</w:t>
            </w:r>
          </w:p>
        </w:tc>
        <w:tc>
          <w:tcPr/>
          <w:p>
            <w:pPr>
              <w:pStyle w:val="Compact"/>
              <w:jc w:val="left"/>
            </w:pPr>
            <w:r>
              <w:t xml:space="preserve">18:15</w:t>
            </w:r>
            <w:r>
              <w:rPr>
                <w:vertAlign w:val="superscript"/>
              </w:rPr>
              <w:t xml:space="preserve">a</w:t>
            </w:r>
          </w:p>
        </w:tc>
        <w:tc>
          <w:tcPr/>
          <w:p>
            <w:pPr>
              <w:pStyle w:val="Compact"/>
              <w:jc w:val="left"/>
            </w:pPr>
            <w:r>
              <w:t xml:space="preserve">αμαρτη [25%] || αμαρτηση [74%]</w:t>
            </w:r>
          </w:p>
        </w:tc>
      </w:tr>
      <w:tr>
        <w:tc>
          <w:tcPr/>
          <w:p>
            <w:pPr>
              <w:pStyle w:val="Compact"/>
              <w:jc w:val="left"/>
            </w:pPr>
            <w:r>
              <w:t xml:space="preserve">++</w:t>
            </w:r>
          </w:p>
        </w:tc>
        <w:tc>
          <w:tcPr/>
          <w:p>
            <w:pPr>
              <w:pStyle w:val="Compact"/>
              <w:jc w:val="left"/>
            </w:pPr>
            <w:r>
              <w:t xml:space="preserve">18:15</w:t>
            </w:r>
            <w:r>
              <w:rPr>
                <w:vertAlign w:val="superscript"/>
              </w:rPr>
              <w:t xml:space="preserve">b</w:t>
            </w:r>
          </w:p>
        </w:tc>
        <w:tc>
          <w:tcPr/>
          <w:p>
            <w:pPr>
              <w:pStyle w:val="Compact"/>
              <w:jc w:val="left"/>
            </w:pPr>
            <w:r>
              <w:t xml:space="preserve">υπαγε [30%] || 1 και [70%]</w:t>
            </w:r>
          </w:p>
        </w:tc>
      </w:tr>
      <w:tr>
        <w:tc>
          <w:tcPr/>
          <w:p>
            <w:pPr>
              <w:pStyle w:val="Compact"/>
              <w:jc w:val="left"/>
            </w:pPr>
            <w:r>
              <w:t xml:space="preserve">+++</w:t>
            </w:r>
          </w:p>
        </w:tc>
        <w:tc>
          <w:tcPr/>
          <w:p>
            <w:pPr>
              <w:pStyle w:val="Compact"/>
              <w:jc w:val="left"/>
            </w:pPr>
            <w:r>
              <w:t xml:space="preserve">19:5</w:t>
            </w:r>
          </w:p>
        </w:tc>
        <w:tc>
          <w:tcPr/>
          <w:p>
            <w:pPr>
              <w:pStyle w:val="Compact"/>
              <w:jc w:val="left"/>
            </w:pPr>
            <w:r>
              <w:t xml:space="preserve">προς την γυναικα [20%] || τη γυναικι [80%]</w:t>
            </w:r>
          </w:p>
        </w:tc>
      </w:tr>
      <w:tr>
        <w:tc>
          <w:tcPr/>
          <w:p>
            <w:pPr>
              <w:pStyle w:val="Compact"/>
              <w:jc w:val="left"/>
            </w:pPr>
            <w:r>
              <w:t xml:space="preserve">++--</w:t>
            </w:r>
          </w:p>
        </w:tc>
        <w:tc>
          <w:tcPr/>
          <w:p>
            <w:pPr>
              <w:pStyle w:val="Compact"/>
              <w:jc w:val="left"/>
            </w:pPr>
            <w:r>
              <w:t xml:space="preserve">19:16</w:t>
            </w:r>
          </w:p>
        </w:tc>
        <w:tc>
          <w:tcPr/>
          <w:p>
            <w:pPr>
              <w:pStyle w:val="Compact"/>
              <w:jc w:val="left"/>
            </w:pPr>
            <w:r>
              <w:t xml:space="preserve">τις [25%] || --- [75%]</w:t>
            </w:r>
          </w:p>
        </w:tc>
      </w:tr>
      <w:tr>
        <w:tc>
          <w:tcPr/>
          <w:p>
            <w:pPr>
              <w:pStyle w:val="Compact"/>
              <w:jc w:val="left"/>
            </w:pPr>
            <w:r>
              <w:t xml:space="preserve">+++</w:t>
            </w:r>
          </w:p>
        </w:tc>
        <w:tc>
          <w:tcPr/>
          <w:p>
            <w:pPr>
              <w:pStyle w:val="Compact"/>
              <w:jc w:val="left"/>
            </w:pPr>
            <w:r>
              <w:t xml:space="preserve">20:26</w:t>
            </w:r>
          </w:p>
        </w:tc>
        <w:tc>
          <w:tcPr/>
          <w:p>
            <w:pPr>
              <w:pStyle w:val="Compact"/>
              <w:jc w:val="left"/>
            </w:pPr>
            <w:r>
              <w:t xml:space="preserve">εσται [20%] || 1 εν [80%]</w:t>
            </w:r>
          </w:p>
        </w:tc>
      </w:tr>
      <w:tr>
        <w:tc>
          <w:tcPr/>
          <w:p>
            <w:pPr>
              <w:pStyle w:val="Compact"/>
              <w:jc w:val="left"/>
            </w:pPr>
            <w:r>
              <w:t xml:space="preserve">+--</w:t>
            </w:r>
          </w:p>
        </w:tc>
        <w:tc>
          <w:tcPr/>
          <w:p>
            <w:pPr>
              <w:pStyle w:val="Compact"/>
              <w:jc w:val="left"/>
            </w:pPr>
            <w:r>
              <w:t xml:space="preserve">20:27</w:t>
            </w:r>
          </w:p>
        </w:tc>
        <w:tc>
          <w:tcPr/>
          <w:p>
            <w:pPr>
              <w:pStyle w:val="Compact"/>
              <w:jc w:val="left"/>
            </w:pPr>
            <w:r>
              <w:t xml:space="preserve">εσται [35%] || εστω [65%]</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αυτων [30%] || εαυτων [70%]</w:t>
            </w:r>
          </w:p>
        </w:tc>
      </w:tr>
      <w:tr>
        <w:tc>
          <w:tcPr/>
          <w:p>
            <w:pPr>
              <w:pStyle w:val="Compact"/>
              <w:jc w:val="left"/>
            </w:pPr>
            <w:r>
              <w:t xml:space="preserve">++--</w:t>
            </w:r>
          </w:p>
        </w:tc>
        <w:tc>
          <w:tcPr/>
          <w:p>
            <w:pPr>
              <w:pStyle w:val="Compact"/>
              <w:jc w:val="left"/>
            </w:pPr>
            <w:r>
              <w:t xml:space="preserve">21:35</w:t>
            </w:r>
          </w:p>
        </w:tc>
        <w:tc>
          <w:tcPr/>
          <w:p>
            <w:pPr>
              <w:pStyle w:val="Compact"/>
              <w:jc w:val="left"/>
            </w:pPr>
            <w:r>
              <w:t xml:space="preserve">εδηραν [25%] || εδειραν [75%]</w:t>
            </w:r>
          </w:p>
        </w:tc>
      </w:tr>
      <w:tr>
        <w:tc>
          <w:tcPr/>
          <w:p>
            <w:pPr>
              <w:pStyle w:val="Compact"/>
              <w:jc w:val="left"/>
            </w:pPr>
            <w:r>
              <w:t xml:space="preserve">+</w:t>
            </w:r>
          </w:p>
        </w:tc>
        <w:tc>
          <w:tcPr/>
          <w:p>
            <w:pPr>
              <w:pStyle w:val="Compact"/>
              <w:jc w:val="left"/>
            </w:pPr>
            <w:r>
              <w:t xml:space="preserve">22:37</w:t>
            </w:r>
          </w:p>
        </w:tc>
        <w:tc>
          <w:tcPr/>
          <w:p>
            <w:pPr>
              <w:pStyle w:val="Compact"/>
              <w:jc w:val="left"/>
            </w:pPr>
            <w:r>
              <w:t xml:space="preserve">τη [40%] || --- [60%]</w:t>
            </w:r>
          </w:p>
        </w:tc>
      </w:tr>
      <w:tr>
        <w:tc>
          <w:tcPr/>
          <w:p>
            <w:pPr>
              <w:pStyle w:val="Compact"/>
              <w:jc w:val="left"/>
            </w:pPr>
            <w:r>
              <w:t xml:space="preserve">++</w:t>
            </w:r>
          </w:p>
        </w:tc>
        <w:tc>
          <w:tcPr/>
          <w:p>
            <w:pPr>
              <w:pStyle w:val="Compact"/>
              <w:jc w:val="left"/>
            </w:pPr>
            <w:r>
              <w:t xml:space="preserve">22:46</w:t>
            </w:r>
          </w:p>
        </w:tc>
        <w:tc>
          <w:tcPr/>
          <w:p>
            <w:pPr>
              <w:pStyle w:val="Compact"/>
              <w:jc w:val="left"/>
            </w:pPr>
            <w:r>
              <w:t xml:space="preserve">αποκριθηναι αυτω [30%] || ~ 21 [69%]</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διδασκαλος [30%] || καθηγητης [70%]</w:t>
            </w:r>
          </w:p>
        </w:tc>
      </w:tr>
      <w:tr>
        <w:tc>
          <w:tcPr/>
          <w:p>
            <w:pPr>
              <w:pStyle w:val="Compact"/>
              <w:jc w:val="left"/>
            </w:pPr>
            <w:r>
              <w:t xml:space="preserve">++</w:t>
            </w:r>
          </w:p>
        </w:tc>
        <w:tc>
          <w:tcPr/>
          <w:p>
            <w:pPr>
              <w:pStyle w:val="Compact"/>
              <w:jc w:val="left"/>
            </w:pPr>
            <w:r>
              <w:t xml:space="preserve">23:10</w:t>
            </w:r>
          </w:p>
        </w:tc>
        <w:tc>
          <w:tcPr/>
          <w:p>
            <w:pPr>
              <w:pStyle w:val="Compact"/>
              <w:jc w:val="left"/>
            </w:pPr>
            <w:r>
              <w:t xml:space="preserve">εστιν υμων [30%] || ~ 21 [65%]</w:t>
            </w:r>
          </w:p>
        </w:tc>
      </w:tr>
      <w:tr>
        <w:tc>
          <w:tcPr/>
          <w:p>
            <w:pPr>
              <w:pStyle w:val="Compact"/>
              <w:jc w:val="left"/>
            </w:pPr>
            <w:r>
              <w:t xml:space="preserve">++--</w:t>
            </w:r>
          </w:p>
        </w:tc>
        <w:tc>
          <w:tcPr/>
          <w:p>
            <w:pPr>
              <w:pStyle w:val="Compact"/>
              <w:jc w:val="left"/>
            </w:pPr>
            <w:r>
              <w:t xml:space="preserve">23:11</w:t>
            </w:r>
          </w:p>
        </w:tc>
        <w:tc>
          <w:tcPr/>
          <w:p>
            <w:pPr>
              <w:pStyle w:val="Compact"/>
              <w:jc w:val="left"/>
            </w:pPr>
            <w:r>
              <w:t xml:space="preserve">εστω [25%] || εσται [75%]</w:t>
            </w:r>
          </w:p>
        </w:tc>
      </w:tr>
      <w:tr>
        <w:tc>
          <w:tcPr/>
          <w:p>
            <w:pPr>
              <w:pStyle w:val="Compact"/>
              <w:jc w:val="left"/>
            </w:pPr>
            <w:r>
              <w:t xml:space="preserve">++--</w:t>
            </w:r>
          </w:p>
        </w:tc>
        <w:tc>
          <w:tcPr/>
          <w:p>
            <w:pPr>
              <w:pStyle w:val="Compact"/>
              <w:jc w:val="left"/>
            </w:pPr>
            <w:r>
              <w:t xml:space="preserve">24:1</w:t>
            </w:r>
          </w:p>
        </w:tc>
        <w:tc>
          <w:tcPr/>
          <w:p>
            <w:pPr>
              <w:pStyle w:val="Compact"/>
              <w:jc w:val="left"/>
            </w:pPr>
            <w:r>
              <w:t xml:space="preserve">αυτω [25%] || --- [75%]</w:t>
            </w:r>
          </w:p>
        </w:tc>
      </w:tr>
      <w:tr>
        <w:tc>
          <w:tcPr/>
          <w:p>
            <w:pPr>
              <w:pStyle w:val="Compact"/>
              <w:jc w:val="left"/>
            </w:pPr>
            <w:r>
              <w:t xml:space="preserve">++--</w:t>
            </w:r>
          </w:p>
        </w:tc>
        <w:tc>
          <w:tcPr/>
          <w:p>
            <w:pPr>
              <w:pStyle w:val="Compact"/>
              <w:jc w:val="left"/>
            </w:pPr>
            <w:r>
              <w:t xml:space="preserve">24:6</w:t>
            </w:r>
          </w:p>
        </w:tc>
        <w:tc>
          <w:tcPr/>
          <w:p>
            <w:pPr>
              <w:pStyle w:val="Compact"/>
              <w:jc w:val="left"/>
            </w:pPr>
            <w:r>
              <w:t xml:space="preserve">μελησετε [25%] || μελλησετε [72%]</w:t>
            </w:r>
          </w:p>
        </w:tc>
      </w:tr>
      <w:tr>
        <w:tc>
          <w:tcPr/>
          <w:p>
            <w:pPr>
              <w:pStyle w:val="Compact"/>
              <w:jc w:val="left"/>
            </w:pPr>
            <w:r>
              <w:t xml:space="preserve">++</w:t>
            </w:r>
          </w:p>
        </w:tc>
        <w:tc>
          <w:tcPr/>
          <w:p>
            <w:pPr>
              <w:pStyle w:val="Compact"/>
              <w:jc w:val="left"/>
            </w:pPr>
            <w:r>
              <w:t xml:space="preserve">24:18</w:t>
            </w:r>
          </w:p>
        </w:tc>
        <w:tc>
          <w:tcPr/>
          <w:p>
            <w:pPr>
              <w:pStyle w:val="Compact"/>
              <w:jc w:val="left"/>
            </w:pPr>
            <w:r>
              <w:t xml:space="preserve">το ιματιον [30%] || τα ιματια [70%]</w:t>
            </w:r>
          </w:p>
        </w:tc>
      </w:tr>
      <w:tr>
        <w:tc>
          <w:tcPr/>
          <w:p>
            <w:pPr>
              <w:pStyle w:val="Compact"/>
              <w:jc w:val="left"/>
            </w:pPr>
            <w:r>
              <w:t xml:space="preserve">++--</w:t>
            </w:r>
          </w:p>
        </w:tc>
        <w:tc>
          <w:tcPr/>
          <w:p>
            <w:pPr>
              <w:pStyle w:val="Compact"/>
              <w:jc w:val="left"/>
            </w:pPr>
            <w:r>
              <w:t xml:space="preserve">24:32</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24:49</w:t>
            </w:r>
          </w:p>
        </w:tc>
        <w:tc>
          <w:tcPr/>
          <w:p>
            <w:pPr>
              <w:pStyle w:val="Compact"/>
              <w:jc w:val="left"/>
            </w:pPr>
            <w:r>
              <w:t xml:space="preserve">τε [30%] || δε [70%]</w:t>
            </w:r>
          </w:p>
        </w:tc>
      </w:tr>
      <w:tr>
        <w:tc>
          <w:tcPr/>
          <w:p>
            <w:pPr>
              <w:pStyle w:val="Compact"/>
              <w:jc w:val="left"/>
            </w:pPr>
            <w:r>
              <w:t xml:space="preserve">++</w:t>
            </w:r>
          </w:p>
        </w:tc>
        <w:tc>
          <w:tcPr/>
          <w:p>
            <w:pPr>
              <w:pStyle w:val="Compact"/>
              <w:jc w:val="left"/>
            </w:pPr>
            <w:r>
              <w:t xml:space="preserve">25:29</w:t>
            </w:r>
          </w:p>
        </w:tc>
        <w:tc>
          <w:tcPr/>
          <w:p>
            <w:pPr>
              <w:pStyle w:val="Compact"/>
              <w:jc w:val="left"/>
            </w:pPr>
            <w:r>
              <w:t xml:space="preserve">δοκει εχειν [30%] || εχει [70%]</w:t>
            </w:r>
          </w:p>
        </w:tc>
      </w:tr>
      <w:tr>
        <w:tc>
          <w:tcPr/>
          <w:p>
            <w:pPr>
              <w:pStyle w:val="Compact"/>
              <w:jc w:val="left"/>
            </w:pPr>
            <w:r>
              <w:t xml:space="preserve">++--</w:t>
            </w:r>
          </w:p>
        </w:tc>
        <w:tc>
          <w:tcPr/>
          <w:p>
            <w:pPr>
              <w:pStyle w:val="Compact"/>
              <w:jc w:val="left"/>
            </w:pPr>
            <w:r>
              <w:t xml:space="preserve">25:32</w:t>
            </w:r>
          </w:p>
        </w:tc>
        <w:tc>
          <w:tcPr/>
          <w:p>
            <w:pPr>
              <w:pStyle w:val="Compact"/>
              <w:jc w:val="left"/>
            </w:pPr>
            <w:r>
              <w:t xml:space="preserve">συναχθησονται [25%] || συναχθησεται</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26:1</w:t>
            </w:r>
          </w:p>
        </w:tc>
        <w:tc>
          <w:tcPr/>
          <w:p>
            <w:pPr>
              <w:pStyle w:val="Compact"/>
              <w:jc w:val="left"/>
            </w:pPr>
            <w:r>
              <w:t xml:space="preserve">ιησους [25%] || 1 παντας [75%]</w:t>
            </w:r>
          </w:p>
        </w:tc>
      </w:tr>
      <w:tr>
        <w:tc>
          <w:tcPr/>
          <w:p>
            <w:pPr>
              <w:pStyle w:val="Compact"/>
              <w:jc w:val="left"/>
            </w:pPr>
            <w:r>
              <w:t xml:space="preserve">+</w:t>
            </w:r>
          </w:p>
        </w:tc>
        <w:tc>
          <w:tcPr/>
          <w:p>
            <w:pPr>
              <w:pStyle w:val="Compact"/>
              <w:jc w:val="left"/>
            </w:pPr>
            <w:r>
              <w:t xml:space="preserve">26:9</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26:11</w:t>
            </w:r>
          </w:p>
        </w:tc>
        <w:tc>
          <w:tcPr/>
          <w:p>
            <w:pPr>
              <w:pStyle w:val="Compact"/>
              <w:jc w:val="left"/>
            </w:pPr>
            <w:r>
              <w:t xml:space="preserve">παντοτε γαρ τους πτωχους [40%] || ~ 3421 [60%]</w:t>
            </w:r>
          </w:p>
        </w:tc>
      </w:tr>
      <w:tr>
        <w:tc>
          <w:tcPr/>
          <w:p>
            <w:pPr>
              <w:pStyle w:val="Compact"/>
              <w:jc w:val="left"/>
            </w:pPr>
            <w:r>
              <w:t xml:space="preserve">+</w:t>
            </w:r>
          </w:p>
        </w:tc>
        <w:tc>
          <w:tcPr/>
          <w:p>
            <w:pPr>
              <w:pStyle w:val="Compact"/>
              <w:jc w:val="left"/>
            </w:pPr>
            <w:r>
              <w:t xml:space="preserve">26:15</w:t>
            </w:r>
          </w:p>
        </w:tc>
        <w:tc>
          <w:tcPr/>
          <w:p>
            <w:pPr>
              <w:pStyle w:val="Compact"/>
              <w:jc w:val="left"/>
            </w:pPr>
            <w:r>
              <w:t xml:space="preserve">και εγω [40%] || καγω [60%]</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ευλογησας [30%] || ευχαριστησας [70%]</w:t>
            </w:r>
          </w:p>
        </w:tc>
      </w:tr>
      <w:tr>
        <w:tc>
          <w:tcPr/>
          <w:p>
            <w:pPr>
              <w:pStyle w:val="Compact"/>
              <w:jc w:val="left"/>
            </w:pPr>
            <w:r>
              <w:t xml:space="preserve">++</w:t>
            </w:r>
          </w:p>
        </w:tc>
        <w:tc>
          <w:tcPr/>
          <w:p>
            <w:pPr>
              <w:pStyle w:val="Compact"/>
              <w:jc w:val="left"/>
            </w:pPr>
            <w:r>
              <w:t xml:space="preserve">26:29</w:t>
            </w:r>
          </w:p>
        </w:tc>
        <w:tc>
          <w:tcPr/>
          <w:p>
            <w:pPr>
              <w:pStyle w:val="Compact"/>
              <w:jc w:val="left"/>
            </w:pPr>
            <w:r>
              <w:t xml:space="preserve">γενηματος [30%] || γεννηματος</w:t>
            </w:r>
            <w:r>
              <w:t xml:space="preserve"> </w:t>
            </w:r>
            <w:r>
              <w:rPr>
                <w:bCs/>
                <w:b/>
              </w:rPr>
              <w:t xml:space="preserve">f</w:t>
            </w:r>
            <w:r>
              <w:rPr>
                <w:vertAlign w:val="superscript"/>
                <w:bCs/>
                <w:b/>
              </w:rPr>
              <w:t xml:space="preserve">35pt</w:t>
            </w:r>
            <w:r>
              <w:t xml:space="preserve"> </w:t>
            </w:r>
            <w:r>
              <w:t xml:space="preserve">[70%]</w:t>
            </w:r>
          </w:p>
        </w:tc>
      </w:tr>
      <w:tr>
        <w:tc>
          <w:tcPr/>
          <w:p>
            <w:pPr>
              <w:pStyle w:val="Compact"/>
              <w:jc w:val="left"/>
            </w:pPr>
            <w:r>
              <w:t xml:space="preserve">++</w:t>
            </w:r>
          </w:p>
        </w:tc>
        <w:tc>
          <w:tcPr/>
          <w:p>
            <w:pPr>
              <w:pStyle w:val="Compact"/>
              <w:jc w:val="left"/>
            </w:pPr>
            <w:r>
              <w:t xml:space="preserve">26:33</w:t>
            </w:r>
            <w:r>
              <w:rPr>
                <w:vertAlign w:val="superscript"/>
              </w:rPr>
              <w:t xml:space="preserve">a</w:t>
            </w:r>
          </w:p>
        </w:tc>
        <w:tc>
          <w:tcPr/>
          <w:p>
            <w:pPr>
              <w:pStyle w:val="Compact"/>
              <w:jc w:val="left"/>
            </w:pPr>
            <w:r>
              <w:t xml:space="preserve">και [30%] || --- [70%]</w:t>
            </w:r>
          </w:p>
        </w:tc>
      </w:tr>
      <w:tr>
        <w:tc>
          <w:tcPr/>
          <w:p>
            <w:pPr>
              <w:pStyle w:val="Compact"/>
              <w:jc w:val="left"/>
            </w:pPr>
            <w:r>
              <w:t xml:space="preserve">+</w:t>
            </w:r>
          </w:p>
        </w:tc>
        <w:tc>
          <w:tcPr/>
          <w:p>
            <w:pPr>
              <w:pStyle w:val="Compact"/>
              <w:jc w:val="left"/>
            </w:pPr>
            <w:r>
              <w:t xml:space="preserve">26:33</w:t>
            </w:r>
            <w:r>
              <w:rPr>
                <w:vertAlign w:val="superscript"/>
              </w:rPr>
              <w:t xml:space="preserve">b</w:t>
            </w:r>
          </w:p>
        </w:tc>
        <w:tc>
          <w:tcPr/>
          <w:p>
            <w:pPr>
              <w:pStyle w:val="Compact"/>
              <w:jc w:val="left"/>
            </w:pPr>
            <w:r>
              <w:t xml:space="preserve">εγω [40%] || 1 δε [60%]</w:t>
            </w:r>
          </w:p>
        </w:tc>
      </w:tr>
      <w:tr>
        <w:tc>
          <w:tcPr/>
          <w:p>
            <w:pPr>
              <w:pStyle w:val="Compact"/>
              <w:jc w:val="left"/>
            </w:pPr>
            <w:r>
              <w:t xml:space="preserve">+--</w:t>
            </w:r>
          </w:p>
        </w:tc>
        <w:tc>
          <w:tcPr/>
          <w:p>
            <w:pPr>
              <w:pStyle w:val="Compact"/>
              <w:jc w:val="left"/>
            </w:pPr>
            <w:r>
              <w:t xml:space="preserve">26:39</w:t>
            </w:r>
          </w:p>
        </w:tc>
        <w:tc>
          <w:tcPr/>
          <w:p>
            <w:pPr>
              <w:pStyle w:val="Compact"/>
              <w:jc w:val="left"/>
            </w:pPr>
            <w:r>
              <w:t xml:space="preserve">προελθων [35%] || προσελθων [65%]</w:t>
            </w:r>
          </w:p>
        </w:tc>
      </w:tr>
      <w:tr>
        <w:tc>
          <w:tcPr/>
          <w:p>
            <w:pPr>
              <w:pStyle w:val="Compact"/>
              <w:jc w:val="left"/>
            </w:pPr>
            <w:r>
              <w:t xml:space="preserve">++</w:t>
            </w:r>
          </w:p>
        </w:tc>
        <w:tc>
          <w:tcPr/>
          <w:p>
            <w:pPr>
              <w:pStyle w:val="Compact"/>
              <w:jc w:val="left"/>
            </w:pPr>
            <w:r>
              <w:t xml:space="preserve">26:43</w:t>
            </w:r>
          </w:p>
        </w:tc>
        <w:tc>
          <w:tcPr/>
          <w:p>
            <w:pPr>
              <w:pStyle w:val="Compact"/>
              <w:jc w:val="left"/>
            </w:pPr>
            <w:r>
              <w:t xml:space="preserve">ευρεν [30%] || ευρισκει [66%]</w:t>
            </w:r>
          </w:p>
        </w:tc>
      </w:tr>
      <w:tr>
        <w:tc>
          <w:tcPr/>
          <w:p>
            <w:pPr>
              <w:pStyle w:val="Compact"/>
              <w:jc w:val="left"/>
            </w:pPr>
            <w:r>
              <w:t xml:space="preserve">+++</w:t>
            </w:r>
          </w:p>
        </w:tc>
        <w:tc>
          <w:tcPr/>
          <w:p>
            <w:pPr>
              <w:pStyle w:val="Compact"/>
              <w:jc w:val="left"/>
            </w:pPr>
            <w:r>
              <w:t xml:space="preserve">26:46</w:t>
            </w:r>
          </w:p>
        </w:tc>
        <w:tc>
          <w:tcPr/>
          <w:p>
            <w:pPr>
              <w:pStyle w:val="Compact"/>
              <w:jc w:val="left"/>
            </w:pPr>
            <w:r>
              <w:t xml:space="preserve">ιδου [20%] || 1 ηγγικεν [80%]</w:t>
            </w:r>
          </w:p>
        </w:tc>
      </w:tr>
      <w:tr>
        <w:tc>
          <w:tcPr/>
          <w:p>
            <w:pPr>
              <w:pStyle w:val="Compact"/>
              <w:jc w:val="left"/>
            </w:pPr>
            <w:r>
              <w:t xml:space="preserve">+</w:t>
            </w:r>
          </w:p>
        </w:tc>
        <w:tc>
          <w:tcPr/>
          <w:p>
            <w:pPr>
              <w:pStyle w:val="Compact"/>
              <w:jc w:val="left"/>
            </w:pPr>
            <w:r>
              <w:t xml:space="preserve">26:48</w:t>
            </w:r>
          </w:p>
        </w:tc>
        <w:tc>
          <w:tcPr/>
          <w:p>
            <w:pPr>
              <w:pStyle w:val="Compact"/>
              <w:jc w:val="left"/>
            </w:pPr>
            <w:r>
              <w:t xml:space="preserve">εαν [40%] || αν [60%]</w:t>
            </w:r>
          </w:p>
        </w:tc>
      </w:tr>
      <w:tr>
        <w:tc>
          <w:tcPr/>
          <w:p>
            <w:pPr>
              <w:pStyle w:val="Compact"/>
              <w:jc w:val="left"/>
            </w:pPr>
            <w:r>
              <w:t xml:space="preserve">++</w:t>
            </w:r>
          </w:p>
        </w:tc>
        <w:tc>
          <w:tcPr/>
          <w:p>
            <w:pPr>
              <w:pStyle w:val="Compact"/>
              <w:jc w:val="left"/>
            </w:pPr>
            <w:r>
              <w:t xml:space="preserve">26:55</w:t>
            </w:r>
          </w:p>
        </w:tc>
        <w:tc>
          <w:tcPr/>
          <w:p>
            <w:pPr>
              <w:pStyle w:val="Compact"/>
              <w:jc w:val="left"/>
            </w:pPr>
            <w:r>
              <w:t xml:space="preserve">εν τω ιερω διδασκων [30%] || ~ 4123 [69%]</w:t>
            </w:r>
          </w:p>
        </w:tc>
      </w:tr>
      <w:tr>
        <w:tc>
          <w:tcPr/>
          <w:p>
            <w:pPr>
              <w:pStyle w:val="Compact"/>
              <w:jc w:val="left"/>
            </w:pPr>
            <w:r>
              <w:t xml:space="preserve">+--</w:t>
            </w:r>
          </w:p>
        </w:tc>
        <w:tc>
          <w:tcPr/>
          <w:p>
            <w:pPr>
              <w:pStyle w:val="Compact"/>
              <w:jc w:val="left"/>
            </w:pPr>
            <w:r>
              <w:t xml:space="preserve">26:75</w:t>
            </w:r>
          </w:p>
        </w:tc>
        <w:tc>
          <w:tcPr/>
          <w:p>
            <w:pPr>
              <w:pStyle w:val="Compact"/>
              <w:jc w:val="left"/>
            </w:pPr>
            <w:r>
              <w:t xml:space="preserve">ρηματος [35%] || 1 του [65%]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πρεσβυτεροι [20%] || 1 του λαου [80%]</w:t>
            </w:r>
          </w:p>
        </w:tc>
      </w:tr>
      <w:tr>
        <w:tc>
          <w:tcPr/>
          <w:p>
            <w:pPr>
              <w:pStyle w:val="Compact"/>
              <w:jc w:val="left"/>
            </w:pPr>
            <w:r>
              <w:t xml:space="preserve">++</w:t>
            </w:r>
          </w:p>
        </w:tc>
        <w:tc>
          <w:tcPr/>
          <w:p>
            <w:pPr>
              <w:pStyle w:val="Compact"/>
              <w:jc w:val="left"/>
            </w:pPr>
            <w:r>
              <w:t xml:space="preserve">27:12</w:t>
            </w:r>
          </w:p>
        </w:tc>
        <w:tc>
          <w:tcPr/>
          <w:p>
            <w:pPr>
              <w:pStyle w:val="Compact"/>
              <w:jc w:val="left"/>
            </w:pPr>
            <w:r>
              <w:t xml:space="preserve">και [30%] || 1 των [70%]</w:t>
            </w:r>
          </w:p>
        </w:tc>
      </w:tr>
      <w:tr>
        <w:tc>
          <w:tcPr/>
          <w:p>
            <w:pPr>
              <w:pStyle w:val="Compact"/>
              <w:jc w:val="left"/>
            </w:pPr>
            <w:r>
              <w:t xml:space="preserve">++</w:t>
            </w:r>
          </w:p>
        </w:tc>
        <w:tc>
          <w:tcPr/>
          <w:p>
            <w:pPr>
              <w:pStyle w:val="Compact"/>
              <w:jc w:val="left"/>
            </w:pPr>
            <w:r>
              <w:t xml:space="preserve">27:33</w:t>
            </w:r>
          </w:p>
        </w:tc>
        <w:tc>
          <w:tcPr/>
          <w:p>
            <w:pPr>
              <w:pStyle w:val="Compact"/>
              <w:jc w:val="left"/>
            </w:pPr>
            <w:r>
              <w:t xml:space="preserve">λεγομενον [30%] || λεγομενος [67%]</w:t>
            </w:r>
          </w:p>
        </w:tc>
      </w:tr>
      <w:tr>
        <w:tc>
          <w:tcPr/>
          <w:p>
            <w:pPr>
              <w:pStyle w:val="Compact"/>
              <w:jc w:val="left"/>
            </w:pPr>
            <w:r>
              <w:t xml:space="preserve">++--</w:t>
            </w:r>
          </w:p>
        </w:tc>
        <w:tc>
          <w:tcPr/>
          <w:p>
            <w:pPr>
              <w:pStyle w:val="Compact"/>
              <w:jc w:val="left"/>
            </w:pPr>
            <w:r>
              <w:t xml:space="preserve">27:35</w:t>
            </w:r>
          </w:p>
        </w:tc>
        <w:tc>
          <w:tcPr/>
          <w:p>
            <w:pPr>
              <w:pStyle w:val="Compact"/>
              <w:jc w:val="left"/>
            </w:pPr>
            <w:r>
              <w:t xml:space="preserve">βαλοντες [25%] || βαλλοντες</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27:55</w:t>
            </w:r>
          </w:p>
        </w:tc>
        <w:tc>
          <w:tcPr/>
          <w:p>
            <w:pPr>
              <w:pStyle w:val="Compact"/>
              <w:jc w:val="left"/>
            </w:pPr>
            <w:r>
              <w:t xml:space="preserve">και [35%] || --- [65%]</w:t>
            </w:r>
          </w:p>
        </w:tc>
      </w:tr>
      <w:tr>
        <w:tc>
          <w:tcPr/>
          <w:p>
            <w:pPr>
              <w:pStyle w:val="Compact"/>
              <w:jc w:val="left"/>
            </w:pPr>
            <w:r>
              <w:t xml:space="preserve">++--</w:t>
            </w:r>
          </w:p>
        </w:tc>
        <w:tc>
          <w:tcPr/>
          <w:p>
            <w:pPr>
              <w:pStyle w:val="Compact"/>
              <w:jc w:val="left"/>
            </w:pPr>
            <w:r>
              <w:t xml:space="preserve">27:64</w:t>
            </w:r>
          </w:p>
        </w:tc>
        <w:tc>
          <w:tcPr/>
          <w:p>
            <w:pPr>
              <w:pStyle w:val="Compact"/>
              <w:jc w:val="left"/>
            </w:pPr>
            <w:r>
              <w:t xml:space="preserve">οτι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(17)</w:t>
            </w:r>
          </w:p>
        </w:tc>
      </w:tr>
      <w:tr>
        <w:tc>
          <w:tcPr/>
          <w:p>
            <w:pPr>
              <w:pStyle w:val="Compact"/>
              <w:jc w:val="left"/>
            </w:pPr>
            <w:r>
              <w:t xml:space="preserve">++--</w:t>
            </w:r>
          </w:p>
        </w:tc>
        <w:tc>
          <w:tcPr/>
          <w:p>
            <w:pPr>
              <w:pStyle w:val="Compact"/>
              <w:jc w:val="left"/>
            </w:pPr>
            <w:r>
              <w:t xml:space="preserve">około 25% = całkiem dobre (22)</w:t>
            </w:r>
          </w:p>
        </w:tc>
      </w:tr>
      <w:tr>
        <w:tc>
          <w:tcPr/>
          <w:p>
            <w:pPr>
              <w:pStyle w:val="Compact"/>
              <w:jc w:val="left"/>
            </w:pPr>
            <w:r>
              <w:t xml:space="preserve">++</w:t>
            </w:r>
          </w:p>
        </w:tc>
        <w:tc>
          <w:tcPr/>
          <w:p>
            <w:pPr>
              <w:pStyle w:val="Compact"/>
              <w:jc w:val="left"/>
            </w:pPr>
            <w:r>
              <w:t xml:space="preserve">około 30% = niezłe (34)</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(9)</w:t>
            </w:r>
          </w:p>
        </w:tc>
      </w:tr>
    </w:tbl>
    <w:p>
      <w:pPr>
        <w:pStyle w:val="BodyText"/>
      </w:pPr>
      <w:r>
        <w:t xml:space="preserve">Łącznie: 92</w:t>
      </w:r>
    </w:p>
    <w:p>
      <w:pPr>
        <w:pStyle w:val="BodyText"/>
      </w:pPr>
      <w:r>
        <w:t xml:space="preserve">Pojedynczy diagnostyczny odczyt mógłby być dziełem przypadku, ale kilka takich odczytów przypuszczalnie wskazuje, że manuskrypt jest przynajmniej peryferyjnym członkiem rodziny. Prawdopodobnie nie znalazłoby się dwóch badaczy, którzy sporządziliby identyczne listy — zmieniając rangę, dodając lub odejmując — ale znajduje się tu wystarczająco dużo dowodów, by ustalić, że</w:t>
      </w:r>
      <w:r>
        <w:t xml:space="preserve"> </w:t>
      </w:r>
      <w:r>
        <w:rPr>
          <w:bCs/>
          <w:b/>
        </w:rPr>
        <w:t xml:space="preserve">f</w:t>
      </w:r>
      <w:r>
        <w:rPr>
          <w:vertAlign w:val="superscript"/>
          <w:bCs/>
          <w:b/>
        </w:rPr>
        <w:t xml:space="preserve">35</w:t>
      </w:r>
      <w:r>
        <w:t xml:space="preserve"> </w:t>
      </w:r>
      <w:r>
        <w:t xml:space="preserve">jest odrębną rodziną. Stwierdzenia poczynione tutaj odnoszą się również do pozostałych ksiąg.</w:t>
      </w:r>
    </w:p>
    <w:p>
      <w:pPr>
        <w:pStyle w:val="BodyText"/>
      </w:pPr>
      <w:r>
        <w:rPr>
          <w:bCs/>
          <w:b/>
        </w:rPr>
        <w:t xml:space="preserve">Ewangelia Marka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1:12</w:t>
            </w:r>
          </w:p>
        </w:tc>
        <w:tc>
          <w:tcPr/>
          <w:p>
            <w:pPr>
              <w:pStyle w:val="Compact"/>
              <w:jc w:val="left"/>
            </w:pPr>
            <w:r>
              <w:t xml:space="preserve">ευθεως [40%] || ευθυς [60%]</w:t>
            </w:r>
          </w:p>
        </w:tc>
      </w:tr>
      <w:tr>
        <w:tc>
          <w:tcPr/>
          <w:p>
            <w:pPr>
              <w:pStyle w:val="Compact"/>
              <w:jc w:val="left"/>
            </w:pPr>
            <w:r>
              <w:t xml:space="preserve">++</w:t>
            </w:r>
          </w:p>
        </w:tc>
        <w:tc>
          <w:tcPr/>
          <w:p>
            <w:pPr>
              <w:pStyle w:val="Compact"/>
              <w:jc w:val="left"/>
            </w:pPr>
            <w:r>
              <w:t xml:space="preserve">1:30</w:t>
            </w:r>
          </w:p>
        </w:tc>
        <w:tc>
          <w:tcPr/>
          <w:p>
            <w:pPr>
              <w:pStyle w:val="Compact"/>
              <w:jc w:val="left"/>
            </w:pPr>
            <w:r>
              <w:t xml:space="preserve">του [30%] || --- [70%]</w:t>
            </w:r>
          </w:p>
        </w:tc>
      </w:tr>
      <w:tr>
        <w:tc>
          <w:tcPr/>
          <w:p>
            <w:pPr>
              <w:pStyle w:val="Compact"/>
              <w:jc w:val="left"/>
            </w:pPr>
            <w:r>
              <w:t xml:space="preserve">++</w:t>
            </w:r>
          </w:p>
        </w:tc>
        <w:tc>
          <w:tcPr/>
          <w:p>
            <w:pPr>
              <w:pStyle w:val="Compact"/>
              <w:jc w:val="left"/>
            </w:pPr>
            <w:r>
              <w:t xml:space="preserve">1:34</w:t>
            </w:r>
          </w:p>
        </w:tc>
        <w:tc>
          <w:tcPr/>
          <w:p>
            <w:pPr>
              <w:pStyle w:val="Compact"/>
              <w:jc w:val="left"/>
            </w:pPr>
            <w:r>
              <w:t xml:space="preserve">χριστον ειναι (28%) || --- (58.9%) || τον 12 (11.6%)</w:t>
            </w:r>
          </w:p>
        </w:tc>
      </w:tr>
      <w:tr>
        <w:tc>
          <w:tcPr/>
          <w:p>
            <w:pPr>
              <w:pStyle w:val="Compact"/>
              <w:jc w:val="left"/>
            </w:pPr>
            <w:r>
              <w:t xml:space="preserve">+</w:t>
            </w:r>
          </w:p>
        </w:tc>
        <w:tc>
          <w:tcPr/>
          <w:p>
            <w:pPr>
              <w:pStyle w:val="Compact"/>
              <w:jc w:val="left"/>
            </w:pPr>
            <w:r>
              <w:t xml:space="preserve">1:38</w:t>
            </w:r>
          </w:p>
        </w:tc>
        <w:tc>
          <w:tcPr/>
          <w:p>
            <w:pPr>
              <w:pStyle w:val="Compact"/>
              <w:jc w:val="left"/>
            </w:pPr>
            <w:r>
              <w:t xml:space="preserve">εληλυθα [40%] || εξεληλυθα [59%]</w:t>
            </w:r>
          </w:p>
        </w:tc>
      </w:tr>
      <w:tr>
        <w:tc>
          <w:tcPr/>
          <w:p>
            <w:pPr>
              <w:pStyle w:val="Compact"/>
              <w:jc w:val="left"/>
            </w:pPr>
            <w:r>
              <w:t xml:space="preserve">++--</w:t>
            </w:r>
          </w:p>
        </w:tc>
        <w:tc>
          <w:tcPr/>
          <w:p>
            <w:pPr>
              <w:pStyle w:val="Compact"/>
              <w:jc w:val="left"/>
            </w:pPr>
            <w:r>
              <w:t xml:space="preserve">1:44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2:9</w:t>
            </w:r>
          </w:p>
        </w:tc>
        <w:tc>
          <w:tcPr/>
          <w:p>
            <w:pPr>
              <w:pStyle w:val="Compact"/>
              <w:jc w:val="left"/>
            </w:pPr>
            <w:r>
              <w:t xml:space="preserve">τον κραββατον σου [40%] || ~ 312 [59%]</w:t>
            </w:r>
          </w:p>
        </w:tc>
      </w:tr>
      <w:tr>
        <w:tc>
          <w:tcPr/>
          <w:p>
            <w:pPr>
              <w:pStyle w:val="Compact"/>
              <w:jc w:val="left"/>
            </w:pPr>
            <w:r>
              <w:t xml:space="preserve">++</w:t>
            </w:r>
          </w:p>
        </w:tc>
        <w:tc>
          <w:tcPr/>
          <w:p>
            <w:pPr>
              <w:pStyle w:val="Compact"/>
              <w:jc w:val="left"/>
            </w:pPr>
            <w:r>
              <w:t xml:space="preserve">3:20</w:t>
            </w:r>
          </w:p>
        </w:tc>
        <w:tc>
          <w:tcPr/>
          <w:p>
            <w:pPr>
              <w:pStyle w:val="Compact"/>
              <w:jc w:val="left"/>
            </w:pPr>
            <w:r>
              <w:t xml:space="preserve">μηδε [30%] || μητε [70%]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4:24</w:t>
            </w:r>
          </w:p>
        </w:tc>
        <w:tc>
          <w:tcPr/>
          <w:p>
            <w:pPr>
              <w:pStyle w:val="Compact"/>
              <w:jc w:val="left"/>
            </w:pPr>
            <w:r>
              <w:t xml:space="preserve">αντιμετρηθησεται [30%] || μετρηθησεται [69%]</w:t>
            </w:r>
          </w:p>
        </w:tc>
      </w:tr>
      <w:tr>
        <w:tc>
          <w:tcPr/>
          <w:p>
            <w:pPr>
              <w:pStyle w:val="Compact"/>
              <w:jc w:val="left"/>
            </w:pPr>
            <w:r>
              <w:t xml:space="preserve">++</w:t>
            </w:r>
          </w:p>
        </w:tc>
        <w:tc>
          <w:tcPr/>
          <w:p>
            <w:pPr>
              <w:pStyle w:val="Compact"/>
              <w:jc w:val="left"/>
            </w:pPr>
            <w:r>
              <w:t xml:space="preserve">5:3</w:t>
            </w:r>
            <w:r>
              <w:rPr>
                <w:vertAlign w:val="superscript"/>
              </w:rPr>
              <w:t xml:space="preserve">a</w:t>
            </w:r>
          </w:p>
        </w:tc>
        <w:tc>
          <w:tcPr/>
          <w:p>
            <w:pPr>
              <w:pStyle w:val="Compact"/>
              <w:jc w:val="left"/>
            </w:pPr>
            <w:r>
              <w:t xml:space="preserve">οικησιν [30%] || κατοικησιν [70%]</w:t>
            </w:r>
          </w:p>
        </w:tc>
      </w:tr>
      <w:tr>
        <w:tc>
          <w:tcPr/>
          <w:p>
            <w:pPr>
              <w:pStyle w:val="Compact"/>
              <w:jc w:val="left"/>
            </w:pPr>
            <w:r>
              <w:t xml:space="preserve">+</w:t>
            </w:r>
          </w:p>
        </w:tc>
        <w:tc>
          <w:tcPr/>
          <w:p>
            <w:pPr>
              <w:pStyle w:val="Compact"/>
              <w:jc w:val="left"/>
            </w:pPr>
            <w:r>
              <w:t xml:space="preserve">5:3</w:t>
            </w:r>
            <w:r>
              <w:rPr>
                <w:vertAlign w:val="superscript"/>
              </w:rPr>
              <w:t xml:space="preserve">b</w:t>
            </w:r>
          </w:p>
        </w:tc>
        <w:tc>
          <w:tcPr/>
          <w:p>
            <w:pPr>
              <w:pStyle w:val="Compact"/>
              <w:jc w:val="left"/>
            </w:pPr>
            <w:r>
              <w:t xml:space="preserve">ηδυνατο [40%] || εδυνατο [60%]</w:t>
            </w:r>
          </w:p>
        </w:tc>
      </w:tr>
      <w:tr>
        <w:tc>
          <w:tcPr/>
          <w:p>
            <w:pPr>
              <w:pStyle w:val="Compact"/>
              <w:jc w:val="left"/>
            </w:pPr>
            <w:r>
              <w:t xml:space="preserve">++--</w:t>
            </w:r>
          </w:p>
        </w:tc>
        <w:tc>
          <w:tcPr/>
          <w:p>
            <w:pPr>
              <w:pStyle w:val="Compact"/>
              <w:jc w:val="left"/>
            </w:pPr>
            <w:r>
              <w:t xml:space="preserve">5:4</w:t>
            </w:r>
          </w:p>
        </w:tc>
        <w:tc>
          <w:tcPr/>
          <w:p>
            <w:pPr>
              <w:pStyle w:val="Compact"/>
              <w:jc w:val="left"/>
            </w:pPr>
            <w:r>
              <w:t xml:space="preserve">ισχυσεν [26%] || ισχυεν [74%]</w:t>
            </w:r>
          </w:p>
        </w:tc>
      </w:tr>
      <w:tr>
        <w:tc>
          <w:tcPr/>
          <w:p>
            <w:pPr>
              <w:pStyle w:val="Compact"/>
              <w:jc w:val="left"/>
            </w:pPr>
            <w:r>
              <w:t xml:space="preserve">+</w:t>
            </w:r>
          </w:p>
        </w:tc>
        <w:tc>
          <w:tcPr/>
          <w:p>
            <w:pPr>
              <w:pStyle w:val="Compact"/>
              <w:jc w:val="left"/>
            </w:pPr>
            <w:r>
              <w:t xml:space="preserve">5:5</w:t>
            </w:r>
          </w:p>
        </w:tc>
        <w:tc>
          <w:tcPr/>
          <w:p>
            <w:pPr>
              <w:pStyle w:val="Compact"/>
              <w:jc w:val="left"/>
            </w:pPr>
            <w:r>
              <w:t xml:space="preserve">μνημασιν και εν τοις ορεσιν [40%] || ~ 52341 [57%]</w:t>
            </w:r>
          </w:p>
        </w:tc>
      </w:tr>
      <w:tr>
        <w:tc>
          <w:tcPr/>
          <w:p>
            <w:pPr>
              <w:pStyle w:val="Compact"/>
              <w:jc w:val="left"/>
            </w:pPr>
            <w:r>
              <w:t xml:space="preserve">+++</w:t>
            </w:r>
          </w:p>
        </w:tc>
        <w:tc>
          <w:tcPr/>
          <w:p>
            <w:pPr>
              <w:pStyle w:val="Compact"/>
              <w:jc w:val="left"/>
            </w:pPr>
            <w:r>
              <w:t xml:space="preserve">6:20</w:t>
            </w:r>
          </w:p>
        </w:tc>
        <w:tc>
          <w:tcPr/>
          <w:p>
            <w:pPr>
              <w:pStyle w:val="Compact"/>
              <w:jc w:val="left"/>
            </w:pPr>
            <w:r>
              <w:t xml:space="preserve">ακουων [20%] || ακουσας [80%]</w:t>
            </w:r>
          </w:p>
        </w:tc>
      </w:tr>
      <w:tr>
        <w:tc>
          <w:tcPr/>
          <w:p>
            <w:pPr>
              <w:pStyle w:val="Compact"/>
              <w:jc w:val="left"/>
            </w:pPr>
            <w:r>
              <w:t xml:space="preserve">+</w:t>
            </w:r>
          </w:p>
        </w:tc>
        <w:tc>
          <w:tcPr/>
          <w:p>
            <w:pPr>
              <w:pStyle w:val="Compact"/>
              <w:jc w:val="left"/>
            </w:pPr>
            <w:r>
              <w:t xml:space="preserve">6:45</w:t>
            </w:r>
          </w:p>
        </w:tc>
        <w:tc>
          <w:tcPr/>
          <w:p>
            <w:pPr>
              <w:pStyle w:val="Compact"/>
              <w:jc w:val="left"/>
            </w:pPr>
            <w:r>
              <w:t xml:space="preserve">απολυσει [40%] || απολυση [59%]</w:t>
            </w:r>
          </w:p>
        </w:tc>
      </w:tr>
      <w:tr>
        <w:tc>
          <w:tcPr/>
          <w:p>
            <w:pPr>
              <w:pStyle w:val="Compact"/>
              <w:jc w:val="left"/>
            </w:pPr>
            <w:r>
              <w:t xml:space="preserve">++</w:t>
            </w:r>
          </w:p>
        </w:tc>
        <w:tc>
          <w:tcPr/>
          <w:p>
            <w:pPr>
              <w:pStyle w:val="Compact"/>
              <w:jc w:val="left"/>
            </w:pPr>
            <w:r>
              <w:t xml:space="preserve">6:53</w:t>
            </w:r>
          </w:p>
        </w:tc>
        <w:tc>
          <w:tcPr/>
          <w:p>
            <w:pPr>
              <w:pStyle w:val="Compact"/>
              <w:jc w:val="left"/>
            </w:pPr>
            <w:r>
              <w:t xml:space="preserve">γενησαρετ [30%] || γεννησαρετ [53%]</w:t>
            </w:r>
          </w:p>
        </w:tc>
      </w:tr>
      <w:tr>
        <w:tc>
          <w:tcPr/>
          <w:p>
            <w:pPr>
              <w:pStyle w:val="Compact"/>
              <w:jc w:val="left"/>
            </w:pPr>
            <w:r>
              <w:t xml:space="preserve">++</w:t>
            </w:r>
          </w:p>
        </w:tc>
        <w:tc>
          <w:tcPr/>
          <w:p>
            <w:pPr>
              <w:pStyle w:val="Compact"/>
              <w:jc w:val="left"/>
            </w:pPr>
            <w:r>
              <w:t xml:space="preserve">7:4</w:t>
            </w:r>
          </w:p>
        </w:tc>
        <w:tc>
          <w:tcPr/>
          <w:p>
            <w:pPr>
              <w:pStyle w:val="Compact"/>
              <w:jc w:val="left"/>
            </w:pPr>
            <w:r>
              <w:t xml:space="preserve">χαλκειων [30%] || χαλκιων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νηστις [30%] || νηστεις [70%]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και [40%] || --- [60%]</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οι μαθηται αυτου [35%] || --- [64%]</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ουπω [41%] || ου [59%]</w:t>
            </w:r>
          </w:p>
        </w:tc>
      </w:tr>
      <w:tr>
        <w:tc>
          <w:tcPr/>
          <w:p>
            <w:pPr>
              <w:pStyle w:val="Compact"/>
              <w:jc w:val="left"/>
            </w:pPr>
            <w:r>
              <w:t xml:space="preserve">++--</w:t>
            </w:r>
          </w:p>
        </w:tc>
        <w:tc>
          <w:tcPr/>
          <w:p>
            <w:pPr>
              <w:pStyle w:val="Compact"/>
              <w:jc w:val="left"/>
            </w:pPr>
            <w:r>
              <w:t xml:space="preserve">9:3</w:t>
            </w:r>
          </w:p>
        </w:tc>
        <w:tc>
          <w:tcPr/>
          <w:p>
            <w:pPr>
              <w:pStyle w:val="Compact"/>
              <w:jc w:val="left"/>
            </w:pPr>
            <w:r>
              <w:t xml:space="preserve">κναφευς [25%] || γναφευς [75%]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ιδον [30%] || ιδων [70%]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σκωληξ [30%] || 1 αυτων [70%]</w:t>
            </w:r>
          </w:p>
        </w:tc>
      </w:tr>
      <w:tr>
        <w:tc>
          <w:tcPr/>
          <w:p>
            <w:pPr>
              <w:pStyle w:val="Compact"/>
              <w:jc w:val="left"/>
            </w:pPr>
            <w:r>
              <w:t xml:space="preserve">+--</w:t>
            </w:r>
          </w:p>
        </w:tc>
        <w:tc>
          <w:tcPr/>
          <w:p>
            <w:pPr>
              <w:pStyle w:val="Compact"/>
              <w:jc w:val="left"/>
            </w:pPr>
            <w:r>
              <w:t xml:space="preserve">10:8</w:t>
            </w:r>
          </w:p>
        </w:tc>
        <w:tc>
          <w:tcPr/>
          <w:p>
            <w:pPr>
              <w:pStyle w:val="Compact"/>
              <w:jc w:val="left"/>
            </w:pPr>
            <w:r>
              <w:t xml:space="preserve">σαρξ μια [35%] || ~ 21 [65%]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τις [20%] || εις [70%] || --- [10%]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γαρ [20%] || --- [80%]</w:t>
            </w:r>
          </w:p>
        </w:tc>
      </w:tr>
      <w:tr>
        <w:tc>
          <w:tcPr/>
          <w:p>
            <w:pPr>
              <w:pStyle w:val="Compact"/>
              <w:jc w:val="left"/>
            </w:pPr>
            <w:r>
              <w:t xml:space="preserve">+</w:t>
            </w:r>
          </w:p>
        </w:tc>
        <w:tc>
          <w:tcPr/>
          <w:p>
            <w:pPr>
              <w:pStyle w:val="Compact"/>
              <w:jc w:val="left"/>
            </w:pPr>
            <w:r>
              <w:t xml:space="preserve">10:30</w:t>
            </w:r>
          </w:p>
        </w:tc>
        <w:tc>
          <w:tcPr/>
          <w:p>
            <w:pPr>
              <w:pStyle w:val="Compact"/>
              <w:jc w:val="left"/>
            </w:pPr>
            <w:r>
              <w:t xml:space="preserve">πατερα και μητερα [40%] || μητερας [55%]</w:t>
            </w:r>
          </w:p>
        </w:tc>
      </w:tr>
      <w:tr>
        <w:tc>
          <w:tcPr/>
          <w:p>
            <w:pPr>
              <w:pStyle w:val="Compact"/>
              <w:jc w:val="left"/>
            </w:pPr>
            <w:r>
              <w:t xml:space="preserve">+</w:t>
            </w:r>
          </w:p>
        </w:tc>
        <w:tc>
          <w:tcPr/>
          <w:p>
            <w:pPr>
              <w:pStyle w:val="Compact"/>
              <w:jc w:val="left"/>
            </w:pPr>
            <w:r>
              <w:t xml:space="preserve">10:33</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10:40</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10:51</w:t>
            </w:r>
          </w:p>
        </w:tc>
        <w:tc>
          <w:tcPr/>
          <w:p>
            <w:pPr>
              <w:pStyle w:val="Compact"/>
              <w:jc w:val="left"/>
            </w:pPr>
            <w:r>
              <w:t xml:space="preserve">ραβουνι [35%] || ραββουνι [59%]</w:t>
            </w:r>
          </w:p>
        </w:tc>
      </w:tr>
      <w:tr>
        <w:tc>
          <w:tcPr/>
          <w:p>
            <w:pPr>
              <w:pStyle w:val="Compact"/>
              <w:jc w:val="left"/>
            </w:pPr>
            <w:r>
              <w:t xml:space="preserve">++</w:t>
            </w:r>
          </w:p>
        </w:tc>
        <w:tc>
          <w:tcPr/>
          <w:p>
            <w:pPr>
              <w:pStyle w:val="Compact"/>
              <w:jc w:val="left"/>
            </w:pPr>
            <w:r>
              <w:t xml:space="preserve">10:52</w:t>
            </w:r>
          </w:p>
        </w:tc>
        <w:tc>
          <w:tcPr/>
          <w:p>
            <w:pPr>
              <w:pStyle w:val="Compact"/>
              <w:jc w:val="left"/>
            </w:pPr>
            <w:r>
              <w:t xml:space="preserve">ηκολουθησεν [30%] || ηκολουθει [69%]</w:t>
            </w:r>
          </w:p>
        </w:tc>
      </w:tr>
      <w:tr>
        <w:tc>
          <w:tcPr/>
          <w:p>
            <w:pPr>
              <w:pStyle w:val="Compact"/>
              <w:jc w:val="left"/>
            </w:pPr>
            <w:r>
              <w:t xml:space="preserve">++</w:t>
            </w:r>
          </w:p>
        </w:tc>
        <w:tc>
          <w:tcPr/>
          <w:p>
            <w:pPr>
              <w:pStyle w:val="Compact"/>
              <w:jc w:val="left"/>
            </w:pPr>
            <w:r>
              <w:t xml:space="preserve">11:5</w:t>
            </w:r>
          </w:p>
        </w:tc>
        <w:tc>
          <w:tcPr/>
          <w:p>
            <w:pPr>
              <w:pStyle w:val="Compact"/>
              <w:jc w:val="left"/>
            </w:pPr>
            <w:r>
              <w:t xml:space="preserve">εστωτων [30%] || εστηκοτων [70%]</w:t>
            </w:r>
          </w:p>
        </w:tc>
      </w:tr>
      <w:tr>
        <w:tc>
          <w:tcPr/>
          <w:p>
            <w:pPr>
              <w:pStyle w:val="Compact"/>
              <w:jc w:val="left"/>
            </w:pPr>
            <w:r>
              <w:t xml:space="preserve">+--</w:t>
            </w:r>
          </w:p>
        </w:tc>
        <w:tc>
          <w:tcPr/>
          <w:p>
            <w:pPr>
              <w:pStyle w:val="Compact"/>
              <w:jc w:val="left"/>
            </w:pPr>
            <w:r>
              <w:t xml:space="preserve">11:14</w:t>
            </w:r>
          </w:p>
        </w:tc>
        <w:tc>
          <w:tcPr/>
          <w:p>
            <w:pPr>
              <w:pStyle w:val="Compact"/>
              <w:jc w:val="left"/>
            </w:pPr>
            <w:r>
              <w:t xml:space="preserve">φαγη [35%] || φαγοι [65%]</w:t>
            </w:r>
          </w:p>
        </w:tc>
      </w:tr>
      <w:tr>
        <w:tc>
          <w:tcPr/>
          <w:p>
            <w:pPr>
              <w:pStyle w:val="Compact"/>
              <w:jc w:val="left"/>
            </w:pPr>
            <w:r>
              <w:t xml:space="preserve">+--</w:t>
            </w:r>
          </w:p>
        </w:tc>
        <w:tc>
          <w:tcPr/>
          <w:p>
            <w:pPr>
              <w:pStyle w:val="Compact"/>
              <w:jc w:val="left"/>
            </w:pPr>
            <w:r>
              <w:t xml:space="preserve">11:18</w:t>
            </w:r>
          </w:p>
        </w:tc>
        <w:tc>
          <w:tcPr/>
          <w:p>
            <w:pPr>
              <w:pStyle w:val="Compact"/>
              <w:jc w:val="left"/>
            </w:pPr>
            <w:r>
              <w:t xml:space="preserve">απολεσουσιν [35%] || απολεσωσιν [65%]</w:t>
            </w:r>
          </w:p>
        </w:tc>
      </w:tr>
      <w:tr>
        <w:tc>
          <w:tcPr/>
          <w:p>
            <w:pPr>
              <w:pStyle w:val="Compact"/>
              <w:jc w:val="left"/>
            </w:pPr>
            <w:r>
              <w:t xml:space="preserve">+++</w:t>
            </w:r>
          </w:p>
        </w:tc>
        <w:tc>
          <w:tcPr/>
          <w:p>
            <w:pPr>
              <w:pStyle w:val="Compact"/>
              <w:jc w:val="left"/>
            </w:pPr>
            <w:r>
              <w:t xml:space="preserve">11:30</w:t>
            </w:r>
          </w:p>
        </w:tc>
        <w:tc>
          <w:tcPr/>
          <w:p>
            <w:pPr>
              <w:pStyle w:val="Compact"/>
              <w:jc w:val="left"/>
            </w:pPr>
            <w:r>
              <w:t xml:space="preserve">ανθρωπων [20%] || 1 αποκριθητε μοι [80%]</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εδηραν [30%] || εδειραν [70%]</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δαιροντες [30%] || δεροντες [70%]</w:t>
            </w:r>
          </w:p>
        </w:tc>
      </w:tr>
      <w:tr>
        <w:tc>
          <w:tcPr/>
          <w:p>
            <w:pPr>
              <w:pStyle w:val="Compact"/>
              <w:jc w:val="left"/>
            </w:pPr>
            <w:r>
              <w:t xml:space="preserve">+++</w:t>
            </w:r>
          </w:p>
        </w:tc>
        <w:tc>
          <w:tcPr/>
          <w:p>
            <w:pPr>
              <w:pStyle w:val="Compact"/>
              <w:jc w:val="left"/>
            </w:pPr>
            <w:r>
              <w:t xml:space="preserve">12:26</w:t>
            </w:r>
          </w:p>
        </w:tc>
        <w:tc>
          <w:tcPr/>
          <w:p>
            <w:pPr>
              <w:pStyle w:val="Compact"/>
              <w:jc w:val="left"/>
            </w:pPr>
            <w:r>
              <w:t xml:space="preserve">μωυσεος [20%] || μωσεως [50%] || μωυσεως [30%]</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a</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b</w:t>
            </w:r>
          </w:p>
        </w:tc>
        <w:tc>
          <w:tcPr/>
          <w:p>
            <w:pPr>
              <w:pStyle w:val="Compact"/>
              <w:jc w:val="left"/>
            </w:pPr>
            <w:r>
              <w:t xml:space="preserve">υμων [25%] || ημων [74%]</w:t>
            </w:r>
          </w:p>
        </w:tc>
      </w:tr>
      <w:tr>
        <w:tc>
          <w:tcPr/>
          <w:p>
            <w:pPr>
              <w:pStyle w:val="Compact"/>
              <w:jc w:val="left"/>
            </w:pPr>
            <w:r>
              <w:t xml:space="preserve">+--</w:t>
            </w:r>
          </w:p>
        </w:tc>
        <w:tc>
          <w:tcPr/>
          <w:p>
            <w:pPr>
              <w:pStyle w:val="Compact"/>
              <w:jc w:val="left"/>
            </w:pPr>
            <w:r>
              <w:t xml:space="preserve">12:41</w:t>
            </w:r>
          </w:p>
        </w:tc>
        <w:tc>
          <w:tcPr/>
          <w:p>
            <w:pPr>
              <w:pStyle w:val="Compact"/>
              <w:jc w:val="left"/>
            </w:pPr>
            <w:r>
              <w:t xml:space="preserve">εβαλον [35%] || εβαλλον [65%]</w:t>
            </w:r>
          </w:p>
        </w:tc>
      </w:tr>
      <w:tr>
        <w:tc>
          <w:tcPr/>
          <w:p>
            <w:pPr>
              <w:pStyle w:val="Compact"/>
              <w:jc w:val="left"/>
            </w:pPr>
            <w:r>
              <w:t xml:space="preserve">++</w:t>
            </w:r>
          </w:p>
        </w:tc>
        <w:tc>
          <w:tcPr/>
          <w:p>
            <w:pPr>
              <w:pStyle w:val="Compact"/>
              <w:jc w:val="left"/>
            </w:pPr>
            <w:r>
              <w:t xml:space="preserve">13:2</w:t>
            </w:r>
            <w:r>
              <w:rPr>
                <w:vertAlign w:val="superscript"/>
              </w:rPr>
              <w:t xml:space="preserve">a</w:t>
            </w:r>
          </w:p>
        </w:tc>
        <w:tc>
          <w:tcPr/>
          <w:p>
            <w:pPr>
              <w:pStyle w:val="Compact"/>
              <w:jc w:val="left"/>
            </w:pPr>
            <w:r>
              <w:t xml:space="preserve">αποκριθεις ο ιησους [30%] || ~ 231 [68%]</w:t>
            </w:r>
          </w:p>
        </w:tc>
      </w:tr>
      <w:tr>
        <w:tc>
          <w:tcPr/>
          <w:p>
            <w:pPr>
              <w:pStyle w:val="Compact"/>
              <w:jc w:val="left"/>
            </w:pPr>
            <w:r>
              <w:t xml:space="preserve">+++</w:t>
            </w:r>
          </w:p>
        </w:tc>
        <w:tc>
          <w:tcPr/>
          <w:p>
            <w:pPr>
              <w:pStyle w:val="Compact"/>
              <w:jc w:val="left"/>
            </w:pPr>
            <w:r>
              <w:t xml:space="preserve">13:2</w:t>
            </w:r>
            <w:r>
              <w:rPr>
                <w:vertAlign w:val="superscript"/>
              </w:rPr>
              <w:t xml:space="preserve">b</w:t>
            </w:r>
          </w:p>
        </w:tc>
        <w:tc>
          <w:tcPr/>
          <w:p>
            <w:pPr>
              <w:pStyle w:val="Compact"/>
              <w:jc w:val="left"/>
            </w:pPr>
            <w:r>
              <w:t xml:space="preserve">ωδε (21.1%) || --- (78.9%)</w:t>
            </w:r>
          </w:p>
        </w:tc>
      </w:tr>
      <w:tr>
        <w:tc>
          <w:tcPr/>
          <w:p>
            <w:pPr>
              <w:pStyle w:val="Compact"/>
              <w:jc w:val="left"/>
            </w:pPr>
            <w:r>
              <w:t xml:space="preserve">++</w:t>
            </w:r>
          </w:p>
        </w:tc>
        <w:tc>
          <w:tcPr/>
          <w:p>
            <w:pPr>
              <w:pStyle w:val="Compact"/>
              <w:jc w:val="left"/>
            </w:pPr>
            <w:r>
              <w:t xml:space="preserve">13:9</w:t>
            </w:r>
          </w:p>
        </w:tc>
        <w:tc>
          <w:tcPr/>
          <w:p>
            <w:pPr>
              <w:pStyle w:val="Compact"/>
              <w:jc w:val="left"/>
            </w:pPr>
            <w:r>
              <w:t xml:space="preserve">αχθησεσθε [30%] || σταθησεσθε [70%]</w:t>
            </w:r>
          </w:p>
        </w:tc>
      </w:tr>
      <w:tr>
        <w:tc>
          <w:tcPr/>
          <w:p>
            <w:pPr>
              <w:pStyle w:val="Compact"/>
              <w:jc w:val="left"/>
            </w:pPr>
            <w:r>
              <w:t xml:space="preserve">+--</w:t>
            </w:r>
          </w:p>
        </w:tc>
        <w:tc>
          <w:tcPr/>
          <w:p>
            <w:pPr>
              <w:pStyle w:val="Compact"/>
              <w:jc w:val="left"/>
            </w:pPr>
            <w:r>
              <w:t xml:space="preserve">13:11</w:t>
            </w:r>
            <w:r>
              <w:rPr>
                <w:vertAlign w:val="superscript"/>
              </w:rPr>
              <w:t xml:space="preserve">a</w:t>
            </w:r>
          </w:p>
        </w:tc>
        <w:tc>
          <w:tcPr/>
          <w:p>
            <w:pPr>
              <w:pStyle w:val="Compact"/>
              <w:jc w:val="left"/>
            </w:pPr>
            <w:r>
              <w:t xml:space="preserve">αγωσιν [35%] || αγαγωσιν [65%]</w:t>
            </w:r>
          </w:p>
        </w:tc>
      </w:tr>
      <w:tr>
        <w:tc>
          <w:tcPr/>
          <w:p>
            <w:pPr>
              <w:pStyle w:val="Compact"/>
              <w:jc w:val="left"/>
            </w:pPr>
            <w:r>
              <w:t xml:space="preserve">+--</w:t>
            </w:r>
          </w:p>
        </w:tc>
        <w:tc>
          <w:tcPr/>
          <w:p>
            <w:pPr>
              <w:pStyle w:val="Compact"/>
              <w:jc w:val="left"/>
            </w:pPr>
            <w:r>
              <w:t xml:space="preserve">13:11</w:t>
            </w:r>
            <w:r>
              <w:rPr>
                <w:vertAlign w:val="superscript"/>
              </w:rPr>
              <w:t xml:space="preserve">b</w:t>
            </w:r>
          </w:p>
        </w:tc>
        <w:tc>
          <w:tcPr/>
          <w:p>
            <w:pPr>
              <w:pStyle w:val="Compact"/>
              <w:jc w:val="left"/>
            </w:pPr>
            <w:r>
              <w:t xml:space="preserve">λαλησετε [35%] || λαλησητε [65%]</w:t>
            </w:r>
          </w:p>
        </w:tc>
      </w:tr>
      <w:tr>
        <w:tc>
          <w:tcPr/>
          <w:p>
            <w:pPr>
              <w:pStyle w:val="Compact"/>
              <w:jc w:val="left"/>
            </w:pPr>
            <w:r>
              <w:t xml:space="preserve">++</w:t>
            </w:r>
          </w:p>
        </w:tc>
        <w:tc>
          <w:tcPr/>
          <w:p>
            <w:pPr>
              <w:pStyle w:val="Compact"/>
              <w:jc w:val="left"/>
            </w:pPr>
            <w:r>
              <w:t xml:space="preserve">13:21</w:t>
            </w:r>
            <w:r>
              <w:rPr>
                <w:vertAlign w:val="superscript"/>
              </w:rPr>
              <w:t xml:space="preserve">a</w:t>
            </w:r>
          </w:p>
        </w:tc>
        <w:tc>
          <w:tcPr/>
          <w:p>
            <w:pPr>
              <w:pStyle w:val="Compact"/>
              <w:jc w:val="left"/>
            </w:pPr>
            <w:r>
              <w:t xml:space="preserve">τοτε [30%] || και 1 [70%]</w:t>
            </w:r>
          </w:p>
        </w:tc>
      </w:tr>
      <w:tr>
        <w:tc>
          <w:tcPr/>
          <w:p>
            <w:pPr>
              <w:pStyle w:val="Compact"/>
              <w:jc w:val="left"/>
            </w:pPr>
            <w:r>
              <w:t xml:space="preserve">+</w:t>
            </w:r>
          </w:p>
        </w:tc>
        <w:tc>
          <w:tcPr/>
          <w:p>
            <w:pPr>
              <w:pStyle w:val="Compact"/>
              <w:jc w:val="left"/>
            </w:pPr>
            <w:r>
              <w:t xml:space="preserve">13:21</w:t>
            </w:r>
            <w:r>
              <w:rPr>
                <w:vertAlign w:val="superscript"/>
              </w:rPr>
              <w:t xml:space="preserve">b</w:t>
            </w:r>
          </w:p>
        </w:tc>
        <w:tc>
          <w:tcPr/>
          <w:p>
            <w:pPr>
              <w:pStyle w:val="Compact"/>
              <w:jc w:val="left"/>
            </w:pPr>
            <w:r>
              <w:t xml:space="preserve">χριστος [40%] || 1 η [60%]</w:t>
            </w:r>
          </w:p>
        </w:tc>
      </w:tr>
      <w:tr>
        <w:tc>
          <w:tcPr/>
          <w:p>
            <w:pPr>
              <w:pStyle w:val="Compact"/>
              <w:jc w:val="left"/>
            </w:pPr>
            <w:r>
              <w:t xml:space="preserve">++</w:t>
            </w:r>
          </w:p>
        </w:tc>
        <w:tc>
          <w:tcPr/>
          <w:p>
            <w:pPr>
              <w:pStyle w:val="Compact"/>
              <w:jc w:val="left"/>
            </w:pPr>
            <w:r>
              <w:t xml:space="preserve">13:28</w:t>
            </w:r>
            <w:r>
              <w:rPr>
                <w:vertAlign w:val="superscript"/>
              </w:rPr>
              <w:t xml:space="preserve">a</w:t>
            </w:r>
          </w:p>
        </w:tc>
        <w:tc>
          <w:tcPr/>
          <w:p>
            <w:pPr>
              <w:pStyle w:val="Compact"/>
              <w:jc w:val="left"/>
            </w:pPr>
            <w:r>
              <w:t xml:space="preserve">ηδη ο κλαδος αυτης (29%) || ~ 4123 (50.2%)</w:t>
            </w:r>
          </w:p>
        </w:tc>
      </w:tr>
      <w:tr>
        <w:tc>
          <w:tcPr/>
          <w:p>
            <w:pPr>
              <w:pStyle w:val="Compact"/>
              <w:jc w:val="left"/>
            </w:pPr>
            <w:r>
              <w:t xml:space="preserve">++--</w:t>
            </w:r>
          </w:p>
        </w:tc>
        <w:tc>
          <w:tcPr/>
          <w:p>
            <w:pPr>
              <w:pStyle w:val="Compact"/>
              <w:jc w:val="left"/>
            </w:pPr>
            <w:r>
              <w:t xml:space="preserve">13:28</w:t>
            </w:r>
            <w:r>
              <w:rPr>
                <w:vertAlign w:val="superscript"/>
              </w:rPr>
              <w:t xml:space="preserve">b</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13:33</w:t>
            </w:r>
          </w:p>
        </w:tc>
        <w:tc>
          <w:tcPr/>
          <w:p>
            <w:pPr>
              <w:pStyle w:val="Compact"/>
              <w:jc w:val="left"/>
            </w:pPr>
            <w:r>
              <w:t xml:space="preserve">προσευχεσθε [20%] || και 1 [77%]</w:t>
            </w:r>
          </w:p>
        </w:tc>
      </w:tr>
      <w:tr>
        <w:tc>
          <w:tcPr/>
          <w:p>
            <w:pPr>
              <w:pStyle w:val="Compact"/>
              <w:jc w:val="left"/>
            </w:pPr>
            <w:r>
              <w:t xml:space="preserve">+</w:t>
            </w:r>
          </w:p>
        </w:tc>
        <w:tc>
          <w:tcPr/>
          <w:p>
            <w:pPr>
              <w:pStyle w:val="Compact"/>
              <w:jc w:val="left"/>
            </w:pPr>
            <w:r>
              <w:t xml:space="preserve">14:11</w:t>
            </w:r>
          </w:p>
        </w:tc>
        <w:tc>
          <w:tcPr/>
          <w:p>
            <w:pPr>
              <w:pStyle w:val="Compact"/>
              <w:jc w:val="left"/>
            </w:pPr>
            <w:r>
              <w:t xml:space="preserve">αγρυρια [40%] || αγρυριον [60%]</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ανωγεων [30%] || ανωγεον [39%] || ανωγαιον [25%]</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και [25%] || --- [75%]</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μετα δε [20%] || αλλα 1 [79%]</w:t>
            </w:r>
          </w:p>
        </w:tc>
      </w:tr>
      <w:tr>
        <w:tc>
          <w:tcPr/>
          <w:p>
            <w:pPr>
              <w:pStyle w:val="Compact"/>
              <w:jc w:val="left"/>
            </w:pPr>
            <w:r>
              <w:t xml:space="preserve">+--</w:t>
            </w:r>
          </w:p>
        </w:tc>
        <w:tc>
          <w:tcPr/>
          <w:p>
            <w:pPr>
              <w:pStyle w:val="Compact"/>
              <w:jc w:val="left"/>
            </w:pPr>
            <w:r>
              <w:t xml:space="preserve">14:32</w:t>
            </w:r>
          </w:p>
        </w:tc>
        <w:tc>
          <w:tcPr/>
          <w:p>
            <w:pPr>
              <w:pStyle w:val="Compact"/>
              <w:jc w:val="left"/>
            </w:pPr>
            <w:r>
              <w:t xml:space="preserve">προσευξομαι [35%] || προσευξωμαι [65%]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παρενεγκαι [30%] || παρενεγκε [70%]</w:t>
            </w:r>
          </w:p>
        </w:tc>
      </w:tr>
      <w:tr>
        <w:tc>
          <w:tcPr/>
          <w:p>
            <w:pPr>
              <w:pStyle w:val="Compact"/>
              <w:jc w:val="left"/>
            </w:pPr>
            <w:r>
              <w:t xml:space="preserve">+--</w:t>
            </w:r>
          </w:p>
        </w:tc>
        <w:tc>
          <w:tcPr/>
          <w:p>
            <w:pPr>
              <w:pStyle w:val="Compact"/>
              <w:jc w:val="left"/>
            </w:pPr>
            <w:r>
              <w:t xml:space="preserve">14:40</w:t>
            </w:r>
          </w:p>
        </w:tc>
        <w:tc>
          <w:tcPr/>
          <w:p>
            <w:pPr>
              <w:pStyle w:val="Compact"/>
              <w:jc w:val="left"/>
            </w:pPr>
            <w:r>
              <w:t xml:space="preserve">καταβαρυνομενοι [35%] || βεβαρημενοι [64%]</w:t>
            </w:r>
          </w:p>
        </w:tc>
      </w:tr>
      <w:tr>
        <w:tc>
          <w:tcPr/>
          <w:p>
            <w:pPr>
              <w:pStyle w:val="Compact"/>
              <w:jc w:val="left"/>
            </w:pPr>
            <w:r>
              <w:t xml:space="preserve">++</w:t>
            </w:r>
          </w:p>
        </w:tc>
        <w:tc>
          <w:tcPr/>
          <w:p>
            <w:pPr>
              <w:pStyle w:val="Compact"/>
              <w:jc w:val="left"/>
            </w:pPr>
            <w:r>
              <w:t xml:space="preserve">15:18</w:t>
            </w:r>
          </w:p>
        </w:tc>
        <w:tc>
          <w:tcPr/>
          <w:p>
            <w:pPr>
              <w:pStyle w:val="Compact"/>
              <w:jc w:val="left"/>
            </w:pPr>
            <w:r>
              <w:t xml:space="preserve">και λεγειν [30%] || --- [68%]</w:t>
            </w:r>
          </w:p>
        </w:tc>
      </w:tr>
      <w:tr>
        <w:tc>
          <w:tcPr/>
          <w:p>
            <w:pPr>
              <w:pStyle w:val="Compact"/>
              <w:jc w:val="left"/>
            </w:pPr>
            <w:r>
              <w:t xml:space="preserve">++--</w:t>
            </w:r>
          </w:p>
        </w:tc>
        <w:tc>
          <w:tcPr/>
          <w:p>
            <w:pPr>
              <w:pStyle w:val="Compact"/>
              <w:jc w:val="left"/>
            </w:pPr>
            <w:r>
              <w:t xml:space="preserve">15:42</w:t>
            </w:r>
          </w:p>
        </w:tc>
        <w:tc>
          <w:tcPr/>
          <w:p>
            <w:pPr>
              <w:pStyle w:val="Compact"/>
              <w:jc w:val="left"/>
            </w:pPr>
            <w:r>
              <w:t xml:space="preserve">παρασκευη ην [25%] || ~ 21 [75%]</w:t>
            </w:r>
          </w:p>
        </w:tc>
      </w:tr>
      <w:tr>
        <w:tc>
          <w:tcPr/>
          <w:p>
            <w:pPr>
              <w:pStyle w:val="Compact"/>
              <w:jc w:val="left"/>
            </w:pPr>
            <w:r>
              <w:t xml:space="preserve">+--</w:t>
            </w:r>
          </w:p>
        </w:tc>
        <w:tc>
          <w:tcPr/>
          <w:p>
            <w:pPr>
              <w:pStyle w:val="Compact"/>
              <w:jc w:val="left"/>
            </w:pPr>
            <w:r>
              <w:t xml:space="preserve">15:43</w:t>
            </w:r>
          </w:p>
        </w:tc>
        <w:tc>
          <w:tcPr/>
          <w:p>
            <w:pPr>
              <w:pStyle w:val="Compact"/>
              <w:jc w:val="left"/>
            </w:pPr>
            <w:r>
              <w:t xml:space="preserve">ελθων [35%] || ηλθεν [65%]</w:t>
            </w:r>
          </w:p>
        </w:tc>
      </w:tr>
      <w:tr>
        <w:tc>
          <w:tcPr/>
          <w:p>
            <w:pPr>
              <w:pStyle w:val="Compact"/>
              <w:jc w:val="left"/>
            </w:pPr>
            <w:r>
              <w:t xml:space="preserve">++</w:t>
            </w:r>
          </w:p>
        </w:tc>
        <w:tc>
          <w:tcPr/>
          <w:p>
            <w:pPr>
              <w:pStyle w:val="Compact"/>
              <w:jc w:val="left"/>
            </w:pPr>
            <w:r>
              <w:t xml:space="preserve">16:1</w:t>
            </w:r>
          </w:p>
        </w:tc>
        <w:tc>
          <w:tcPr/>
          <w:p>
            <w:pPr>
              <w:pStyle w:val="Compact"/>
              <w:jc w:val="left"/>
            </w:pPr>
            <w:r>
              <w:t xml:space="preserve">τον ιησουν [30%] || αυτον [70%]</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ο ιησους [30%] || ---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(9)</w:t>
            </w:r>
          </w:p>
        </w:tc>
      </w:tr>
      <w:tr>
        <w:tc>
          <w:tcPr/>
          <w:p>
            <w:pPr>
              <w:pStyle w:val="Compact"/>
              <w:jc w:val="left"/>
            </w:pPr>
            <w:r>
              <w:t xml:space="preserve">++</w:t>
            </w:r>
          </w:p>
        </w:tc>
        <w:tc>
          <w:tcPr/>
          <w:p>
            <w:pPr>
              <w:pStyle w:val="Compact"/>
              <w:jc w:val="left"/>
            </w:pPr>
            <w:r>
              <w:t xml:space="preserve">około 30% = niezłe (23)</w:t>
            </w:r>
          </w:p>
        </w:tc>
      </w:tr>
      <w:tr>
        <w:tc>
          <w:tcPr/>
          <w:p>
            <w:pPr>
              <w:pStyle w:val="Compact"/>
              <w:jc w:val="left"/>
            </w:pPr>
            <w:r>
              <w:t xml:space="preserve">+--</w:t>
            </w:r>
          </w:p>
        </w:tc>
        <w:tc>
          <w:tcPr/>
          <w:p>
            <w:pPr>
              <w:pStyle w:val="Compact"/>
              <w:jc w:val="left"/>
            </w:pPr>
            <w:r>
              <w:t xml:space="preserve">około 35% (13)</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65</w:t>
      </w:r>
    </w:p>
    <w:p>
      <w:pPr>
        <w:pStyle w:val="BodyText"/>
      </w:pPr>
      <w:r>
        <w:rPr>
          <w:bCs/>
          <w:b/>
        </w:rPr>
        <w:t xml:space="preserve">Ewangelia Łukasza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1:55</w:t>
            </w:r>
          </w:p>
        </w:tc>
        <w:tc>
          <w:tcPr/>
          <w:p>
            <w:pPr>
              <w:pStyle w:val="Compact"/>
              <w:jc w:val="left"/>
            </w:pPr>
            <w:r>
              <w:t xml:space="preserve">εως αιωνος [35%] || εις τον αιωνα [64%]</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εσται [26%] || εστιν [74%]</w:t>
            </w:r>
          </w:p>
        </w:tc>
      </w:tr>
      <w:tr>
        <w:tc>
          <w:tcPr/>
          <w:p>
            <w:pPr>
              <w:pStyle w:val="Compact"/>
              <w:jc w:val="left"/>
            </w:pPr>
            <w:r>
              <w:t xml:space="preserve">+</w:t>
            </w:r>
          </w:p>
        </w:tc>
        <w:tc>
          <w:tcPr/>
          <w:p>
            <w:pPr>
              <w:pStyle w:val="Compact"/>
              <w:jc w:val="left"/>
            </w:pPr>
            <w:r>
              <w:t xml:space="preserve">2:40</w:t>
            </w:r>
          </w:p>
        </w:tc>
        <w:tc>
          <w:tcPr/>
          <w:p>
            <w:pPr>
              <w:pStyle w:val="Compact"/>
              <w:jc w:val="left"/>
            </w:pPr>
            <w:r>
              <w:t xml:space="preserve">αυτω [41%] || αυτο [58%]</w:t>
            </w:r>
          </w:p>
        </w:tc>
      </w:tr>
      <w:tr>
        <w:tc>
          <w:tcPr/>
          <w:p>
            <w:pPr>
              <w:pStyle w:val="Compact"/>
              <w:jc w:val="left"/>
            </w:pPr>
            <w:r>
              <w:t xml:space="preserve">+</w:t>
            </w:r>
          </w:p>
        </w:tc>
        <w:tc>
          <w:tcPr/>
          <w:p>
            <w:pPr>
              <w:pStyle w:val="Compact"/>
              <w:jc w:val="left"/>
            </w:pPr>
            <w:r>
              <w:t xml:space="preserve">3:12</w:t>
            </w:r>
          </w:p>
        </w:tc>
        <w:tc>
          <w:tcPr/>
          <w:p>
            <w:pPr>
              <w:pStyle w:val="Compact"/>
              <w:jc w:val="left"/>
            </w:pPr>
            <w:r>
              <w:t xml:space="preserve">υπ αυτου [40%] || --- [60%]</w:t>
            </w:r>
          </w:p>
        </w:tc>
      </w:tr>
      <w:tr>
        <w:tc>
          <w:tcPr/>
          <w:p>
            <w:pPr>
              <w:pStyle w:val="Compact"/>
              <w:jc w:val="left"/>
            </w:pPr>
            <w:r>
              <w:t xml:space="preserve">++++</w:t>
            </w:r>
          </w:p>
        </w:tc>
        <w:tc>
          <w:tcPr/>
          <w:p>
            <w:pPr>
              <w:pStyle w:val="Compact"/>
              <w:jc w:val="left"/>
            </w:pPr>
            <w:r>
              <w:t xml:space="preserve">3:18</w:t>
            </w:r>
          </w:p>
        </w:tc>
        <w:tc>
          <w:tcPr/>
          <w:p>
            <w:pPr>
              <w:pStyle w:val="Compact"/>
              <w:jc w:val="left"/>
            </w:pPr>
            <w:r>
              <w:t xml:space="preserve">τω λαω [15%] || τον λαον [85%]</w:t>
            </w:r>
          </w:p>
        </w:tc>
      </w:tr>
      <w:tr>
        <w:tc>
          <w:tcPr/>
          <w:p>
            <w:pPr>
              <w:pStyle w:val="Compact"/>
              <w:jc w:val="left"/>
            </w:pPr>
            <w:r>
              <w:t xml:space="preserve">++--</w:t>
            </w:r>
          </w:p>
        </w:tc>
        <w:tc>
          <w:tcPr/>
          <w:p>
            <w:pPr>
              <w:pStyle w:val="Compact"/>
              <w:jc w:val="left"/>
            </w:pPr>
            <w:r>
              <w:t xml:space="preserve">3:30</w:t>
            </w:r>
          </w:p>
        </w:tc>
        <w:tc>
          <w:tcPr/>
          <w:p>
            <w:pPr>
              <w:pStyle w:val="Compact"/>
              <w:jc w:val="left"/>
            </w:pPr>
            <w:r>
              <w:t xml:space="preserve">ιωναμ [25%] || ιωναν [48%]</w:t>
            </w:r>
          </w:p>
        </w:tc>
      </w:tr>
      <w:tr>
        <w:tc>
          <w:tcPr/>
          <w:p>
            <w:pPr>
              <w:pStyle w:val="Compact"/>
              <w:jc w:val="left"/>
            </w:pPr>
            <w:r>
              <w:t xml:space="preserve">+</w:t>
            </w:r>
          </w:p>
        </w:tc>
        <w:tc>
          <w:tcPr/>
          <w:p>
            <w:pPr>
              <w:pStyle w:val="Compact"/>
              <w:jc w:val="left"/>
            </w:pPr>
            <w:r>
              <w:t xml:space="preserve">3:34</w:t>
            </w:r>
          </w:p>
        </w:tc>
        <w:tc>
          <w:tcPr/>
          <w:p>
            <w:pPr>
              <w:pStyle w:val="Compact"/>
              <w:jc w:val="left"/>
            </w:pPr>
            <w:r>
              <w:t xml:space="preserve">θαρρα [40%] || θαρα [60%]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ραγαβ [25%] || ραγαυ [70%]</w:t>
            </w:r>
          </w:p>
        </w:tc>
      </w:tr>
      <w:tr>
        <w:tc>
          <w:tcPr/>
          <w:p>
            <w:pPr>
              <w:pStyle w:val="Compact"/>
              <w:jc w:val="left"/>
            </w:pPr>
            <w:r>
              <w:t xml:space="preserve">++--</w:t>
            </w:r>
          </w:p>
        </w:tc>
        <w:tc>
          <w:tcPr/>
          <w:p>
            <w:pPr>
              <w:pStyle w:val="Compact"/>
              <w:jc w:val="left"/>
            </w:pPr>
            <w:r>
              <w:t xml:space="preserve">4:7</w:t>
            </w:r>
          </w:p>
        </w:tc>
        <w:tc>
          <w:tcPr/>
          <w:p>
            <w:pPr>
              <w:pStyle w:val="Compact"/>
              <w:jc w:val="left"/>
            </w:pPr>
            <w:r>
              <w:t xml:space="preserve">σοι [25%] || σου [75%]</w:t>
            </w:r>
          </w:p>
        </w:tc>
      </w:tr>
      <w:tr>
        <w:tc>
          <w:tcPr/>
          <w:p>
            <w:pPr>
              <w:pStyle w:val="Compact"/>
              <w:jc w:val="left"/>
            </w:pPr>
            <w:r>
              <w:t xml:space="preserve">+</w:t>
            </w:r>
          </w:p>
        </w:tc>
        <w:tc>
          <w:tcPr/>
          <w:p>
            <w:pPr>
              <w:pStyle w:val="Compact"/>
              <w:jc w:val="left"/>
            </w:pPr>
            <w:r>
              <w:t xml:space="preserve">4:42</w:t>
            </w:r>
          </w:p>
        </w:tc>
        <w:tc>
          <w:tcPr/>
          <w:p>
            <w:pPr>
              <w:pStyle w:val="Compact"/>
              <w:jc w:val="left"/>
            </w:pPr>
            <w:r>
              <w:t xml:space="preserve">εζητουν [40%] || επεζητουν [60%]</w:t>
            </w:r>
          </w:p>
        </w:tc>
      </w:tr>
      <w:tr>
        <w:tc>
          <w:tcPr/>
          <w:p>
            <w:pPr>
              <w:pStyle w:val="Compact"/>
              <w:jc w:val="left"/>
            </w:pPr>
            <w:r>
              <w:t xml:space="preserve">++++</w:t>
            </w:r>
          </w:p>
        </w:tc>
        <w:tc>
          <w:tcPr/>
          <w:p>
            <w:pPr>
              <w:pStyle w:val="Compact"/>
              <w:jc w:val="left"/>
            </w:pPr>
            <w:r>
              <w:t xml:space="preserve">5:1</w:t>
            </w:r>
            <w:r>
              <w:rPr>
                <w:vertAlign w:val="superscript"/>
              </w:rPr>
              <w:t xml:space="preserve">a</w:t>
            </w:r>
          </w:p>
        </w:tc>
        <w:tc>
          <w:tcPr/>
          <w:p>
            <w:pPr>
              <w:pStyle w:val="Compact"/>
              <w:jc w:val="left"/>
            </w:pPr>
            <w:r>
              <w:t xml:space="preserve">περι [18%] || παρα [82%]</w:t>
            </w:r>
          </w:p>
        </w:tc>
      </w:tr>
      <w:tr>
        <w:tc>
          <w:tcPr/>
          <w:p>
            <w:pPr>
              <w:pStyle w:val="Compact"/>
              <w:jc w:val="left"/>
            </w:pPr>
            <w:r>
              <w:t xml:space="preserve">++</w:t>
            </w:r>
          </w:p>
        </w:tc>
        <w:tc>
          <w:tcPr/>
          <w:p>
            <w:pPr>
              <w:pStyle w:val="Compact"/>
              <w:jc w:val="left"/>
            </w:pPr>
            <w:r>
              <w:t xml:space="preserve">5:1</w:t>
            </w:r>
            <w:r>
              <w:rPr>
                <w:vertAlign w:val="superscript"/>
              </w:rPr>
              <w:t xml:space="preserve">b</w:t>
            </w:r>
          </w:p>
        </w:tc>
        <w:tc>
          <w:tcPr/>
          <w:p>
            <w:pPr>
              <w:pStyle w:val="Compact"/>
              <w:jc w:val="left"/>
            </w:pPr>
            <w:r>
              <w:t xml:space="preserve">γενησαρετ [29%] || γεννησαρετ [60%]</w:t>
            </w:r>
          </w:p>
        </w:tc>
      </w:tr>
      <w:tr>
        <w:tc>
          <w:tcPr/>
          <w:p>
            <w:pPr>
              <w:pStyle w:val="Compact"/>
              <w:jc w:val="left"/>
            </w:pPr>
            <w:r>
              <w:t xml:space="preserve">++</w:t>
            </w:r>
          </w:p>
        </w:tc>
        <w:tc>
          <w:tcPr/>
          <w:p>
            <w:pPr>
              <w:pStyle w:val="Compact"/>
              <w:jc w:val="left"/>
            </w:pPr>
            <w:r>
              <w:t xml:space="preserve">5:14</w:t>
            </w:r>
          </w:p>
        </w:tc>
        <w:tc>
          <w:tcPr/>
          <w:p>
            <w:pPr>
              <w:pStyle w:val="Compact"/>
              <w:jc w:val="left"/>
            </w:pPr>
            <w:r>
              <w:t xml:space="preserve">προσενεγκαι [30%] || προσενεγκε [70%]</w:t>
            </w:r>
          </w:p>
        </w:tc>
      </w:tr>
      <w:tr>
        <w:tc>
          <w:tcPr/>
          <w:p>
            <w:pPr>
              <w:pStyle w:val="Compact"/>
              <w:jc w:val="left"/>
            </w:pPr>
            <w:r>
              <w:t xml:space="preserve">+--</w:t>
            </w:r>
          </w:p>
        </w:tc>
        <w:tc>
          <w:tcPr/>
          <w:p>
            <w:pPr>
              <w:pStyle w:val="Compact"/>
              <w:jc w:val="left"/>
            </w:pPr>
            <w:r>
              <w:t xml:space="preserve">5:19</w:t>
            </w:r>
          </w:p>
        </w:tc>
        <w:tc>
          <w:tcPr/>
          <w:p>
            <w:pPr>
              <w:pStyle w:val="Compact"/>
              <w:jc w:val="left"/>
            </w:pPr>
            <w:r>
              <w:t xml:space="preserve">πως [35%] || ποιας [57%]</w:t>
            </w:r>
          </w:p>
        </w:tc>
      </w:tr>
      <w:tr>
        <w:tc>
          <w:tcPr/>
          <w:p>
            <w:pPr>
              <w:pStyle w:val="Compact"/>
              <w:jc w:val="left"/>
            </w:pPr>
            <w:r>
              <w:t xml:space="preserve">++--</w:t>
            </w:r>
          </w:p>
        </w:tc>
        <w:tc>
          <w:tcPr/>
          <w:p>
            <w:pPr>
              <w:pStyle w:val="Compact"/>
              <w:jc w:val="left"/>
            </w:pPr>
            <w:r>
              <w:t xml:space="preserve">5:35</w:t>
            </w:r>
          </w:p>
        </w:tc>
        <w:tc>
          <w:tcPr/>
          <w:p>
            <w:pPr>
              <w:pStyle w:val="Compact"/>
              <w:jc w:val="left"/>
            </w:pPr>
            <w:r>
              <w:t xml:space="preserve">ημεραι [25%] || 1 και [75%]</w:t>
            </w:r>
          </w:p>
        </w:tc>
      </w:tr>
      <w:tr>
        <w:tc>
          <w:tcPr/>
          <w:p>
            <w:pPr>
              <w:pStyle w:val="Compact"/>
              <w:jc w:val="left"/>
            </w:pPr>
            <w:r>
              <w:t xml:space="preserve">++--</w:t>
            </w:r>
          </w:p>
        </w:tc>
        <w:tc>
          <w:tcPr/>
          <w:p>
            <w:pPr>
              <w:pStyle w:val="Compact"/>
              <w:jc w:val="left"/>
            </w:pPr>
            <w:r>
              <w:t xml:space="preserve">6:7</w:t>
            </w:r>
          </w:p>
        </w:tc>
        <w:tc>
          <w:tcPr/>
          <w:p>
            <w:pPr>
              <w:pStyle w:val="Compact"/>
              <w:jc w:val="left"/>
            </w:pPr>
            <w:r>
              <w:t xml:space="preserve">ει [25%] || 1 εν [75%]</w:t>
            </w:r>
          </w:p>
        </w:tc>
      </w:tr>
      <w:tr>
        <w:tc>
          <w:tcPr/>
          <w:p>
            <w:pPr>
              <w:pStyle w:val="Compact"/>
              <w:jc w:val="left"/>
            </w:pPr>
            <w:r>
              <w:t xml:space="preserve">+</w:t>
            </w:r>
          </w:p>
        </w:tc>
        <w:tc>
          <w:tcPr/>
          <w:p>
            <w:pPr>
              <w:pStyle w:val="Compact"/>
              <w:jc w:val="left"/>
            </w:pPr>
            <w:r>
              <w:t xml:space="preserve">6:10</w:t>
            </w:r>
          </w:p>
        </w:tc>
        <w:tc>
          <w:tcPr/>
          <w:p>
            <w:pPr>
              <w:pStyle w:val="Compact"/>
              <w:jc w:val="left"/>
            </w:pPr>
            <w:r>
              <w:t xml:space="preserve">ουτως [42%] || --- [54.5%]</w:t>
            </w:r>
          </w:p>
        </w:tc>
      </w:tr>
      <w:tr>
        <w:tc>
          <w:tcPr/>
          <w:p>
            <w:pPr>
              <w:pStyle w:val="Compact"/>
              <w:jc w:val="left"/>
            </w:pPr>
            <w:r>
              <w:t xml:space="preserve">+++</w:t>
            </w:r>
          </w:p>
        </w:tc>
        <w:tc>
          <w:tcPr/>
          <w:p>
            <w:pPr>
              <w:pStyle w:val="Compact"/>
              <w:jc w:val="left"/>
            </w:pPr>
            <w:r>
              <w:t xml:space="preserve">6:26</w:t>
            </w:r>
            <w:r>
              <w:rPr>
                <w:vertAlign w:val="superscript"/>
              </w:rPr>
              <w:t xml:space="preserve">a</w:t>
            </w:r>
          </w:p>
        </w:tc>
        <w:tc>
          <w:tcPr/>
          <w:p>
            <w:pPr>
              <w:pStyle w:val="Compact"/>
              <w:jc w:val="left"/>
            </w:pPr>
            <w:r>
              <w:t xml:space="preserve">καλως ειπωσιν υμας (22%) || ~ 132 (76.1%)</w:t>
            </w:r>
          </w:p>
        </w:tc>
      </w:tr>
      <w:tr>
        <w:tc>
          <w:tcPr/>
          <w:p>
            <w:pPr>
              <w:pStyle w:val="Compact"/>
              <w:jc w:val="left"/>
            </w:pPr>
            <w:r>
              <w:t xml:space="preserve">+</w:t>
            </w:r>
          </w:p>
        </w:tc>
        <w:tc>
          <w:tcPr/>
          <w:p>
            <w:pPr>
              <w:pStyle w:val="Compact"/>
              <w:jc w:val="left"/>
            </w:pPr>
            <w:r>
              <w:t xml:space="preserve">6:26</w:t>
            </w:r>
            <w:r>
              <w:rPr>
                <w:vertAlign w:val="superscript"/>
              </w:rPr>
              <w:t xml:space="preserve">b</w:t>
            </w:r>
          </w:p>
        </w:tc>
        <w:tc>
          <w:tcPr/>
          <w:p>
            <w:pPr>
              <w:pStyle w:val="Compact"/>
              <w:jc w:val="left"/>
            </w:pPr>
            <w:r>
              <w:t xml:space="preserve">παντες (39.1%) || --- (60.5%)</w:t>
            </w:r>
          </w:p>
        </w:tc>
      </w:tr>
      <w:tr>
        <w:tc>
          <w:tcPr/>
          <w:p>
            <w:pPr>
              <w:pStyle w:val="Compact"/>
              <w:jc w:val="left"/>
            </w:pPr>
            <w:r>
              <w:t xml:space="preserve">++</w:t>
            </w:r>
          </w:p>
        </w:tc>
        <w:tc>
          <w:tcPr/>
          <w:p>
            <w:pPr>
              <w:pStyle w:val="Compact"/>
              <w:jc w:val="left"/>
            </w:pPr>
            <w:r>
              <w:t xml:space="preserve">6:49</w:t>
            </w:r>
          </w:p>
        </w:tc>
        <w:tc>
          <w:tcPr/>
          <w:p>
            <w:pPr>
              <w:pStyle w:val="Compact"/>
              <w:jc w:val="left"/>
            </w:pPr>
            <w:r>
              <w:t xml:space="preserve">την [30%] || ---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σωσαννα [35%] || σουσαννα [65%]</w:t>
            </w:r>
          </w:p>
        </w:tc>
      </w:tr>
      <w:tr>
        <w:tc>
          <w:tcPr/>
          <w:p>
            <w:pPr>
              <w:pStyle w:val="Compact"/>
              <w:jc w:val="left"/>
            </w:pPr>
            <w:r>
              <w:t xml:space="preserve">++</w:t>
            </w:r>
          </w:p>
        </w:tc>
        <w:tc>
          <w:tcPr/>
          <w:p>
            <w:pPr>
              <w:pStyle w:val="Compact"/>
              <w:jc w:val="left"/>
            </w:pPr>
            <w:r>
              <w:t xml:space="preserve">8:24</w:t>
            </w:r>
          </w:p>
        </w:tc>
        <w:tc>
          <w:tcPr/>
          <w:p>
            <w:pPr>
              <w:pStyle w:val="Compact"/>
              <w:jc w:val="left"/>
            </w:pPr>
            <w:r>
              <w:t xml:space="preserve">και προσελθοντες [32%] || ~ 2 δε [68%]</w:t>
            </w:r>
          </w:p>
        </w:tc>
      </w:tr>
      <w:tr>
        <w:tc>
          <w:tcPr/>
          <w:p>
            <w:pPr>
              <w:pStyle w:val="Compact"/>
              <w:jc w:val="left"/>
            </w:pPr>
            <w:r>
              <w:t xml:space="preserve">+--</w:t>
            </w:r>
          </w:p>
        </w:tc>
        <w:tc>
          <w:tcPr/>
          <w:p>
            <w:pPr>
              <w:pStyle w:val="Compact"/>
              <w:jc w:val="left"/>
            </w:pPr>
            <w:r>
              <w:t xml:space="preserve">8:26</w:t>
            </w:r>
          </w:p>
        </w:tc>
        <w:tc>
          <w:tcPr/>
          <w:p>
            <w:pPr>
              <w:pStyle w:val="Compact"/>
              <w:jc w:val="left"/>
            </w:pPr>
            <w:r>
              <w:t xml:space="preserve">αντιπεραν [33%] || αντιπερα [60%]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ην [15%] || 1 αν [85%]</w:t>
            </w:r>
          </w:p>
        </w:tc>
      </w:tr>
      <w:tr>
        <w:tc>
          <w:tcPr/>
          <w:p>
            <w:pPr>
              <w:pStyle w:val="Compact"/>
              <w:jc w:val="left"/>
            </w:pPr>
            <w:r>
              <w:t xml:space="preserve">++</w:t>
            </w:r>
          </w:p>
        </w:tc>
        <w:tc>
          <w:tcPr/>
          <w:p>
            <w:pPr>
              <w:pStyle w:val="Compact"/>
              <w:jc w:val="left"/>
            </w:pPr>
            <w:r>
              <w:t xml:space="preserve">9:13</w:t>
            </w:r>
          </w:p>
        </w:tc>
        <w:tc>
          <w:tcPr/>
          <w:p>
            <w:pPr>
              <w:pStyle w:val="Compact"/>
              <w:jc w:val="left"/>
            </w:pPr>
            <w:r>
              <w:t xml:space="preserve">αγορασομεν [30%] || αγορασωμεν [70%]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υμων [20%] || υμιν [79%]</w:t>
            </w:r>
          </w:p>
        </w:tc>
      </w:tr>
      <w:tr>
        <w:tc>
          <w:tcPr/>
          <w:p>
            <w:pPr>
              <w:pStyle w:val="Compact"/>
              <w:jc w:val="left"/>
            </w:pPr>
            <w:r>
              <w:t xml:space="preserve">+</w:t>
            </w:r>
          </w:p>
        </w:tc>
        <w:tc>
          <w:tcPr/>
          <w:p>
            <w:pPr>
              <w:pStyle w:val="Compact"/>
              <w:jc w:val="left"/>
            </w:pPr>
            <w:r>
              <w:t xml:space="preserve">9:52</w:t>
            </w:r>
          </w:p>
        </w:tc>
        <w:tc>
          <w:tcPr/>
          <w:p>
            <w:pPr>
              <w:pStyle w:val="Compact"/>
              <w:jc w:val="left"/>
            </w:pPr>
            <w:r>
              <w:t xml:space="preserve">εαυτου [40%] || αυτου [60%]</w:t>
            </w:r>
          </w:p>
        </w:tc>
      </w:tr>
      <w:tr>
        <w:tc>
          <w:tcPr/>
          <w:p>
            <w:pPr>
              <w:pStyle w:val="Compact"/>
              <w:jc w:val="left"/>
            </w:pPr>
            <w:r>
              <w:t xml:space="preserve">++--</w:t>
            </w:r>
          </w:p>
        </w:tc>
        <w:tc>
          <w:tcPr/>
          <w:p>
            <w:pPr>
              <w:pStyle w:val="Compact"/>
              <w:jc w:val="left"/>
            </w:pPr>
            <w:r>
              <w:t xml:space="preserve">10:4</w:t>
            </w:r>
          </w:p>
        </w:tc>
        <w:tc>
          <w:tcPr/>
          <w:p>
            <w:pPr>
              <w:pStyle w:val="Compact"/>
              <w:jc w:val="left"/>
            </w:pPr>
            <w:r>
              <w:t xml:space="preserve">μη [26%] || μηδε [74%]</w:t>
            </w:r>
          </w:p>
        </w:tc>
      </w:tr>
      <w:tr>
        <w:tc>
          <w:tcPr/>
          <w:p>
            <w:pPr>
              <w:pStyle w:val="Compact"/>
              <w:jc w:val="left"/>
            </w:pPr>
            <w:r>
              <w:t xml:space="preserve">++--</w:t>
            </w:r>
          </w:p>
        </w:tc>
        <w:tc>
          <w:tcPr/>
          <w:p>
            <w:pPr>
              <w:pStyle w:val="Compact"/>
              <w:jc w:val="left"/>
            </w:pPr>
            <w:r>
              <w:t xml:space="preserve">10:6</w:t>
            </w:r>
          </w:p>
        </w:tc>
        <w:tc>
          <w:tcPr/>
          <w:p>
            <w:pPr>
              <w:pStyle w:val="Compact"/>
              <w:jc w:val="left"/>
            </w:pPr>
            <w:r>
              <w:t xml:space="preserve">μεν [25%] || --- [75%]</w:t>
            </w:r>
          </w:p>
        </w:tc>
      </w:tr>
      <w:tr>
        <w:tc>
          <w:tcPr/>
          <w:p>
            <w:pPr>
              <w:pStyle w:val="Compact"/>
              <w:jc w:val="left"/>
            </w:pPr>
            <w:r>
              <w:t xml:space="preserve">+--</w:t>
            </w:r>
          </w:p>
        </w:tc>
        <w:tc>
          <w:tcPr/>
          <w:p>
            <w:pPr>
              <w:pStyle w:val="Compact"/>
              <w:jc w:val="left"/>
            </w:pPr>
            <w:r>
              <w:t xml:space="preserve">10:13</w:t>
            </w:r>
          </w:p>
        </w:tc>
        <w:tc>
          <w:tcPr/>
          <w:p>
            <w:pPr>
              <w:pStyle w:val="Compact"/>
              <w:jc w:val="left"/>
            </w:pPr>
            <w:r>
              <w:t xml:space="preserve">χωραζιν [35%] || χοραζιν [29%] || χοραζειν [20%]</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των λογων [37%] || τον λογον [63%]</w:t>
            </w:r>
          </w:p>
        </w:tc>
      </w:tr>
      <w:tr>
        <w:tc>
          <w:tcPr/>
          <w:p>
            <w:pPr>
              <w:pStyle w:val="Compact"/>
              <w:jc w:val="left"/>
            </w:pPr>
            <w:r>
              <w:t xml:space="preserve">+</w:t>
            </w:r>
          </w:p>
        </w:tc>
        <w:tc>
          <w:tcPr/>
          <w:p>
            <w:pPr>
              <w:pStyle w:val="Compact"/>
              <w:jc w:val="left"/>
            </w:pPr>
            <w:r>
              <w:t xml:space="preserve">10:41</w:t>
            </w:r>
          </w:p>
        </w:tc>
        <w:tc>
          <w:tcPr/>
          <w:p>
            <w:pPr>
              <w:pStyle w:val="Compact"/>
              <w:jc w:val="left"/>
            </w:pPr>
            <w:r>
              <w:t xml:space="preserve">ο ιησους ειπεν αυτη [40%] || ~ 3412 [59%]</w:t>
            </w:r>
          </w:p>
        </w:tc>
      </w:tr>
      <w:tr>
        <w:tc>
          <w:tcPr/>
          <w:p>
            <w:pPr>
              <w:pStyle w:val="Compact"/>
              <w:jc w:val="left"/>
            </w:pPr>
            <w:r>
              <w:t xml:space="preserve">++++</w:t>
            </w:r>
          </w:p>
        </w:tc>
        <w:tc>
          <w:tcPr/>
          <w:p>
            <w:pPr>
              <w:pStyle w:val="Compact"/>
              <w:jc w:val="left"/>
            </w:pPr>
            <w:r>
              <w:t xml:space="preserve">11:19</w:t>
            </w:r>
          </w:p>
        </w:tc>
        <w:tc>
          <w:tcPr/>
          <w:p>
            <w:pPr>
              <w:pStyle w:val="Compact"/>
              <w:jc w:val="left"/>
            </w:pPr>
            <w:r>
              <w:t xml:space="preserve">αυτοι υμων [18%] || ~ 21 [52%] ||</w:t>
            </w:r>
          </w:p>
        </w:tc>
      </w:tr>
      <w:tr>
        <w:tc>
          <w:tcPr/>
          <w:p>
            <w:pPr>
              <w:pStyle w:val="Compact"/>
              <w:jc w:val="left"/>
            </w:pPr>
            <w:r>
              <w:t xml:space="preserve">++</w:t>
            </w:r>
          </w:p>
        </w:tc>
        <w:tc>
          <w:tcPr/>
          <w:p>
            <w:pPr>
              <w:pStyle w:val="Compact"/>
              <w:jc w:val="left"/>
            </w:pPr>
            <w:r>
              <w:t xml:space="preserve">11:32</w:t>
            </w:r>
          </w:p>
        </w:tc>
        <w:tc>
          <w:tcPr/>
          <w:p>
            <w:pPr>
              <w:pStyle w:val="Compact"/>
              <w:jc w:val="left"/>
            </w:pPr>
            <w:r>
              <w:t xml:space="preserve">νινευι [32%] || νινευιται [35%] || ||</w:t>
            </w:r>
          </w:p>
        </w:tc>
      </w:tr>
      <w:tr>
        <w:tc>
          <w:tcPr/>
          <w:p>
            <w:pPr>
              <w:pStyle w:val="Compact"/>
              <w:jc w:val="left"/>
            </w:pPr>
            <w:r>
              <w:t xml:space="preserve">+--</w:t>
            </w:r>
          </w:p>
        </w:tc>
        <w:tc>
          <w:tcPr/>
          <w:p>
            <w:pPr>
              <w:pStyle w:val="Compact"/>
              <w:jc w:val="left"/>
            </w:pPr>
            <w:r>
              <w:t xml:space="preserve">11:34</w:t>
            </w:r>
          </w:p>
        </w:tc>
        <w:tc>
          <w:tcPr/>
          <w:p>
            <w:pPr>
              <w:pStyle w:val="Compact"/>
              <w:jc w:val="left"/>
            </w:pPr>
            <w:r>
              <w:t xml:space="preserve">η [35%] || 1 και [65%]</w:t>
            </w:r>
          </w:p>
        </w:tc>
      </w:tr>
      <w:tr>
        <w:tc>
          <w:tcPr/>
          <w:p>
            <w:pPr>
              <w:pStyle w:val="Compact"/>
              <w:jc w:val="left"/>
            </w:pPr>
            <w:r>
              <w:t xml:space="preserve">++--</w:t>
            </w:r>
          </w:p>
        </w:tc>
        <w:tc>
          <w:tcPr/>
          <w:p>
            <w:pPr>
              <w:pStyle w:val="Compact"/>
              <w:jc w:val="left"/>
            </w:pPr>
            <w:r>
              <w:t xml:space="preserve">11:53</w:t>
            </w:r>
          </w:p>
        </w:tc>
        <w:tc>
          <w:tcPr/>
          <w:p>
            <w:pPr>
              <w:pStyle w:val="Compact"/>
              <w:jc w:val="left"/>
            </w:pPr>
            <w:r>
              <w:t xml:space="preserve">συνεχειν [26%] || ενεχειν [70%]</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πολλω [15%] || πολλων [85%]</w:t>
            </w:r>
          </w:p>
        </w:tc>
      </w:tr>
      <w:tr>
        <w:tc>
          <w:tcPr/>
          <w:p>
            <w:pPr>
              <w:pStyle w:val="Compact"/>
              <w:jc w:val="left"/>
            </w:pPr>
            <w:r>
              <w:t xml:space="preserve">+--</w:t>
            </w:r>
          </w:p>
        </w:tc>
        <w:tc>
          <w:tcPr/>
          <w:p>
            <w:pPr>
              <w:pStyle w:val="Compact"/>
              <w:jc w:val="left"/>
            </w:pPr>
            <w:r>
              <w:t xml:space="preserve">12:11</w:t>
            </w:r>
          </w:p>
        </w:tc>
        <w:tc>
          <w:tcPr/>
          <w:p>
            <w:pPr>
              <w:pStyle w:val="Compact"/>
              <w:jc w:val="left"/>
            </w:pPr>
            <w:r>
              <w:t xml:space="preserve">απλογησεσθε [35%] || απλογησησθε [63%]</w:t>
            </w:r>
          </w:p>
        </w:tc>
      </w:tr>
      <w:tr>
        <w:tc>
          <w:tcPr/>
          <w:p>
            <w:pPr>
              <w:pStyle w:val="Compact"/>
              <w:jc w:val="left"/>
            </w:pPr>
            <w:r>
              <w:t xml:space="preserve">++</w:t>
            </w:r>
          </w:p>
        </w:tc>
        <w:tc>
          <w:tcPr/>
          <w:p>
            <w:pPr>
              <w:pStyle w:val="Compact"/>
              <w:jc w:val="left"/>
            </w:pPr>
            <w:r>
              <w:t xml:space="preserve">12:22</w:t>
            </w:r>
            <w:r>
              <w:rPr>
                <w:vertAlign w:val="superscript"/>
              </w:rPr>
              <w:t xml:space="preserve">a</w:t>
            </w:r>
          </w:p>
        </w:tc>
        <w:tc>
          <w:tcPr/>
          <w:p>
            <w:pPr>
              <w:pStyle w:val="Compact"/>
              <w:jc w:val="left"/>
            </w:pPr>
            <w:r>
              <w:t xml:space="preserve">λεγω υμιν [28%] || ~ 21 [72%]</w:t>
            </w:r>
          </w:p>
        </w:tc>
      </w:tr>
      <w:tr>
        <w:tc>
          <w:tcPr/>
          <w:p>
            <w:pPr>
              <w:pStyle w:val="Compact"/>
              <w:jc w:val="left"/>
            </w:pPr>
            <w:r>
              <w:t xml:space="preserve">++--</w:t>
            </w:r>
          </w:p>
        </w:tc>
        <w:tc>
          <w:tcPr/>
          <w:p>
            <w:pPr>
              <w:pStyle w:val="Compact"/>
              <w:jc w:val="left"/>
            </w:pPr>
            <w:r>
              <w:t xml:space="preserve">12:22</w:t>
            </w:r>
            <w:r>
              <w:rPr>
                <w:vertAlign w:val="superscript"/>
              </w:rPr>
              <w:t xml:space="preserve">b</w:t>
            </w:r>
          </w:p>
        </w:tc>
        <w:tc>
          <w:tcPr/>
          <w:p>
            <w:pPr>
              <w:pStyle w:val="Compact"/>
              <w:jc w:val="left"/>
            </w:pPr>
            <w:r>
              <w:t xml:space="preserve">ενδυσεσθε [25%] || ενδυσησθε [74%]</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πλειων [23%] || πλειον [77]</w:t>
            </w:r>
          </w:p>
        </w:tc>
      </w:tr>
      <w:tr>
        <w:tc>
          <w:tcPr/>
          <w:p>
            <w:pPr>
              <w:pStyle w:val="Compact"/>
              <w:jc w:val="left"/>
            </w:pPr>
            <w:r>
              <w:t xml:space="preserve">+++</w:t>
            </w:r>
          </w:p>
        </w:tc>
        <w:tc>
          <w:tcPr/>
          <w:p>
            <w:pPr>
              <w:pStyle w:val="Compact"/>
              <w:jc w:val="left"/>
            </w:pPr>
            <w:r>
              <w:t xml:space="preserve">12:27</w:t>
            </w:r>
          </w:p>
        </w:tc>
        <w:tc>
          <w:tcPr/>
          <w:p>
            <w:pPr>
              <w:pStyle w:val="Compact"/>
              <w:jc w:val="left"/>
            </w:pPr>
            <w:r>
              <w:t xml:space="preserve">λεγω [20%] || 1 δε [80%]</w:t>
            </w:r>
          </w:p>
        </w:tc>
      </w:tr>
      <w:tr>
        <w:tc>
          <w:tcPr/>
          <w:p>
            <w:pPr>
              <w:pStyle w:val="Compact"/>
              <w:jc w:val="left"/>
            </w:pPr>
            <w:r>
              <w:t xml:space="preserve">+</w:t>
            </w:r>
          </w:p>
        </w:tc>
        <w:tc>
          <w:tcPr/>
          <w:p>
            <w:pPr>
              <w:pStyle w:val="Compact"/>
              <w:jc w:val="left"/>
            </w:pPr>
            <w:r>
              <w:t xml:space="preserve">12:56</w:t>
            </w:r>
          </w:p>
        </w:tc>
        <w:tc>
          <w:tcPr/>
          <w:p>
            <w:pPr>
              <w:pStyle w:val="Compact"/>
              <w:jc w:val="left"/>
            </w:pPr>
            <w:r>
              <w:t xml:space="preserve">του ουρανου και της γης [40%] || ~ 45312 [60%]</w:t>
            </w:r>
          </w:p>
        </w:tc>
      </w:tr>
      <w:tr>
        <w:tc>
          <w:tcPr/>
          <w:p>
            <w:pPr>
              <w:pStyle w:val="Compact"/>
              <w:jc w:val="left"/>
            </w:pPr>
            <w:r>
              <w:t xml:space="preserve">++--</w:t>
            </w:r>
          </w:p>
        </w:tc>
        <w:tc>
          <w:tcPr/>
          <w:p>
            <w:pPr>
              <w:pStyle w:val="Compact"/>
              <w:jc w:val="left"/>
            </w:pPr>
            <w:r>
              <w:t xml:space="preserve">12:58</w:t>
            </w:r>
          </w:p>
        </w:tc>
        <w:tc>
          <w:tcPr/>
          <w:p>
            <w:pPr>
              <w:pStyle w:val="Compact"/>
              <w:jc w:val="left"/>
            </w:pPr>
            <w:r>
              <w:t xml:space="preserve">βαλη σε [24%] || ~ 21 [76%]</w:t>
            </w:r>
          </w:p>
        </w:tc>
      </w:tr>
      <w:tr>
        <w:tc>
          <w:tcPr/>
          <w:p>
            <w:pPr>
              <w:pStyle w:val="Compact"/>
              <w:jc w:val="left"/>
            </w:pPr>
            <w:r>
              <w:t xml:space="preserve">++--</w:t>
            </w:r>
          </w:p>
        </w:tc>
        <w:tc>
          <w:tcPr/>
          <w:p>
            <w:pPr>
              <w:pStyle w:val="Compact"/>
              <w:jc w:val="left"/>
            </w:pPr>
            <w:r>
              <w:t xml:space="preserve">13:28</w:t>
            </w:r>
          </w:p>
        </w:tc>
        <w:tc>
          <w:tcPr/>
          <w:p>
            <w:pPr>
              <w:pStyle w:val="Compact"/>
              <w:jc w:val="left"/>
            </w:pPr>
            <w:r>
              <w:t xml:space="preserve">οψεσθε [27%] || οψησθε [73%]</w:t>
            </w:r>
          </w:p>
        </w:tc>
      </w:tr>
      <w:tr>
        <w:tc>
          <w:tcPr/>
          <w:p>
            <w:pPr>
              <w:pStyle w:val="Compact"/>
              <w:jc w:val="left"/>
            </w:pPr>
            <w:r>
              <w:t xml:space="preserve">+++</w:t>
            </w:r>
          </w:p>
        </w:tc>
        <w:tc>
          <w:tcPr/>
          <w:p>
            <w:pPr>
              <w:pStyle w:val="Compact"/>
              <w:jc w:val="left"/>
            </w:pPr>
            <w:r>
              <w:t xml:space="preserve">14:9</w:t>
            </w:r>
          </w:p>
        </w:tc>
        <w:tc>
          <w:tcPr/>
          <w:p>
            <w:pPr>
              <w:pStyle w:val="Compact"/>
              <w:jc w:val="left"/>
            </w:pPr>
            <w:r>
              <w:t xml:space="preserve">συ [20%] || σοι [80%]</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τυφλους και χωλους [42%] || ~ 321 [57%]</w:t>
            </w:r>
          </w:p>
        </w:tc>
      </w:tr>
      <w:tr>
        <w:tc>
          <w:tcPr/>
          <w:p>
            <w:pPr>
              <w:pStyle w:val="Compact"/>
              <w:jc w:val="left"/>
            </w:pPr>
            <w:r>
              <w:t xml:space="preserve">+--</w:t>
            </w:r>
          </w:p>
        </w:tc>
        <w:tc>
          <w:tcPr/>
          <w:p>
            <w:pPr>
              <w:pStyle w:val="Compact"/>
              <w:jc w:val="left"/>
            </w:pPr>
            <w:r>
              <w:t xml:space="preserve">14:26</w:t>
            </w:r>
          </w:p>
        </w:tc>
        <w:tc>
          <w:tcPr/>
          <w:p>
            <w:pPr>
              <w:pStyle w:val="Compact"/>
              <w:jc w:val="left"/>
            </w:pPr>
            <w:r>
              <w:t xml:space="preserve">μου ειναι μαθητης [36%] || ~ 132 [60%]</w:t>
            </w:r>
          </w:p>
        </w:tc>
      </w:tr>
      <w:tr>
        <w:tc>
          <w:tcPr/>
          <w:p>
            <w:pPr>
              <w:pStyle w:val="Compact"/>
              <w:jc w:val="left"/>
            </w:pPr>
            <w:r>
              <w:t xml:space="preserve">+</w:t>
            </w:r>
          </w:p>
        </w:tc>
        <w:tc>
          <w:tcPr/>
          <w:p>
            <w:pPr>
              <w:pStyle w:val="Compact"/>
              <w:jc w:val="left"/>
            </w:pPr>
            <w:r>
              <w:t xml:space="preserve">15:20</w:t>
            </w:r>
          </w:p>
        </w:tc>
        <w:tc>
          <w:tcPr/>
          <w:p>
            <w:pPr>
              <w:pStyle w:val="Compact"/>
              <w:jc w:val="left"/>
            </w:pPr>
            <w:r>
              <w:t xml:space="preserve">εαυτου [42%] || αυτου [58%]</w:t>
            </w:r>
          </w:p>
        </w:tc>
      </w:tr>
      <w:tr>
        <w:tc>
          <w:tcPr/>
          <w:p>
            <w:pPr>
              <w:pStyle w:val="Compact"/>
              <w:jc w:val="left"/>
            </w:pPr>
            <w:r>
              <w:t xml:space="preserve">++--</w:t>
            </w:r>
          </w:p>
        </w:tc>
        <w:tc>
          <w:tcPr/>
          <w:p>
            <w:pPr>
              <w:pStyle w:val="Compact"/>
              <w:jc w:val="left"/>
            </w:pPr>
            <w:r>
              <w:t xml:space="preserve">16:22</w:t>
            </w:r>
          </w:p>
        </w:tc>
        <w:tc>
          <w:tcPr/>
          <w:p>
            <w:pPr>
              <w:pStyle w:val="Compact"/>
              <w:jc w:val="left"/>
            </w:pPr>
            <w:r>
              <w:t xml:space="preserve">του [26%] || --- [74%]</w:t>
            </w:r>
          </w:p>
        </w:tc>
      </w:tr>
      <w:tr>
        <w:tc>
          <w:tcPr/>
          <w:p>
            <w:pPr>
              <w:pStyle w:val="Compact"/>
              <w:jc w:val="left"/>
            </w:pPr>
            <w:r>
              <w:t xml:space="preserve">++</w:t>
            </w:r>
          </w:p>
        </w:tc>
        <w:tc>
          <w:tcPr/>
          <w:p>
            <w:pPr>
              <w:pStyle w:val="Compact"/>
              <w:jc w:val="left"/>
            </w:pPr>
            <w:r>
              <w:t xml:space="preserve">16:25</w:t>
            </w:r>
          </w:p>
        </w:tc>
        <w:tc>
          <w:tcPr/>
          <w:p>
            <w:pPr>
              <w:pStyle w:val="Compact"/>
              <w:jc w:val="left"/>
            </w:pPr>
            <w:r>
              <w:t xml:space="preserve">οδε [30%] || ωδε [70%]</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και [29%] || --- [68%]</w:t>
            </w:r>
          </w:p>
        </w:tc>
      </w:tr>
      <w:tr>
        <w:tc>
          <w:tcPr/>
          <w:p>
            <w:pPr>
              <w:pStyle w:val="Compact"/>
              <w:jc w:val="left"/>
            </w:pPr>
            <w:r>
              <w:t xml:space="preserve">+--</w:t>
            </w:r>
          </w:p>
        </w:tc>
        <w:tc>
          <w:tcPr/>
          <w:p>
            <w:pPr>
              <w:pStyle w:val="Compact"/>
              <w:jc w:val="left"/>
            </w:pPr>
            <w:r>
              <w:t xml:space="preserve">19:15</w:t>
            </w:r>
          </w:p>
        </w:tc>
        <w:tc>
          <w:tcPr/>
          <w:p>
            <w:pPr>
              <w:pStyle w:val="Compact"/>
              <w:jc w:val="left"/>
            </w:pPr>
            <w:r>
              <w:t xml:space="preserve">βασιλειαν [37%] || 1 και [63%]</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την [23%] || --- [77%]</w:t>
            </w:r>
          </w:p>
        </w:tc>
      </w:tr>
      <w:tr>
        <w:tc>
          <w:tcPr/>
          <w:p>
            <w:pPr>
              <w:pStyle w:val="Compact"/>
              <w:jc w:val="left"/>
            </w:pPr>
            <w:r>
              <w:t xml:space="preserve">+++</w:t>
            </w:r>
          </w:p>
        </w:tc>
        <w:tc>
          <w:tcPr/>
          <w:p>
            <w:pPr>
              <w:pStyle w:val="Compact"/>
              <w:jc w:val="left"/>
            </w:pPr>
            <w:r>
              <w:t xml:space="preserve">20:10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εκβαλοντες [24%] || 1 αυτον [76%]</w:t>
            </w:r>
          </w:p>
        </w:tc>
      </w:tr>
      <w:tr>
        <w:tc>
          <w:tcPr/>
          <w:p>
            <w:pPr>
              <w:pStyle w:val="Compact"/>
              <w:jc w:val="left"/>
            </w:pPr>
            <w:r>
              <w:t xml:space="preserve">+++</w:t>
            </w:r>
          </w:p>
        </w:tc>
        <w:tc>
          <w:tcPr/>
          <w:p>
            <w:pPr>
              <w:pStyle w:val="Compact"/>
              <w:jc w:val="left"/>
            </w:pPr>
            <w:r>
              <w:t xml:space="preserve">20:28</w:t>
            </w:r>
          </w:p>
        </w:tc>
        <w:tc>
          <w:tcPr/>
          <w:p>
            <w:pPr>
              <w:pStyle w:val="Compact"/>
              <w:jc w:val="left"/>
            </w:pPr>
            <w:r>
              <w:t xml:space="preserve">ο αδελφος αυτου λαβη [20%] || ~ 4123 [80%]</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λιθον (32.2%) || λιθω (65.1%)</w:t>
            </w:r>
          </w:p>
        </w:tc>
      </w:tr>
      <w:tr>
        <w:tc>
          <w:tcPr/>
          <w:p>
            <w:pPr>
              <w:pStyle w:val="Compact"/>
              <w:jc w:val="left"/>
            </w:pPr>
            <w:r>
              <w:t xml:space="preserve">+--</w:t>
            </w:r>
          </w:p>
        </w:tc>
        <w:tc>
          <w:tcPr/>
          <w:p>
            <w:pPr>
              <w:pStyle w:val="Compact"/>
              <w:jc w:val="left"/>
            </w:pPr>
            <w:r>
              <w:t xml:space="preserve">21:12</w:t>
            </w:r>
          </w:p>
        </w:tc>
        <w:tc>
          <w:tcPr/>
          <w:p>
            <w:pPr>
              <w:pStyle w:val="Compact"/>
              <w:jc w:val="left"/>
            </w:pPr>
            <w:r>
              <w:t xml:space="preserve">απαντων [34%] || παντων [66%]</w:t>
            </w:r>
          </w:p>
        </w:tc>
      </w:tr>
      <w:tr>
        <w:tc>
          <w:tcPr/>
          <w:p>
            <w:pPr>
              <w:pStyle w:val="Compact"/>
              <w:jc w:val="left"/>
            </w:pPr>
            <w:r>
              <w:t xml:space="preserve">++</w:t>
            </w:r>
          </w:p>
        </w:tc>
        <w:tc>
          <w:tcPr/>
          <w:p>
            <w:pPr>
              <w:pStyle w:val="Compact"/>
              <w:jc w:val="left"/>
            </w:pPr>
            <w:r>
              <w:t xml:space="preserve">21:15</w:t>
            </w:r>
          </w:p>
        </w:tc>
        <w:tc>
          <w:tcPr/>
          <w:p>
            <w:pPr>
              <w:pStyle w:val="Compact"/>
              <w:jc w:val="left"/>
            </w:pPr>
            <w:r>
              <w:t xml:space="preserve">η [30%] || ουδε [68%]</w:t>
            </w:r>
          </w:p>
        </w:tc>
      </w:tr>
      <w:tr>
        <w:tc>
          <w:tcPr/>
          <w:p>
            <w:pPr>
              <w:pStyle w:val="Compact"/>
              <w:jc w:val="left"/>
            </w:pPr>
            <w:r>
              <w:t xml:space="preserve">++</w:t>
            </w:r>
          </w:p>
        </w:tc>
        <w:tc>
          <w:tcPr/>
          <w:p>
            <w:pPr>
              <w:pStyle w:val="Compact"/>
              <w:jc w:val="left"/>
            </w:pPr>
            <w:r>
              <w:t xml:space="preserve">21:30</w:t>
            </w:r>
          </w:p>
        </w:tc>
        <w:tc>
          <w:tcPr/>
          <w:p>
            <w:pPr>
              <w:pStyle w:val="Compact"/>
              <w:jc w:val="left"/>
            </w:pPr>
            <w:r>
              <w:t xml:space="preserve">προβαλλωσιν [28%] || προβαλωσιν [66%]</w:t>
            </w:r>
          </w:p>
        </w:tc>
      </w:tr>
      <w:tr>
        <w:tc>
          <w:tcPr/>
          <w:p>
            <w:pPr>
              <w:pStyle w:val="Compact"/>
              <w:jc w:val="left"/>
            </w:pPr>
            <w:r>
              <w:t xml:space="preserve">++</w:t>
            </w:r>
          </w:p>
        </w:tc>
        <w:tc>
          <w:tcPr/>
          <w:p>
            <w:pPr>
              <w:pStyle w:val="Compact"/>
              <w:jc w:val="left"/>
            </w:pPr>
            <w:r>
              <w:t xml:space="preserve">21:33</w:t>
            </w:r>
          </w:p>
        </w:tc>
        <w:tc>
          <w:tcPr/>
          <w:p>
            <w:pPr>
              <w:pStyle w:val="Compact"/>
              <w:jc w:val="left"/>
            </w:pPr>
            <w:r>
              <w:t xml:space="preserve">παρελευσεται [32%] || παρελευσονται [68%]</w:t>
            </w:r>
          </w:p>
        </w:tc>
      </w:tr>
      <w:tr>
        <w:tc>
          <w:tcPr/>
          <w:p>
            <w:pPr>
              <w:pStyle w:val="Compact"/>
              <w:jc w:val="left"/>
            </w:pPr>
            <w:r>
              <w:t xml:space="preserve">+--</w:t>
            </w:r>
          </w:p>
        </w:tc>
        <w:tc>
          <w:tcPr/>
          <w:p>
            <w:pPr>
              <w:pStyle w:val="Compact"/>
              <w:jc w:val="left"/>
            </w:pPr>
            <w:r>
              <w:t xml:space="preserve">22:27</w:t>
            </w:r>
          </w:p>
        </w:tc>
        <w:tc>
          <w:tcPr/>
          <w:p>
            <w:pPr>
              <w:pStyle w:val="Compact"/>
              <w:jc w:val="left"/>
            </w:pPr>
            <w:r>
              <w:t xml:space="preserve">ουχ [33%] || ουχι [67%]</w:t>
            </w:r>
          </w:p>
        </w:tc>
      </w:tr>
      <w:tr>
        <w:tc>
          <w:tcPr/>
          <w:p>
            <w:pPr>
              <w:pStyle w:val="Compact"/>
              <w:jc w:val="left"/>
            </w:pPr>
            <w:r>
              <w:t xml:space="preserve">+--</w:t>
            </w:r>
          </w:p>
        </w:tc>
        <w:tc>
          <w:tcPr/>
          <w:p>
            <w:pPr>
              <w:pStyle w:val="Compact"/>
              <w:jc w:val="left"/>
            </w:pPr>
            <w:r>
              <w:t xml:space="preserve">22:52</w:t>
            </w:r>
          </w:p>
        </w:tc>
        <w:tc>
          <w:tcPr/>
          <w:p>
            <w:pPr>
              <w:pStyle w:val="Compact"/>
              <w:jc w:val="left"/>
            </w:pPr>
            <w:r>
              <w:t xml:space="preserve">προς [33%] || επ [67%]</w:t>
            </w:r>
          </w:p>
        </w:tc>
      </w:tr>
      <w:tr>
        <w:tc>
          <w:tcPr/>
          <w:p>
            <w:pPr>
              <w:pStyle w:val="Compact"/>
              <w:jc w:val="left"/>
            </w:pPr>
            <w:r>
              <w:t xml:space="preserve">+--</w:t>
            </w:r>
          </w:p>
        </w:tc>
        <w:tc>
          <w:tcPr/>
          <w:p>
            <w:pPr>
              <w:pStyle w:val="Compact"/>
              <w:jc w:val="left"/>
            </w:pPr>
            <w:r>
              <w:t xml:space="preserve">22:54</w:t>
            </w:r>
          </w:p>
        </w:tc>
        <w:tc>
          <w:tcPr/>
          <w:p>
            <w:pPr>
              <w:pStyle w:val="Compact"/>
              <w:jc w:val="left"/>
            </w:pPr>
            <w:r>
              <w:t xml:space="preserve">εισηγαγον [37%] || 1 αυτον [55%]</w:t>
            </w:r>
          </w:p>
        </w:tc>
      </w:tr>
      <w:tr>
        <w:tc>
          <w:tcPr/>
          <w:p>
            <w:pPr>
              <w:pStyle w:val="Compact"/>
              <w:jc w:val="left"/>
            </w:pPr>
            <w:r>
              <w:t xml:space="preserve">+--</w:t>
            </w:r>
          </w:p>
        </w:tc>
        <w:tc>
          <w:tcPr/>
          <w:p>
            <w:pPr>
              <w:pStyle w:val="Compact"/>
              <w:jc w:val="left"/>
            </w:pPr>
            <w:r>
              <w:t xml:space="preserve">22:63</w:t>
            </w:r>
          </w:p>
        </w:tc>
        <w:tc>
          <w:tcPr/>
          <w:p>
            <w:pPr>
              <w:pStyle w:val="Compact"/>
              <w:jc w:val="left"/>
            </w:pPr>
            <w:r>
              <w:t xml:space="preserve">δαιροντες [35%] || δεροντες [65%]</w:t>
            </w:r>
          </w:p>
        </w:tc>
      </w:tr>
      <w:tr>
        <w:tc>
          <w:tcPr/>
          <w:p>
            <w:pPr>
              <w:pStyle w:val="Compact"/>
              <w:jc w:val="left"/>
            </w:pPr>
            <w:r>
              <w:t xml:space="preserve">++--</w:t>
            </w:r>
          </w:p>
        </w:tc>
        <w:tc>
          <w:tcPr/>
          <w:p>
            <w:pPr>
              <w:pStyle w:val="Compact"/>
              <w:jc w:val="left"/>
            </w:pPr>
            <w:r>
              <w:t xml:space="preserve">22:66</w:t>
            </w:r>
          </w:p>
        </w:tc>
        <w:tc>
          <w:tcPr/>
          <w:p>
            <w:pPr>
              <w:pStyle w:val="Compact"/>
              <w:jc w:val="left"/>
            </w:pPr>
            <w:r>
              <w:t xml:space="preserve">απηγαγον [24%] || ανηγαγον [75%]</w:t>
            </w:r>
          </w:p>
        </w:tc>
      </w:tr>
      <w:tr>
        <w:tc>
          <w:tcPr/>
          <w:p>
            <w:pPr>
              <w:pStyle w:val="Compact"/>
              <w:jc w:val="left"/>
            </w:pPr>
            <w:r>
              <w:t xml:space="preserve">++</w:t>
            </w:r>
          </w:p>
        </w:tc>
        <w:tc>
          <w:tcPr/>
          <w:p>
            <w:pPr>
              <w:pStyle w:val="Compact"/>
              <w:jc w:val="left"/>
            </w:pPr>
            <w:r>
              <w:t xml:space="preserve">23:51</w:t>
            </w:r>
          </w:p>
        </w:tc>
        <w:tc>
          <w:tcPr/>
          <w:p>
            <w:pPr>
              <w:pStyle w:val="Compact"/>
              <w:jc w:val="left"/>
            </w:pPr>
            <w:r>
              <w:t xml:space="preserve">ος [32%] || 1 και [67%]</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ως [32%] || ος [68%]</w:t>
            </w:r>
          </w:p>
        </w:tc>
      </w:tr>
      <w:tr>
        <w:tc>
          <w:tcPr/>
          <w:p>
            <w:pPr>
              <w:pStyle w:val="Compact"/>
              <w:jc w:val="left"/>
            </w:pPr>
            <w:r>
              <w:t xml:space="preserve">++</w:t>
            </w:r>
          </w:p>
        </w:tc>
        <w:tc>
          <w:tcPr/>
          <w:p>
            <w:pPr>
              <w:pStyle w:val="Compact"/>
              <w:jc w:val="left"/>
            </w:pPr>
            <w:r>
              <w:t xml:space="preserve">24:36</w:t>
            </w:r>
          </w:p>
        </w:tc>
        <w:tc>
          <w:tcPr/>
          <w:p>
            <w:pPr>
              <w:pStyle w:val="Compact"/>
              <w:jc w:val="left"/>
            </w:pPr>
            <w:r>
              <w:t xml:space="preserve">και [32%] || --- [68%]</w:t>
            </w:r>
          </w:p>
        </w:tc>
      </w:tr>
      <w:tr>
        <w:tc>
          <w:tcPr/>
          <w:p>
            <w:pPr>
              <w:pStyle w:val="Compact"/>
              <w:jc w:val="left"/>
            </w:pPr>
            <w:r>
              <w:t xml:space="preserve">++</w:t>
            </w:r>
          </w:p>
        </w:tc>
        <w:tc>
          <w:tcPr/>
          <w:p>
            <w:pPr>
              <w:pStyle w:val="Compact"/>
              <w:jc w:val="left"/>
            </w:pPr>
            <w:r>
              <w:t xml:space="preserve">24:42</w:t>
            </w:r>
          </w:p>
        </w:tc>
        <w:tc>
          <w:tcPr/>
          <w:p>
            <w:pPr>
              <w:pStyle w:val="Compact"/>
              <w:jc w:val="left"/>
            </w:pPr>
            <w:r>
              <w:t xml:space="preserve">μελισσειου [30%] || μελισσιου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(12)</w:t>
            </w:r>
          </w:p>
        </w:tc>
      </w:tr>
      <w:tr>
        <w:tc>
          <w:tcPr/>
          <w:p>
            <w:pPr>
              <w:pStyle w:val="Compact"/>
              <w:jc w:val="left"/>
            </w:pPr>
            <w:r>
              <w:t xml:space="preserve">++--</w:t>
            </w:r>
          </w:p>
        </w:tc>
        <w:tc>
          <w:tcPr/>
          <w:p>
            <w:pPr>
              <w:pStyle w:val="Compact"/>
              <w:jc w:val="left"/>
            </w:pPr>
            <w:r>
              <w:t xml:space="preserve">około 25% = całkiem dobre (17)</w:t>
            </w:r>
          </w:p>
        </w:tc>
      </w:tr>
      <w:tr>
        <w:tc>
          <w:tcPr/>
          <w:p>
            <w:pPr>
              <w:pStyle w:val="Compact"/>
              <w:jc w:val="left"/>
            </w:pPr>
            <w:r>
              <w:t xml:space="preserve">++</w:t>
            </w:r>
          </w:p>
        </w:tc>
        <w:tc>
          <w:tcPr/>
          <w:p>
            <w:pPr>
              <w:pStyle w:val="Compact"/>
              <w:jc w:val="left"/>
            </w:pPr>
            <w:r>
              <w:t xml:space="preserve">około 30% = niezłe (17)</w:t>
            </w:r>
          </w:p>
        </w:tc>
      </w:tr>
      <w:tr>
        <w:tc>
          <w:tcPr/>
          <w:p>
            <w:pPr>
              <w:pStyle w:val="Compact"/>
              <w:jc w:val="left"/>
            </w:pPr>
            <w:r>
              <w:t xml:space="preserve">+--</w:t>
            </w:r>
          </w:p>
        </w:tc>
        <w:tc>
          <w:tcPr/>
          <w:p>
            <w:pPr>
              <w:pStyle w:val="Compact"/>
              <w:jc w:val="left"/>
            </w:pPr>
            <w:r>
              <w:t xml:space="preserve">około 35% (15)</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73</w:t>
      </w:r>
    </w:p>
    <w:p>
      <w:pPr>
        <w:pStyle w:val="BodyText"/>
      </w:pPr>
      <w:r>
        <w:rPr>
          <w:bCs/>
          <w:b/>
        </w:rPr>
        <w:t xml:space="preserve">Ewangelia Jana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1:28</w:t>
            </w:r>
          </w:p>
        </w:tc>
        <w:tc>
          <w:tcPr/>
          <w:p>
            <w:pPr>
              <w:pStyle w:val="Compact"/>
              <w:jc w:val="left"/>
            </w:pPr>
            <w:r>
              <w:t xml:space="preserve">βιθαβαρα [25%] || βηθανια [65%] ||</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υιον [40%] || 1 του [60%]</w:t>
            </w:r>
          </w:p>
        </w:tc>
      </w:tr>
      <w:tr>
        <w:tc>
          <w:tcPr/>
          <w:p>
            <w:pPr>
              <w:pStyle w:val="Compact"/>
              <w:jc w:val="left"/>
            </w:pPr>
            <w:r>
              <w:t xml:space="preserve">+</w:t>
            </w:r>
          </w:p>
        </w:tc>
        <w:tc>
          <w:tcPr/>
          <w:p>
            <w:pPr>
              <w:pStyle w:val="Compact"/>
              <w:jc w:val="left"/>
            </w:pPr>
            <w:r>
              <w:t xml:space="preserve">3:4</w:t>
            </w:r>
          </w:p>
        </w:tc>
        <w:tc>
          <w:tcPr/>
          <w:p>
            <w:pPr>
              <w:pStyle w:val="Compact"/>
              <w:jc w:val="left"/>
            </w:pPr>
            <w:r>
              <w:t xml:space="preserve">αυτον [40%] || 1 ο [60%]</w:t>
            </w:r>
          </w:p>
        </w:tc>
      </w:tr>
      <w:tr>
        <w:tc>
          <w:tcPr/>
          <w:p>
            <w:pPr>
              <w:pStyle w:val="Compact"/>
              <w:jc w:val="left"/>
            </w:pPr>
            <w:r>
              <w:t xml:space="preserve">+++</w:t>
            </w:r>
          </w:p>
        </w:tc>
        <w:tc>
          <w:tcPr/>
          <w:p>
            <w:pPr>
              <w:pStyle w:val="Compact"/>
              <w:jc w:val="left"/>
            </w:pPr>
            <w:r>
              <w:t xml:space="preserve">4:1</w:t>
            </w:r>
          </w:p>
        </w:tc>
        <w:tc>
          <w:tcPr/>
          <w:p>
            <w:pPr>
              <w:pStyle w:val="Compact"/>
              <w:jc w:val="left"/>
            </w:pPr>
            <w:r>
              <w:t xml:space="preserve">ιησους (21.7%) || κυριος (76.9%)</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ου [40%] || ο [60%]</w:t>
            </w:r>
          </w:p>
        </w:tc>
      </w:tr>
      <w:tr>
        <w:tc>
          <w:tcPr/>
          <w:p>
            <w:pPr>
              <w:pStyle w:val="Compact"/>
              <w:jc w:val="left"/>
            </w:pPr>
            <w:r>
              <w:t xml:space="preserve">+--</w:t>
            </w:r>
          </w:p>
        </w:tc>
        <w:tc>
          <w:tcPr/>
          <w:p>
            <w:pPr>
              <w:pStyle w:val="Compact"/>
              <w:jc w:val="left"/>
            </w:pPr>
            <w:r>
              <w:t xml:space="preserve">4:35</w:t>
            </w:r>
          </w:p>
        </w:tc>
        <w:tc>
          <w:tcPr/>
          <w:p>
            <w:pPr>
              <w:pStyle w:val="Compact"/>
              <w:jc w:val="left"/>
            </w:pPr>
            <w:r>
              <w:t xml:space="preserve">οτι [35%] || 1 ετι [65%]</w:t>
            </w:r>
          </w:p>
        </w:tc>
      </w:tr>
      <w:tr>
        <w:tc>
          <w:tcPr/>
          <w:p>
            <w:pPr>
              <w:pStyle w:val="Compact"/>
              <w:jc w:val="left"/>
            </w:pPr>
            <w:r>
              <w:t xml:space="preserve">+++</w:t>
            </w:r>
          </w:p>
        </w:tc>
        <w:tc>
          <w:tcPr/>
          <w:p>
            <w:pPr>
              <w:pStyle w:val="Compact"/>
              <w:jc w:val="left"/>
            </w:pPr>
            <w:r>
              <w:t xml:space="preserve">5:44</w:t>
            </w:r>
          </w:p>
        </w:tc>
        <w:tc>
          <w:tcPr/>
          <w:p>
            <w:pPr>
              <w:pStyle w:val="Compact"/>
              <w:jc w:val="left"/>
            </w:pPr>
            <w:r>
              <w:t xml:space="preserve">ανθρωπων (22.6%) || αλληλων (77.2%)</w:t>
            </w:r>
          </w:p>
        </w:tc>
      </w:tr>
      <w:tr>
        <w:tc>
          <w:tcPr/>
          <w:p>
            <w:pPr>
              <w:pStyle w:val="Compact"/>
              <w:jc w:val="left"/>
            </w:pPr>
            <w:r>
              <w:t xml:space="preserve">++--</w:t>
            </w:r>
          </w:p>
        </w:tc>
        <w:tc>
          <w:tcPr/>
          <w:p>
            <w:pPr>
              <w:pStyle w:val="Compact"/>
              <w:jc w:val="left"/>
            </w:pPr>
            <w:r>
              <w:t xml:space="preserve">5:46</w:t>
            </w:r>
          </w:p>
        </w:tc>
        <w:tc>
          <w:tcPr/>
          <w:p>
            <w:pPr>
              <w:pStyle w:val="Compact"/>
              <w:jc w:val="left"/>
            </w:pPr>
            <w:r>
              <w:t xml:space="preserve">εμου γαρ [25%] || ~ 21 [75%]</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των κλασματων [25%] || κλασματα [75%]</w:t>
            </w:r>
          </w:p>
        </w:tc>
      </w:tr>
      <w:tr>
        <w:tc>
          <w:tcPr/>
          <w:p>
            <w:pPr>
              <w:pStyle w:val="Compact"/>
              <w:jc w:val="left"/>
            </w:pPr>
            <w:r>
              <w:t xml:space="preserve">++</w:t>
            </w:r>
          </w:p>
        </w:tc>
        <w:tc>
          <w:tcPr/>
          <w:p>
            <w:pPr>
              <w:pStyle w:val="Compact"/>
              <w:jc w:val="left"/>
            </w:pPr>
            <w:r>
              <w:t xml:space="preserve">6:58</w:t>
            </w:r>
          </w:p>
        </w:tc>
        <w:tc>
          <w:tcPr/>
          <w:p>
            <w:pPr>
              <w:pStyle w:val="Compact"/>
              <w:jc w:val="left"/>
            </w:pPr>
            <w:r>
              <w:t xml:space="preserve">μου [30%] || --- [70%]</w:t>
            </w:r>
          </w:p>
        </w:tc>
      </w:tr>
      <w:tr>
        <w:tc>
          <w:tcPr/>
          <w:p>
            <w:pPr>
              <w:pStyle w:val="Compact"/>
              <w:jc w:val="left"/>
            </w:pPr>
            <w:r>
              <w:t xml:space="preserve">++</w:t>
            </w:r>
          </w:p>
        </w:tc>
        <w:tc>
          <w:tcPr/>
          <w:p>
            <w:pPr>
              <w:pStyle w:val="Compact"/>
              <w:jc w:val="left"/>
            </w:pPr>
            <w:r>
              <w:t xml:space="preserve">7:3</w:t>
            </w:r>
          </w:p>
        </w:tc>
        <w:tc>
          <w:tcPr/>
          <w:p>
            <w:pPr>
              <w:pStyle w:val="Compact"/>
              <w:jc w:val="left"/>
            </w:pPr>
            <w:r>
              <w:t xml:space="preserve">εργα [30%] || 1 σου [63.5%] ||</w:t>
            </w:r>
          </w:p>
        </w:tc>
      </w:tr>
      <w:tr>
        <w:tc>
          <w:tcPr/>
          <w:p>
            <w:pPr>
              <w:pStyle w:val="Compact"/>
              <w:jc w:val="left"/>
            </w:pPr>
            <w:r>
              <w:t xml:space="preserve">+</w:t>
            </w:r>
          </w:p>
        </w:tc>
        <w:tc>
          <w:tcPr/>
          <w:p>
            <w:pPr>
              <w:pStyle w:val="Compact"/>
              <w:jc w:val="left"/>
            </w:pPr>
            <w:r>
              <w:t xml:space="preserve">7:31</w:t>
            </w:r>
          </w:p>
        </w:tc>
        <w:tc>
          <w:tcPr/>
          <w:p>
            <w:pPr>
              <w:pStyle w:val="Compact"/>
              <w:jc w:val="left"/>
            </w:pPr>
            <w:r>
              <w:t xml:space="preserve">σημεια [40%] || 1 τουτων [55%]</w:t>
            </w:r>
          </w:p>
        </w:tc>
      </w:tr>
      <w:tr>
        <w:tc>
          <w:tcPr/>
          <w:p>
            <w:pPr>
              <w:pStyle w:val="Compact"/>
              <w:jc w:val="left"/>
            </w:pPr>
            <w:r>
              <w:t xml:space="preserve">++</w:t>
            </w:r>
          </w:p>
        </w:tc>
        <w:tc>
          <w:tcPr/>
          <w:p>
            <w:pPr>
              <w:pStyle w:val="Compact"/>
              <w:jc w:val="left"/>
            </w:pPr>
            <w:r>
              <w:t xml:space="preserve">7:39</w:t>
            </w:r>
          </w:p>
        </w:tc>
        <w:tc>
          <w:tcPr/>
          <w:p>
            <w:pPr>
              <w:pStyle w:val="Compact"/>
              <w:jc w:val="left"/>
            </w:pPr>
            <w:r>
              <w:t xml:space="preserve">ο [30%] || ου [70%]</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αυτοφωρω [40%] || αυτοφορω [60%]</w:t>
            </w:r>
          </w:p>
        </w:tc>
      </w:tr>
      <w:tr>
        <w:tc>
          <w:tcPr/>
          <w:p>
            <w:pPr>
              <w:pStyle w:val="Compact"/>
              <w:jc w:val="left"/>
            </w:pPr>
            <w:r>
              <w:t xml:space="preserve">++++</w:t>
            </w:r>
          </w:p>
        </w:tc>
        <w:tc>
          <w:tcPr/>
          <w:p>
            <w:pPr>
              <w:pStyle w:val="Compact"/>
              <w:jc w:val="left"/>
            </w:pPr>
            <w:r>
              <w:t xml:space="preserve">8:7</w:t>
            </w:r>
          </w:p>
        </w:tc>
        <w:tc>
          <w:tcPr/>
          <w:p>
            <w:pPr>
              <w:pStyle w:val="Compact"/>
              <w:jc w:val="left"/>
            </w:pPr>
            <w:r>
              <w:t xml:space="preserve">τον λιθον επ αυτη βαλετω [18%] || || || || || (podział na 5 części)</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η [40%] || και [50%] ||</w:t>
            </w:r>
          </w:p>
        </w:tc>
      </w:tr>
      <w:tr>
        <w:tc>
          <w:tcPr/>
          <w:p>
            <w:pPr>
              <w:pStyle w:val="Compact"/>
              <w:jc w:val="left"/>
            </w:pPr>
            <w:r>
              <w:t xml:space="preserve">++</w:t>
            </w:r>
          </w:p>
        </w:tc>
        <w:tc>
          <w:tcPr/>
          <w:p>
            <w:pPr>
              <w:pStyle w:val="Compact"/>
              <w:jc w:val="left"/>
            </w:pPr>
            <w:r>
              <w:t xml:space="preserve">8:33</w:t>
            </w:r>
          </w:p>
        </w:tc>
        <w:tc>
          <w:tcPr/>
          <w:p>
            <w:pPr>
              <w:pStyle w:val="Compact"/>
              <w:jc w:val="left"/>
            </w:pPr>
            <w:r>
              <w:t xml:space="preserve">και ειπον [30%] || --- [70%]</w:t>
            </w:r>
          </w:p>
        </w:tc>
      </w:tr>
      <w:tr>
        <w:tc>
          <w:tcPr/>
          <w:p>
            <w:pPr>
              <w:pStyle w:val="Compact"/>
              <w:jc w:val="left"/>
            </w:pPr>
            <w:r>
              <w:t xml:space="preserve">++</w:t>
            </w:r>
          </w:p>
        </w:tc>
        <w:tc>
          <w:tcPr/>
          <w:p>
            <w:pPr>
              <w:pStyle w:val="Compact"/>
              <w:jc w:val="left"/>
            </w:pPr>
            <w:r>
              <w:t xml:space="preserve">9:17</w:t>
            </w:r>
          </w:p>
        </w:tc>
        <w:tc>
          <w:tcPr/>
          <w:p>
            <w:pPr>
              <w:pStyle w:val="Compact"/>
              <w:jc w:val="left"/>
            </w:pPr>
            <w:r>
              <w:t xml:space="preserve">ουν [30%] || --- [70%]</w:t>
            </w:r>
          </w:p>
        </w:tc>
      </w:tr>
      <w:tr>
        <w:tc>
          <w:tcPr/>
          <w:p>
            <w:pPr>
              <w:pStyle w:val="Compact"/>
              <w:jc w:val="left"/>
            </w:pPr>
            <w:r>
              <w:t xml:space="preserve">++</w:t>
            </w:r>
          </w:p>
        </w:tc>
        <w:tc>
          <w:tcPr/>
          <w:p>
            <w:pPr>
              <w:pStyle w:val="Compact"/>
              <w:jc w:val="left"/>
            </w:pPr>
            <w:r>
              <w:t xml:space="preserve">9:26</w:t>
            </w:r>
          </w:p>
        </w:tc>
        <w:tc>
          <w:tcPr/>
          <w:p>
            <w:pPr>
              <w:pStyle w:val="Compact"/>
              <w:jc w:val="left"/>
            </w:pPr>
            <w:r>
              <w:t xml:space="preserve">ανεωξεν [30%] || ηνοιξεν [63%]</w:t>
            </w:r>
          </w:p>
        </w:tc>
      </w:tr>
      <w:tr>
        <w:tc>
          <w:tcPr/>
          <w:p>
            <w:pPr>
              <w:pStyle w:val="Compact"/>
              <w:jc w:val="left"/>
            </w:pPr>
            <w:r>
              <w:t xml:space="preserve">++--</w:t>
            </w:r>
          </w:p>
        </w:tc>
        <w:tc>
          <w:tcPr/>
          <w:p>
            <w:pPr>
              <w:pStyle w:val="Compact"/>
              <w:jc w:val="left"/>
            </w:pPr>
            <w:r>
              <w:t xml:space="preserve">9:34</w:t>
            </w:r>
          </w:p>
        </w:tc>
        <w:tc>
          <w:tcPr/>
          <w:p>
            <w:pPr>
              <w:pStyle w:val="Compact"/>
              <w:jc w:val="left"/>
            </w:pPr>
            <w:r>
              <w:t xml:space="preserve">ολως [25%] || ολος [75%]</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ουν παλιν πιασαι αυτον (18.9%) || ~ 1243 (32.8%) || ~ 243 (30.3%) || ||</w:t>
            </w:r>
          </w:p>
        </w:tc>
      </w:tr>
      <w:tr>
        <w:tc>
          <w:tcPr/>
          <w:p>
            <w:pPr>
              <w:pStyle w:val="Compact"/>
              <w:jc w:val="left"/>
            </w:pPr>
            <w:r>
              <w:t xml:space="preserve">+</w:t>
            </w:r>
          </w:p>
        </w:tc>
        <w:tc>
          <w:tcPr/>
          <w:p>
            <w:pPr>
              <w:pStyle w:val="Compact"/>
              <w:jc w:val="left"/>
            </w:pPr>
            <w:r>
              <w:t xml:space="preserve">11:2</w:t>
            </w:r>
          </w:p>
        </w:tc>
        <w:tc>
          <w:tcPr/>
          <w:p>
            <w:pPr>
              <w:pStyle w:val="Compact"/>
              <w:jc w:val="left"/>
            </w:pPr>
            <w:r>
              <w:t xml:space="preserve">εαυτης [40%] || αυτης [60%]</w:t>
            </w:r>
          </w:p>
        </w:tc>
      </w:tr>
      <w:tr>
        <w:tc>
          <w:tcPr/>
          <w:p>
            <w:pPr>
              <w:pStyle w:val="Compact"/>
              <w:jc w:val="left"/>
            </w:pPr>
            <w:r>
              <w:t xml:space="preserve">++</w:t>
            </w:r>
          </w:p>
        </w:tc>
        <w:tc>
          <w:tcPr/>
          <w:p>
            <w:pPr>
              <w:pStyle w:val="Compact"/>
              <w:jc w:val="left"/>
            </w:pPr>
            <w:r>
              <w:t xml:space="preserve">11:46</w:t>
            </w:r>
          </w:p>
        </w:tc>
        <w:tc>
          <w:tcPr/>
          <w:p>
            <w:pPr>
              <w:pStyle w:val="Compact"/>
              <w:jc w:val="left"/>
            </w:pPr>
            <w:r>
              <w:t xml:space="preserve">οσα [29%] || α [70%]</w:t>
            </w:r>
          </w:p>
        </w:tc>
      </w:tr>
      <w:tr>
        <w:tc>
          <w:tcPr/>
          <w:p>
            <w:pPr>
              <w:pStyle w:val="Compact"/>
              <w:jc w:val="left"/>
            </w:pPr>
            <w:r>
              <w:t xml:space="preserve">+--</w:t>
            </w:r>
          </w:p>
        </w:tc>
        <w:tc>
          <w:tcPr/>
          <w:p>
            <w:pPr>
              <w:pStyle w:val="Compact"/>
              <w:jc w:val="left"/>
            </w:pPr>
            <w:r>
              <w:t xml:space="preserve">11:51</w:t>
            </w:r>
          </w:p>
        </w:tc>
        <w:tc>
          <w:tcPr/>
          <w:p>
            <w:pPr>
              <w:pStyle w:val="Compact"/>
              <w:jc w:val="left"/>
            </w:pPr>
            <w:r>
              <w:t xml:space="preserve">ο [35%] || --- [65%]</w:t>
            </w:r>
          </w:p>
        </w:tc>
      </w:tr>
      <w:tr>
        <w:tc>
          <w:tcPr/>
          <w:p>
            <w:pPr>
              <w:pStyle w:val="Compact"/>
              <w:jc w:val="left"/>
            </w:pPr>
            <w:r>
              <w:t xml:space="preserve">+++</w:t>
            </w:r>
          </w:p>
        </w:tc>
        <w:tc>
          <w:tcPr/>
          <w:p>
            <w:pPr>
              <w:pStyle w:val="Compact"/>
              <w:jc w:val="left"/>
            </w:pPr>
            <w:r>
              <w:t xml:space="preserve">11:56</w:t>
            </w:r>
          </w:p>
        </w:tc>
        <w:tc>
          <w:tcPr/>
          <w:p>
            <w:pPr>
              <w:pStyle w:val="Compact"/>
              <w:jc w:val="left"/>
            </w:pPr>
            <w:r>
              <w:t xml:space="preserve">υμιν δοκει [20%] || ~ 21 [80%]</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εμελεν [40%] || εμελλεν</w:t>
            </w:r>
            <w:r>
              <w:t xml:space="preserve"> </w:t>
            </w:r>
            <w:r>
              <w:rPr>
                <w:bCs/>
                <w:b/>
              </w:rPr>
              <w:t xml:space="preserve">f</w:t>
            </w:r>
            <w:r>
              <w:rPr>
                <w:vertAlign w:val="superscript"/>
                <w:bCs/>
                <w:b/>
              </w:rPr>
              <w:t xml:space="preserve">35pt</w:t>
            </w:r>
            <w:r>
              <w:t xml:space="preserve"> </w:t>
            </w:r>
            <w:r>
              <w:t xml:space="preserve">[60%]</w:t>
            </w:r>
          </w:p>
        </w:tc>
      </w:tr>
      <w:tr>
        <w:tc>
          <w:tcPr/>
          <w:p>
            <w:pPr>
              <w:pStyle w:val="Compact"/>
              <w:jc w:val="left"/>
            </w:pPr>
            <w:r>
              <w:t xml:space="preserve">+</w:t>
            </w:r>
          </w:p>
        </w:tc>
        <w:tc>
          <w:tcPr/>
          <w:p>
            <w:pPr>
              <w:pStyle w:val="Compact"/>
              <w:jc w:val="left"/>
            </w:pPr>
            <w:r>
              <w:t xml:space="preserve">12:12</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12:13</w:t>
            </w:r>
          </w:p>
        </w:tc>
        <w:tc>
          <w:tcPr/>
          <w:p>
            <w:pPr>
              <w:pStyle w:val="Compact"/>
              <w:jc w:val="left"/>
            </w:pPr>
            <w:r>
              <w:t xml:space="preserve">απαντησιν [38%] || υπαντησιν [60%]</w:t>
            </w:r>
          </w:p>
        </w:tc>
      </w:tr>
      <w:tr>
        <w:tc>
          <w:tcPr/>
          <w:p>
            <w:pPr>
              <w:pStyle w:val="Compact"/>
              <w:jc w:val="left"/>
            </w:pPr>
            <w:r>
              <w:t xml:space="preserve">++</w:t>
            </w:r>
          </w:p>
        </w:tc>
        <w:tc>
          <w:tcPr/>
          <w:p>
            <w:pPr>
              <w:pStyle w:val="Compact"/>
              <w:jc w:val="left"/>
            </w:pPr>
            <w:r>
              <w:t xml:space="preserve">12:14</w:t>
            </w:r>
          </w:p>
        </w:tc>
        <w:tc>
          <w:tcPr/>
          <w:p>
            <w:pPr>
              <w:pStyle w:val="Compact"/>
              <w:jc w:val="left"/>
            </w:pPr>
            <w:r>
              <w:t xml:space="preserve">αυτω [30%] || αυτο [70%]</w:t>
            </w:r>
          </w:p>
        </w:tc>
      </w:tr>
      <w:tr>
        <w:tc>
          <w:tcPr/>
          <w:p>
            <w:pPr>
              <w:pStyle w:val="Compact"/>
              <w:jc w:val="left"/>
            </w:pPr>
            <w:r>
              <w:t xml:space="preserve">+--</w:t>
            </w:r>
          </w:p>
        </w:tc>
        <w:tc>
          <w:tcPr/>
          <w:p>
            <w:pPr>
              <w:pStyle w:val="Compact"/>
              <w:jc w:val="left"/>
            </w:pPr>
            <w:r>
              <w:t xml:space="preserve">13:15</w:t>
            </w:r>
            <w:r>
              <w:rPr>
                <w:vertAlign w:val="superscript"/>
              </w:rPr>
              <w:t xml:space="preserve">a</w:t>
            </w:r>
          </w:p>
        </w:tc>
        <w:tc>
          <w:tcPr/>
          <w:p>
            <w:pPr>
              <w:pStyle w:val="Compact"/>
              <w:jc w:val="left"/>
            </w:pPr>
            <w:r>
              <w:t xml:space="preserve">δεδωκα [35%] || εδωκα [65%]</w:t>
            </w:r>
          </w:p>
        </w:tc>
      </w:tr>
      <w:tr>
        <w:tc>
          <w:tcPr/>
          <w:p>
            <w:pPr>
              <w:pStyle w:val="Compact"/>
              <w:jc w:val="left"/>
            </w:pPr>
            <w:r>
              <w:t xml:space="preserve">++--</w:t>
            </w:r>
          </w:p>
        </w:tc>
        <w:tc>
          <w:tcPr/>
          <w:p>
            <w:pPr>
              <w:pStyle w:val="Compact"/>
              <w:jc w:val="left"/>
            </w:pPr>
            <w:r>
              <w:t xml:space="preserve">13:15</w:t>
            </w:r>
            <w:r>
              <w:rPr>
                <w:vertAlign w:val="superscript"/>
              </w:rPr>
              <w:t xml:space="preserve">b</w:t>
            </w:r>
          </w:p>
        </w:tc>
        <w:tc>
          <w:tcPr/>
          <w:p>
            <w:pPr>
              <w:pStyle w:val="Compact"/>
              <w:jc w:val="left"/>
            </w:pPr>
            <w:r>
              <w:t xml:space="preserve">καθως [25%] || 1 εγω [75%]</w:t>
            </w:r>
          </w:p>
        </w:tc>
      </w:tr>
      <w:tr>
        <w:tc>
          <w:tcPr/>
          <w:p>
            <w:pPr>
              <w:pStyle w:val="Compact"/>
              <w:jc w:val="left"/>
            </w:pPr>
            <w:r>
              <w:t xml:space="preserve">+++</w:t>
            </w:r>
          </w:p>
        </w:tc>
        <w:tc>
          <w:tcPr/>
          <w:p>
            <w:pPr>
              <w:pStyle w:val="Compact"/>
              <w:jc w:val="left"/>
            </w:pPr>
            <w:r>
              <w:t xml:space="preserve">13:22</w:t>
            </w:r>
            <w:r>
              <w:rPr>
                <w:vertAlign w:val="superscript"/>
              </w:rPr>
              <w:t xml:space="preserve">a</w:t>
            </w:r>
          </w:p>
        </w:tc>
        <w:tc>
          <w:tcPr/>
          <w:p>
            <w:pPr>
              <w:pStyle w:val="Compact"/>
              <w:jc w:val="left"/>
            </w:pPr>
            <w:r>
              <w:t xml:space="preserve">δε [20%] || ουν [79.5%]</w:t>
            </w:r>
          </w:p>
        </w:tc>
      </w:tr>
      <w:tr>
        <w:tc>
          <w:tcPr/>
          <w:p>
            <w:pPr>
              <w:pStyle w:val="Compact"/>
              <w:jc w:val="left"/>
            </w:pPr>
            <w:r>
              <w:t xml:space="preserve">++--</w:t>
            </w:r>
          </w:p>
        </w:tc>
        <w:tc>
          <w:tcPr/>
          <w:p>
            <w:pPr>
              <w:pStyle w:val="Compact"/>
              <w:jc w:val="left"/>
            </w:pPr>
            <w:r>
              <w:t xml:space="preserve">13:22</w:t>
            </w:r>
            <w:r>
              <w:rPr>
                <w:vertAlign w:val="superscript"/>
              </w:rPr>
              <w:t xml:space="preserve">b</w:t>
            </w:r>
          </w:p>
        </w:tc>
        <w:tc>
          <w:tcPr/>
          <w:p>
            <w:pPr>
              <w:pStyle w:val="Compact"/>
              <w:jc w:val="left"/>
            </w:pPr>
            <w:r>
              <w:t xml:space="preserve">προς [25%] || εις [75%]</w:t>
            </w:r>
          </w:p>
        </w:tc>
      </w:tr>
      <w:tr>
        <w:tc>
          <w:tcPr/>
          <w:p>
            <w:pPr>
              <w:pStyle w:val="Compact"/>
              <w:jc w:val="left"/>
            </w:pPr>
            <w:r>
              <w:t xml:space="preserve">+--</w:t>
            </w:r>
          </w:p>
        </w:tc>
        <w:tc>
          <w:tcPr/>
          <w:p>
            <w:pPr>
              <w:pStyle w:val="Compact"/>
              <w:jc w:val="left"/>
            </w:pPr>
            <w:r>
              <w:t xml:space="preserve">18:23</w:t>
            </w:r>
          </w:p>
        </w:tc>
        <w:tc>
          <w:tcPr/>
          <w:p>
            <w:pPr>
              <w:pStyle w:val="Compact"/>
              <w:jc w:val="left"/>
            </w:pPr>
            <w:r>
              <w:t xml:space="preserve">δαιρεις [36%] || δερεις [64%]</w:t>
            </w:r>
          </w:p>
        </w:tc>
      </w:tr>
      <w:tr>
        <w:tc>
          <w:tcPr/>
          <w:p>
            <w:pPr>
              <w:pStyle w:val="Compact"/>
              <w:jc w:val="left"/>
            </w:pPr>
            <w:r>
              <w:t xml:space="preserve">+++</w:t>
            </w:r>
          </w:p>
        </w:tc>
        <w:tc>
          <w:tcPr/>
          <w:p>
            <w:pPr>
              <w:pStyle w:val="Compact"/>
              <w:jc w:val="left"/>
            </w:pPr>
            <w:r>
              <w:t xml:space="preserve">18:39</w:t>
            </w:r>
          </w:p>
        </w:tc>
        <w:tc>
          <w:tcPr/>
          <w:p>
            <w:pPr>
              <w:pStyle w:val="Compact"/>
              <w:jc w:val="left"/>
            </w:pPr>
            <w:r>
              <w:t xml:space="preserve">ημιν [20%] || υμιν [80%]</w:t>
            </w:r>
          </w:p>
        </w:tc>
      </w:tr>
      <w:tr>
        <w:tc>
          <w:tcPr/>
          <w:p>
            <w:pPr>
              <w:pStyle w:val="Compact"/>
              <w:jc w:val="left"/>
            </w:pPr>
            <w:r>
              <w:t xml:space="preserve">++</w:t>
            </w:r>
          </w:p>
        </w:tc>
        <w:tc>
          <w:tcPr/>
          <w:p>
            <w:pPr>
              <w:pStyle w:val="Compact"/>
              <w:jc w:val="left"/>
            </w:pPr>
            <w:r>
              <w:t xml:space="preserve">18:40</w:t>
            </w:r>
          </w:p>
        </w:tc>
        <w:tc>
          <w:tcPr/>
          <w:p>
            <w:pPr>
              <w:pStyle w:val="Compact"/>
              <w:jc w:val="left"/>
            </w:pPr>
            <w:r>
              <w:t xml:space="preserve">ουν [30%] || 1 παλιν [70%]</w:t>
            </w:r>
          </w:p>
        </w:tc>
      </w:tr>
      <w:tr>
        <w:tc>
          <w:tcPr/>
          <w:p>
            <w:pPr>
              <w:pStyle w:val="Compact"/>
              <w:jc w:val="left"/>
            </w:pPr>
            <w:r>
              <w:t xml:space="preserve">+</w:t>
            </w:r>
          </w:p>
        </w:tc>
        <w:tc>
          <w:tcPr/>
          <w:p>
            <w:pPr>
              <w:pStyle w:val="Compact"/>
              <w:jc w:val="left"/>
            </w:pPr>
            <w:r>
              <w:t xml:space="preserve">19:14</w:t>
            </w:r>
          </w:p>
        </w:tc>
        <w:tc>
          <w:tcPr/>
          <w:p>
            <w:pPr>
              <w:pStyle w:val="Compact"/>
              <w:jc w:val="left"/>
            </w:pPr>
            <w:r>
              <w:t xml:space="preserve">ην [40%] || δε [60%]</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αρραφος [40%] || αραφος [60%]</w:t>
            </w:r>
          </w:p>
        </w:tc>
      </w:tr>
      <w:tr>
        <w:tc>
          <w:tcPr/>
          <w:p>
            <w:pPr>
              <w:pStyle w:val="Compact"/>
              <w:jc w:val="left"/>
            </w:pPr>
            <w:r>
              <w:t xml:space="preserve">++</w:t>
            </w:r>
          </w:p>
        </w:tc>
        <w:tc>
          <w:tcPr/>
          <w:p>
            <w:pPr>
              <w:pStyle w:val="Compact"/>
              <w:jc w:val="left"/>
            </w:pPr>
            <w:r>
              <w:t xml:space="preserve">19:28</w:t>
            </w:r>
          </w:p>
        </w:tc>
        <w:tc>
          <w:tcPr/>
          <w:p>
            <w:pPr>
              <w:pStyle w:val="Compact"/>
              <w:jc w:val="left"/>
            </w:pPr>
            <w:r>
              <w:t xml:space="preserve">ηδη παντα [30%] || ~ 21 [60%] ||</w:t>
            </w:r>
          </w:p>
        </w:tc>
      </w:tr>
      <w:tr>
        <w:tc>
          <w:tcPr/>
          <w:p>
            <w:pPr>
              <w:pStyle w:val="Compact"/>
              <w:jc w:val="left"/>
            </w:pPr>
            <w:r>
              <w:t xml:space="preserve">++</w:t>
            </w:r>
          </w:p>
        </w:tc>
        <w:tc>
          <w:tcPr/>
          <w:p>
            <w:pPr>
              <w:pStyle w:val="Compact"/>
              <w:jc w:val="left"/>
            </w:pPr>
            <w:r>
              <w:t xml:space="preserve">19:35</w:t>
            </w:r>
          </w:p>
        </w:tc>
        <w:tc>
          <w:tcPr/>
          <w:p>
            <w:pPr>
              <w:pStyle w:val="Compact"/>
              <w:jc w:val="left"/>
            </w:pPr>
            <w:r>
              <w:t xml:space="preserve">η μαρτυρια αυτου [30%] || ~ 312 [65%]</w:t>
            </w:r>
          </w:p>
        </w:tc>
      </w:tr>
      <w:tr>
        <w:tc>
          <w:tcPr/>
          <w:p>
            <w:pPr>
              <w:pStyle w:val="Compact"/>
              <w:jc w:val="left"/>
            </w:pPr>
            <w:r>
              <w:t xml:space="preserve">+++</w:t>
            </w:r>
          </w:p>
        </w:tc>
        <w:tc>
          <w:tcPr/>
          <w:p>
            <w:pPr>
              <w:pStyle w:val="Compact"/>
              <w:jc w:val="left"/>
            </w:pPr>
            <w:r>
              <w:t xml:space="preserve">21:1</w:t>
            </w:r>
            <w:r>
              <w:rPr>
                <w:vertAlign w:val="superscript"/>
              </w:rPr>
              <w:t xml:space="preserve">a</w:t>
            </w:r>
          </w:p>
        </w:tc>
        <w:tc>
          <w:tcPr/>
          <w:p>
            <w:pPr>
              <w:pStyle w:val="Compact"/>
              <w:jc w:val="left"/>
            </w:pPr>
            <w:r>
              <w:t xml:space="preserve">εαυτον [20%] || 1 παλιν [80%]</w:t>
            </w:r>
          </w:p>
        </w:tc>
      </w:tr>
      <w:tr>
        <w:tc>
          <w:tcPr/>
          <w:p>
            <w:pPr>
              <w:pStyle w:val="Compact"/>
              <w:jc w:val="left"/>
            </w:pPr>
            <w:r>
              <w:t xml:space="preserve">+</w:t>
            </w:r>
          </w:p>
        </w:tc>
        <w:tc>
          <w:tcPr/>
          <w:p>
            <w:pPr>
              <w:pStyle w:val="Compact"/>
              <w:jc w:val="left"/>
            </w:pPr>
            <w:r>
              <w:t xml:space="preserve">21:1</w:t>
            </w:r>
            <w:r>
              <w:rPr>
                <w:vertAlign w:val="superscript"/>
              </w:rPr>
              <w:t xml:space="preserve">b</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21:1</w:t>
            </w:r>
            <w:r>
              <w:rPr>
                <w:vertAlign w:val="superscript"/>
              </w:rPr>
              <w:t xml:space="preserve">c</w:t>
            </w:r>
          </w:p>
        </w:tc>
        <w:tc>
          <w:tcPr/>
          <w:p>
            <w:pPr>
              <w:pStyle w:val="Compact"/>
              <w:jc w:val="left"/>
            </w:pPr>
            <w:r>
              <w:t xml:space="preserve">εγερθεις εκ νεκρων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(7)</w:t>
            </w:r>
          </w:p>
        </w:tc>
      </w:tr>
      <w:tr>
        <w:tc>
          <w:tcPr/>
          <w:p>
            <w:pPr>
              <w:pStyle w:val="Compact"/>
              <w:jc w:val="left"/>
            </w:pPr>
            <w:r>
              <w:t xml:space="preserve">++</w:t>
            </w:r>
          </w:p>
        </w:tc>
        <w:tc>
          <w:tcPr/>
          <w:p>
            <w:pPr>
              <w:pStyle w:val="Compact"/>
              <w:jc w:val="left"/>
            </w:pPr>
            <w:r>
              <w:t xml:space="preserve">około 30% = niezłe (11)</w:t>
            </w:r>
          </w:p>
        </w:tc>
      </w:tr>
      <w:tr>
        <w:tc>
          <w:tcPr/>
          <w:p>
            <w:pPr>
              <w:pStyle w:val="Compact"/>
              <w:jc w:val="left"/>
            </w:pPr>
            <w:r>
              <w:t xml:space="preserve">+--</w:t>
            </w:r>
          </w:p>
        </w:tc>
        <w:tc>
          <w:tcPr/>
          <w:p>
            <w:pPr>
              <w:pStyle w:val="Compact"/>
              <w:jc w:val="left"/>
            </w:pPr>
            <w:r>
              <w:t xml:space="preserve">około 35% (4)</w:t>
            </w:r>
          </w:p>
        </w:tc>
      </w:tr>
      <w:tr>
        <w:tc>
          <w:tcPr/>
          <w:p>
            <w:pPr>
              <w:pStyle w:val="Compact"/>
              <w:jc w:val="left"/>
            </w:pPr>
            <w:r>
              <w:t xml:space="preserve">+</w:t>
            </w:r>
          </w:p>
        </w:tc>
        <w:tc>
          <w:tcPr/>
          <w:p>
            <w:pPr>
              <w:pStyle w:val="Compact"/>
              <w:jc w:val="left"/>
            </w:pPr>
            <w:r>
              <w:t xml:space="preserve">około 40% (13)</w:t>
            </w:r>
          </w:p>
        </w:tc>
      </w:tr>
    </w:tbl>
    <w:p>
      <w:pPr>
        <w:pStyle w:val="BodyText"/>
      </w:pPr>
      <w:r>
        <w:t xml:space="preserve">Łącznie: 43</w:t>
      </w:r>
      <w:r>
        <w:br/>
      </w:r>
      <w:r>
        <w:t xml:space="preserve">(Przekazywanie Ewangelii Jana przebiegało bardziej zachowawczo niż pozostałych Ewangelii.)</w:t>
      </w:r>
    </w:p>
    <w:p>
      <w:pPr>
        <w:pStyle w:val="BodyText"/>
      </w:pPr>
      <w:r>
        <w:rPr>
          <w:bCs/>
          <w:b/>
        </w:rPr>
        <w:t xml:space="preserve">Dzieje Apostolskie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 [20%]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 [25%]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 [25%]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 [20%]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 [20%]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 [25%]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 [20%]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 [20%]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 [18%]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 [20%]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 [25%]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 [18%]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 [30%]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 [22%]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 [18%]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 [25%]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 [30%]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 [20%]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 [18%]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 [20%]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εισηλθεις προς ανδρας ακροβυστιαν εχοντας και συνεφαγες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 [18%]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 [18%]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 (5.1%)+{19.5%} || 1 ιερουσαλημ (60%) || || || ||</w:t>
            </w:r>
            <w:r>
              <w:t xml:space="preserve"> </w:t>
            </w:r>
            <w:r>
              <w:rPr>
                <w:rStyle w:val="FootnoteReference"/>
              </w:rPr>
              <w:footnoteReference w:id="206"/>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 [20%]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 [20%]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 [20%]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 [20%]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 [18%]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 [20%]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 [20%]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 [20%]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 [20%]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 [18%]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 [20%]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 [20%]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 [20%]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 [25%]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 [25%]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 [20%]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 [30%]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 [20%]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 [20%]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 [25%]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 [25%]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 [18%]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 [18%]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 [20%]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 [25%]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 [25%]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 [20%]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 [20%]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 [20%]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 [20%]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και4 [30%]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 [20%]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 [20%]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 [20%]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 (33.1%)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 [18%] + {4%} || --- [75%]</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 [18%] || πλειον [79%]</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 [30%]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 [18%]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 [25%]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 [30%]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 [18%]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 [20%]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 [21%]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 [21%]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 [22%]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 [20%]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 [20%]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 [25%] || ιασομαι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t xml:space="preserve">Łącznie: 180</w:t>
      </w:r>
    </w:p>
    <w:p>
      <w:pPr>
        <w:pStyle w:val="BodyText"/>
      </w:pPr>
      <w:r>
        <w:t xml:space="preserve">Spośród wszystkich ksiąg</w:t>
      </w:r>
      <w:r>
        <w:t xml:space="preserve"> </w:t>
      </w:r>
      <w:r>
        <w:rPr>
          <w:bCs/>
          <w:b/>
        </w:rPr>
        <w:t xml:space="preserve">f</w:t>
      </w:r>
      <w:r>
        <w:rPr>
          <w:vertAlign w:val="superscript"/>
          <w:bCs/>
          <w:b/>
        </w:rPr>
        <w:t xml:space="preserve">35</w:t>
      </w:r>
      <w:r>
        <w:t xml:space="preserve"> </w:t>
      </w:r>
      <w:r>
        <w:t xml:space="preserve">ma najbardziej wyrazisty profil w Dziejach Apostolskich, ze zdecydowanie największą liczbą wariantów diagnostycznych.</w:t>
      </w:r>
    </w:p>
    <w:p>
      <w:pPr>
        <w:pStyle w:val="BodyText"/>
      </w:pPr>
      <w:r>
        <w:rPr>
          <w:bCs/>
          <w:b/>
        </w:rPr>
        <w:t xml:space="preserve">Korpus Pawłowy</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Rz 1:23</w:t>
            </w:r>
          </w:p>
        </w:tc>
        <w:tc>
          <w:tcPr/>
          <w:p>
            <w:pPr>
              <w:pStyle w:val="Compact"/>
              <w:jc w:val="left"/>
            </w:pPr>
            <w:r>
              <w:t xml:space="preserve">ηλλαξαντο [26%] || ηλλαξαν [74%]</w:t>
            </w:r>
          </w:p>
        </w:tc>
      </w:tr>
      <w:tr>
        <w:tc>
          <w:tcPr/>
          <w:p>
            <w:pPr>
              <w:pStyle w:val="Compact"/>
              <w:jc w:val="left"/>
            </w:pPr>
            <w:r>
              <w:t xml:space="preserve">++--</w:t>
            </w:r>
          </w:p>
        </w:tc>
        <w:tc>
          <w:tcPr/>
          <w:p>
            <w:pPr>
              <w:pStyle w:val="Compact"/>
              <w:jc w:val="left"/>
            </w:pPr>
            <w:r>
              <w:t xml:space="preserve">Rz 1:27</w:t>
            </w:r>
            <w:r>
              <w:rPr>
                <w:vertAlign w:val="superscript"/>
              </w:rPr>
              <w:t xml:space="preserve">a</w:t>
            </w:r>
          </w:p>
        </w:tc>
        <w:tc>
          <w:tcPr/>
          <w:p>
            <w:pPr>
              <w:pStyle w:val="Compact"/>
              <w:jc w:val="left"/>
            </w:pPr>
            <w:r>
              <w:t xml:space="preserve">ομοιως [23%] || 1 τε [70%] ||</w:t>
            </w:r>
          </w:p>
        </w:tc>
      </w:tr>
      <w:tr>
        <w:tc>
          <w:tcPr/>
          <w:p>
            <w:pPr>
              <w:pStyle w:val="Compact"/>
              <w:jc w:val="left"/>
            </w:pPr>
            <w:r>
              <w:t xml:space="preserve">+++</w:t>
            </w:r>
          </w:p>
        </w:tc>
        <w:tc>
          <w:tcPr/>
          <w:p>
            <w:pPr>
              <w:pStyle w:val="Compact"/>
              <w:jc w:val="left"/>
            </w:pPr>
            <w:r>
              <w:t xml:space="preserve">Rz 1:27</w:t>
            </w:r>
            <w:r>
              <w:rPr>
                <w:vertAlign w:val="superscript"/>
              </w:rPr>
              <w:t xml:space="preserve">b</w:t>
            </w:r>
          </w:p>
        </w:tc>
        <w:tc>
          <w:tcPr/>
          <w:p>
            <w:pPr>
              <w:pStyle w:val="Compact"/>
              <w:jc w:val="left"/>
            </w:pPr>
            <w:r>
              <w:t xml:space="preserve">εξεκαυθησαν [20%] || 1 εν [80%]</w:t>
            </w:r>
          </w:p>
        </w:tc>
      </w:tr>
      <w:tr>
        <w:tc>
          <w:tcPr/>
          <w:p>
            <w:pPr>
              <w:pStyle w:val="Compact"/>
              <w:jc w:val="left"/>
            </w:pPr>
            <w:r>
              <w:t xml:space="preserve">+++</w:t>
            </w:r>
          </w:p>
        </w:tc>
        <w:tc>
          <w:tcPr/>
          <w:p>
            <w:pPr>
              <w:pStyle w:val="Compact"/>
              <w:jc w:val="left"/>
            </w:pPr>
            <w:r>
              <w:t xml:space="preserve">Rz 4:16</w:t>
            </w:r>
          </w:p>
        </w:tc>
        <w:tc>
          <w:tcPr/>
          <w:p>
            <w:pPr>
              <w:pStyle w:val="Compact"/>
              <w:jc w:val="left"/>
            </w:pPr>
            <w:r>
              <w:t xml:space="preserve">εκ [20%] || 1 του [80%]</w:t>
            </w:r>
          </w:p>
        </w:tc>
      </w:tr>
      <w:tr>
        <w:tc>
          <w:tcPr/>
          <w:p>
            <w:pPr>
              <w:pStyle w:val="Compact"/>
              <w:jc w:val="left"/>
            </w:pPr>
            <w:r>
              <w:t xml:space="preserve">+</w:t>
            </w:r>
          </w:p>
        </w:tc>
        <w:tc>
          <w:tcPr/>
          <w:p>
            <w:pPr>
              <w:pStyle w:val="Compact"/>
              <w:jc w:val="left"/>
            </w:pPr>
            <w:r>
              <w:t xml:space="preserve">Rz 5:1</w:t>
            </w:r>
          </w:p>
        </w:tc>
        <w:tc>
          <w:tcPr/>
          <w:p>
            <w:pPr>
              <w:pStyle w:val="Compact"/>
              <w:jc w:val="left"/>
            </w:pPr>
            <w:r>
              <w:t xml:space="preserve">εχωμεν (43%) || εχομεν (57%)</w:t>
            </w:r>
          </w:p>
        </w:tc>
      </w:tr>
      <w:tr>
        <w:tc>
          <w:tcPr/>
          <w:p>
            <w:pPr>
              <w:pStyle w:val="Compact"/>
              <w:jc w:val="left"/>
            </w:pPr>
            <w:r>
              <w:t xml:space="preserve">+</w:t>
            </w:r>
          </w:p>
        </w:tc>
        <w:tc>
          <w:tcPr/>
          <w:p>
            <w:pPr>
              <w:pStyle w:val="Compact"/>
              <w:jc w:val="left"/>
            </w:pPr>
            <w:r>
              <w:t xml:space="preserve">Rz 5:11</w:t>
            </w:r>
          </w:p>
        </w:tc>
        <w:tc>
          <w:tcPr/>
          <w:p>
            <w:pPr>
              <w:pStyle w:val="Compact"/>
              <w:jc w:val="left"/>
            </w:pPr>
            <w:r>
              <w:t xml:space="preserve">καυχωμεθα [38%] || καυχωμενοι [52%] ||</w:t>
            </w:r>
          </w:p>
        </w:tc>
      </w:tr>
      <w:tr>
        <w:tc>
          <w:tcPr/>
          <w:p>
            <w:pPr>
              <w:pStyle w:val="Compact"/>
              <w:jc w:val="left"/>
            </w:pPr>
            <w:r>
              <w:t xml:space="preserve">++</w:t>
            </w:r>
          </w:p>
        </w:tc>
        <w:tc>
          <w:tcPr/>
          <w:p>
            <w:pPr>
              <w:pStyle w:val="Compact"/>
              <w:jc w:val="left"/>
            </w:pPr>
            <w:r>
              <w:t xml:space="preserve">Rz 5:14</w:t>
            </w:r>
          </w:p>
        </w:tc>
        <w:tc>
          <w:tcPr/>
          <w:p>
            <w:pPr>
              <w:pStyle w:val="Compact"/>
              <w:jc w:val="left"/>
            </w:pPr>
            <w:r>
              <w:t xml:space="preserve">μωυσεος [30%] || μωυσεως [50%] || μωσεως [20%]</w:t>
            </w:r>
          </w:p>
        </w:tc>
      </w:tr>
      <w:tr>
        <w:tc>
          <w:tcPr/>
          <w:p>
            <w:pPr>
              <w:pStyle w:val="Compact"/>
              <w:jc w:val="left"/>
            </w:pPr>
            <w:r>
              <w:t xml:space="preserve">++--</w:t>
            </w:r>
          </w:p>
        </w:tc>
        <w:tc>
          <w:tcPr/>
          <w:p>
            <w:pPr>
              <w:pStyle w:val="Compact"/>
              <w:jc w:val="left"/>
            </w:pPr>
            <w:r>
              <w:t xml:space="preserve">Rz 9:13</w:t>
            </w:r>
          </w:p>
        </w:tc>
        <w:tc>
          <w:tcPr/>
          <w:p>
            <w:pPr>
              <w:pStyle w:val="Compact"/>
              <w:jc w:val="left"/>
            </w:pPr>
            <w:r>
              <w:t xml:space="preserve">ἡσαυ [25%] || ἠσαυ [75%]</w:t>
            </w:r>
          </w:p>
        </w:tc>
      </w:tr>
      <w:tr>
        <w:tc>
          <w:tcPr/>
          <w:p>
            <w:pPr>
              <w:pStyle w:val="Compact"/>
              <w:jc w:val="left"/>
            </w:pPr>
            <w:r>
              <w:t xml:space="preserve">++</w:t>
            </w:r>
          </w:p>
        </w:tc>
        <w:tc>
          <w:tcPr/>
          <w:p>
            <w:pPr>
              <w:pStyle w:val="Compact"/>
              <w:jc w:val="left"/>
            </w:pPr>
            <w:r>
              <w:t xml:space="preserve">Rz 10:5</w:t>
            </w:r>
          </w:p>
        </w:tc>
        <w:tc>
          <w:tcPr/>
          <w:p>
            <w:pPr>
              <w:pStyle w:val="Compact"/>
              <w:jc w:val="left"/>
            </w:pPr>
            <w:r>
              <w:t xml:space="preserve">μωσης [30%] || μωυσης [70%]</w:t>
            </w:r>
          </w:p>
        </w:tc>
      </w:tr>
      <w:tr>
        <w:tc>
          <w:tcPr/>
          <w:p>
            <w:pPr>
              <w:pStyle w:val="Compact"/>
              <w:jc w:val="left"/>
            </w:pPr>
            <w:r>
              <w:t xml:space="preserve">+++</w:t>
            </w:r>
          </w:p>
        </w:tc>
        <w:tc>
          <w:tcPr/>
          <w:p>
            <w:pPr>
              <w:pStyle w:val="Compact"/>
              <w:jc w:val="left"/>
            </w:pPr>
            <w:r>
              <w:t xml:space="preserve">Rz 10:19</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Rz 11:7</w:t>
            </w:r>
          </w:p>
        </w:tc>
        <w:tc>
          <w:tcPr/>
          <w:p>
            <w:pPr>
              <w:pStyle w:val="Compact"/>
              <w:jc w:val="left"/>
            </w:pPr>
            <w:r>
              <w:t xml:space="preserve">τουτου [32%] || τουτο [68%]</w:t>
            </w:r>
          </w:p>
        </w:tc>
      </w:tr>
      <w:tr>
        <w:tc>
          <w:tcPr/>
          <w:p>
            <w:pPr>
              <w:pStyle w:val="Compact"/>
              <w:jc w:val="left"/>
            </w:pPr>
            <w:r>
              <w:t xml:space="preserve">++--</w:t>
            </w:r>
          </w:p>
        </w:tc>
        <w:tc>
          <w:tcPr/>
          <w:p>
            <w:pPr>
              <w:pStyle w:val="Compact"/>
              <w:jc w:val="left"/>
            </w:pPr>
            <w:r>
              <w:t xml:space="preserve">Rz 15:9</w:t>
            </w:r>
          </w:p>
        </w:tc>
        <w:tc>
          <w:tcPr/>
          <w:p>
            <w:pPr>
              <w:pStyle w:val="Compact"/>
              <w:jc w:val="left"/>
            </w:pPr>
            <w:r>
              <w:t xml:space="preserve">κυριε [27%] || --- [73%]</w:t>
            </w:r>
          </w:p>
        </w:tc>
      </w:tr>
      <w:tr>
        <w:tc>
          <w:tcPr/>
          <w:p>
            <w:pPr>
              <w:pStyle w:val="Compact"/>
              <w:jc w:val="left"/>
            </w:pPr>
            <w:r>
              <w:t xml:space="preserve">+++</w:t>
            </w:r>
          </w:p>
        </w:tc>
        <w:tc>
          <w:tcPr/>
          <w:p>
            <w:pPr>
              <w:pStyle w:val="Compact"/>
              <w:jc w:val="left"/>
            </w:pPr>
            <w:r>
              <w:t xml:space="preserve">Rz 16:6</w:t>
            </w:r>
          </w:p>
        </w:tc>
        <w:tc>
          <w:tcPr/>
          <w:p>
            <w:pPr>
              <w:pStyle w:val="Compact"/>
              <w:jc w:val="left"/>
            </w:pPr>
            <w:r>
              <w:t xml:space="preserve">υμας (22.8%) || ημας (76.4%)</w:t>
            </w:r>
          </w:p>
        </w:tc>
      </w:tr>
      <w:tr>
        <w:tc>
          <w:tcPr/>
          <w:p>
            <w:pPr>
              <w:pStyle w:val="Compact"/>
              <w:jc w:val="left"/>
            </w:pPr>
            <w:r>
              <w:t xml:space="preserve">++++</w:t>
            </w:r>
          </w:p>
        </w:tc>
        <w:tc>
          <w:tcPr/>
          <w:p>
            <w:pPr>
              <w:pStyle w:val="Compact"/>
              <w:jc w:val="left"/>
            </w:pPr>
            <w:r>
              <w:t xml:space="preserve">Rz 16:24</w:t>
            </w:r>
          </w:p>
        </w:tc>
        <w:tc>
          <w:tcPr/>
          <w:p>
            <w:pPr>
              <w:pStyle w:val="Compact"/>
              <w:jc w:val="left"/>
            </w:pPr>
            <w:r>
              <w:t xml:space="preserve">ημων [18%] || υμων [82%]</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1Kor 1:2</w:t>
            </w:r>
          </w:p>
        </w:tc>
        <w:tc>
          <w:tcPr/>
          <w:p>
            <w:pPr>
              <w:pStyle w:val="Compact"/>
              <w:jc w:val="left"/>
            </w:pPr>
            <w:r>
              <w:t xml:space="preserve">υμων [25%] || ημων [75%]</w:t>
            </w:r>
          </w:p>
        </w:tc>
      </w:tr>
      <w:tr>
        <w:tc>
          <w:tcPr/>
          <w:p>
            <w:pPr>
              <w:pStyle w:val="Compact"/>
              <w:jc w:val="left"/>
            </w:pPr>
            <w:r>
              <w:t xml:space="preserve">+</w:t>
            </w:r>
          </w:p>
        </w:tc>
        <w:tc>
          <w:tcPr/>
          <w:p>
            <w:pPr>
              <w:pStyle w:val="Compact"/>
              <w:jc w:val="left"/>
            </w:pPr>
            <w:r>
              <w:t xml:space="preserve">1Kor 4:11</w:t>
            </w:r>
          </w:p>
        </w:tc>
        <w:tc>
          <w:tcPr/>
          <w:p>
            <w:pPr>
              <w:pStyle w:val="Compact"/>
              <w:jc w:val="left"/>
            </w:pPr>
            <w:r>
              <w:t xml:space="preserve">γυμνιτευομεν [40%] || γυμνητευομεν [60%]</w:t>
            </w:r>
          </w:p>
        </w:tc>
      </w:tr>
      <w:tr>
        <w:tc>
          <w:tcPr/>
          <w:p>
            <w:pPr>
              <w:pStyle w:val="Compact"/>
              <w:jc w:val="left"/>
            </w:pPr>
            <w:r>
              <w:t xml:space="preserve">+++</w:t>
            </w:r>
          </w:p>
        </w:tc>
        <w:tc>
          <w:tcPr/>
          <w:p>
            <w:pPr>
              <w:pStyle w:val="Compact"/>
              <w:jc w:val="left"/>
            </w:pPr>
            <w:r>
              <w:t xml:space="preserve">1Kor 5:8</w:t>
            </w:r>
          </w:p>
        </w:tc>
        <w:tc>
          <w:tcPr/>
          <w:p>
            <w:pPr>
              <w:pStyle w:val="Compact"/>
              <w:jc w:val="left"/>
            </w:pPr>
            <w:r>
              <w:t xml:space="preserve">εἱλικρινειας [20%] || εἰλικρινειας [55%] ||</w:t>
            </w:r>
          </w:p>
        </w:tc>
      </w:tr>
      <w:tr>
        <w:tc>
          <w:tcPr/>
          <w:p>
            <w:pPr>
              <w:pStyle w:val="Compact"/>
              <w:jc w:val="left"/>
            </w:pPr>
            <w:r>
              <w:t xml:space="preserve">+--</w:t>
            </w:r>
          </w:p>
        </w:tc>
        <w:tc>
          <w:tcPr/>
          <w:p>
            <w:pPr>
              <w:pStyle w:val="Compact"/>
              <w:jc w:val="left"/>
            </w:pPr>
            <w:r>
              <w:t xml:space="preserve">1Kor 6:8</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1Kor 6:11</w:t>
            </w:r>
          </w:p>
        </w:tc>
        <w:tc>
          <w:tcPr/>
          <w:p>
            <w:pPr>
              <w:pStyle w:val="Compact"/>
              <w:jc w:val="left"/>
            </w:pPr>
            <w:r>
              <w:t xml:space="preserve">αλλ1 [35%] || αλλα [65%]</w:t>
            </w:r>
          </w:p>
        </w:tc>
      </w:tr>
      <w:tr>
        <w:tc>
          <w:tcPr/>
          <w:p>
            <w:pPr>
              <w:pStyle w:val="Compact"/>
              <w:jc w:val="left"/>
            </w:pPr>
            <w:r>
              <w:t xml:space="preserve">++</w:t>
            </w:r>
          </w:p>
        </w:tc>
        <w:tc>
          <w:tcPr/>
          <w:p>
            <w:pPr>
              <w:pStyle w:val="Compact"/>
              <w:jc w:val="left"/>
            </w:pPr>
            <w:r>
              <w:t xml:space="preserve">1Kor 9:9</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1Kor 9:10</w:t>
            </w:r>
          </w:p>
        </w:tc>
        <w:tc>
          <w:tcPr/>
          <w:p>
            <w:pPr>
              <w:pStyle w:val="Compact"/>
              <w:jc w:val="left"/>
            </w:pPr>
            <w:r>
              <w:t xml:space="preserve">ἁλοων [30%] || ἀλοων [70%]</w:t>
            </w:r>
          </w:p>
        </w:tc>
      </w:tr>
      <w:tr>
        <w:tc>
          <w:tcPr/>
          <w:p>
            <w:pPr>
              <w:pStyle w:val="Compact"/>
              <w:jc w:val="left"/>
            </w:pPr>
            <w:r>
              <w:t xml:space="preserve">+--</w:t>
            </w:r>
          </w:p>
        </w:tc>
        <w:tc>
          <w:tcPr/>
          <w:p>
            <w:pPr>
              <w:pStyle w:val="Compact"/>
              <w:jc w:val="left"/>
            </w:pPr>
            <w:r>
              <w:t xml:space="preserve">1Kor 9:26</w:t>
            </w:r>
          </w:p>
        </w:tc>
        <w:tc>
          <w:tcPr/>
          <w:p>
            <w:pPr>
              <w:pStyle w:val="Compact"/>
              <w:jc w:val="left"/>
            </w:pPr>
            <w:r>
              <w:t xml:space="preserve">δαιρων [35%] || δερων [65%]</w:t>
            </w:r>
          </w:p>
        </w:tc>
      </w:tr>
      <w:tr>
        <w:tc>
          <w:tcPr/>
          <w:p>
            <w:pPr>
              <w:pStyle w:val="Compact"/>
              <w:jc w:val="left"/>
            </w:pPr>
            <w:r>
              <w:t xml:space="preserve">++</w:t>
            </w:r>
          </w:p>
        </w:tc>
        <w:tc>
          <w:tcPr/>
          <w:p>
            <w:pPr>
              <w:pStyle w:val="Compact"/>
              <w:jc w:val="left"/>
            </w:pPr>
            <w:r>
              <w:t xml:space="preserve">1Kor 10:13</w:t>
            </w:r>
          </w:p>
        </w:tc>
        <w:tc>
          <w:tcPr/>
          <w:p>
            <w:pPr>
              <w:pStyle w:val="Compact"/>
              <w:jc w:val="left"/>
            </w:pPr>
            <w:r>
              <w:t xml:space="preserve">δυνατος [30%] || πιστος [70%]</w:t>
            </w:r>
          </w:p>
        </w:tc>
      </w:tr>
      <w:tr>
        <w:tc>
          <w:tcPr/>
          <w:p>
            <w:pPr>
              <w:pStyle w:val="Compact"/>
              <w:jc w:val="left"/>
            </w:pPr>
            <w:r>
              <w:t xml:space="preserve">++</w:t>
            </w:r>
          </w:p>
        </w:tc>
        <w:tc>
          <w:tcPr/>
          <w:p>
            <w:pPr>
              <w:pStyle w:val="Compact"/>
              <w:jc w:val="left"/>
            </w:pPr>
            <w:r>
              <w:t xml:space="preserve">1Kor 11:6</w:t>
            </w:r>
          </w:p>
        </w:tc>
        <w:tc>
          <w:tcPr/>
          <w:p>
            <w:pPr>
              <w:pStyle w:val="Compact"/>
              <w:jc w:val="left"/>
            </w:pPr>
            <w:r>
              <w:t xml:space="preserve">κειρεσθαι [32%] || κειρασθαι [64%]</w:t>
            </w:r>
          </w:p>
        </w:tc>
      </w:tr>
      <w:tr>
        <w:tc>
          <w:tcPr/>
          <w:p>
            <w:pPr>
              <w:pStyle w:val="Compact"/>
              <w:jc w:val="left"/>
            </w:pPr>
            <w:r>
              <w:t xml:space="preserve">+</w:t>
            </w:r>
          </w:p>
        </w:tc>
        <w:tc>
          <w:tcPr/>
          <w:p>
            <w:pPr>
              <w:pStyle w:val="Compact"/>
              <w:jc w:val="left"/>
            </w:pPr>
            <w:r>
              <w:t xml:space="preserve">1Kor 12:26</w:t>
            </w:r>
            <w:r>
              <w:rPr>
                <w:vertAlign w:val="superscript"/>
              </w:rPr>
              <w:t xml:space="preserve">a</w:t>
            </w:r>
          </w:p>
        </w:tc>
        <w:tc>
          <w:tcPr/>
          <w:p>
            <w:pPr>
              <w:pStyle w:val="Compact"/>
              <w:jc w:val="left"/>
            </w:pPr>
            <w:r>
              <w:t xml:space="preserve">συμπασχη [40%] || συμπασχει [60%]</w:t>
            </w:r>
          </w:p>
        </w:tc>
      </w:tr>
      <w:tr>
        <w:tc>
          <w:tcPr/>
          <w:p>
            <w:pPr>
              <w:pStyle w:val="Compact"/>
              <w:jc w:val="left"/>
            </w:pPr>
            <w:r>
              <w:t xml:space="preserve">+</w:t>
            </w:r>
          </w:p>
        </w:tc>
        <w:tc>
          <w:tcPr/>
          <w:p>
            <w:pPr>
              <w:pStyle w:val="Compact"/>
              <w:jc w:val="left"/>
            </w:pPr>
            <w:r>
              <w:t xml:space="preserve">1Kor 12:26</w:t>
            </w:r>
            <w:r>
              <w:rPr>
                <w:vertAlign w:val="superscript"/>
              </w:rPr>
              <w:t xml:space="preserve">b</w:t>
            </w:r>
          </w:p>
        </w:tc>
        <w:tc>
          <w:tcPr/>
          <w:p>
            <w:pPr>
              <w:pStyle w:val="Compact"/>
              <w:jc w:val="left"/>
            </w:pPr>
            <w:r>
              <w:t xml:space="preserve">συγχαιρη [40%] || συγχαιρει [60%]</w:t>
            </w:r>
          </w:p>
        </w:tc>
      </w:tr>
      <w:tr>
        <w:tc>
          <w:tcPr/>
          <w:p>
            <w:pPr>
              <w:pStyle w:val="Compact"/>
              <w:jc w:val="left"/>
            </w:pPr>
            <w:r>
              <w:t xml:space="preserve">++--</w:t>
            </w:r>
          </w:p>
        </w:tc>
        <w:tc>
          <w:tcPr/>
          <w:p>
            <w:pPr>
              <w:pStyle w:val="Compact"/>
              <w:jc w:val="left"/>
            </w:pPr>
            <w:r>
              <w:t xml:space="preserve">1Kor 14:25</w:t>
            </w:r>
          </w:p>
        </w:tc>
        <w:tc>
          <w:tcPr/>
          <w:p>
            <w:pPr>
              <w:pStyle w:val="Compact"/>
              <w:jc w:val="left"/>
            </w:pPr>
            <w:r>
              <w:t xml:space="preserve">οντως ο θεος εν υμιν εστιν [23%] || ~ 231456 [75%]</w:t>
            </w:r>
          </w:p>
        </w:tc>
      </w:tr>
      <w:tr>
        <w:tc>
          <w:tcPr/>
          <w:p>
            <w:pPr>
              <w:pStyle w:val="Compact"/>
              <w:jc w:val="left"/>
            </w:pPr>
            <w:r>
              <w:t xml:space="preserve">++</w:t>
            </w:r>
          </w:p>
        </w:tc>
        <w:tc>
          <w:tcPr/>
          <w:p>
            <w:pPr>
              <w:pStyle w:val="Compact"/>
              <w:jc w:val="left"/>
            </w:pPr>
            <w:r>
              <w:t xml:space="preserve">1Kor 16:2</w:t>
            </w:r>
          </w:p>
        </w:tc>
        <w:tc>
          <w:tcPr/>
          <w:p>
            <w:pPr>
              <w:pStyle w:val="Compact"/>
              <w:jc w:val="left"/>
            </w:pPr>
            <w:r>
              <w:t xml:space="preserve">ευοδουται [30%] || ευοδωται [61%] ||</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2Kor 1:12</w:t>
            </w:r>
          </w:p>
        </w:tc>
        <w:tc>
          <w:tcPr/>
          <w:p>
            <w:pPr>
              <w:pStyle w:val="Compact"/>
              <w:jc w:val="left"/>
            </w:pPr>
            <w:r>
              <w:t xml:space="preserve">εἱλικρινεια [25%] || εἰλικρινεια [60%] || || (również w 2:17)</w:t>
            </w:r>
          </w:p>
        </w:tc>
      </w:tr>
      <w:tr>
        <w:tc>
          <w:tcPr/>
          <w:p>
            <w:pPr>
              <w:pStyle w:val="Compact"/>
              <w:jc w:val="left"/>
            </w:pPr>
            <w:r>
              <w:t xml:space="preserve">+++</w:t>
            </w:r>
          </w:p>
        </w:tc>
        <w:tc>
          <w:tcPr/>
          <w:p>
            <w:pPr>
              <w:pStyle w:val="Compact"/>
              <w:jc w:val="left"/>
            </w:pPr>
            <w:r>
              <w:t xml:space="preserve">2Kor 1:15</w:t>
            </w:r>
          </w:p>
        </w:tc>
        <w:tc>
          <w:tcPr/>
          <w:p>
            <w:pPr>
              <w:pStyle w:val="Compact"/>
              <w:jc w:val="left"/>
            </w:pPr>
            <w:r>
              <w:t xml:space="preserve">προς υμας ελθειν το προτερον (21.6%) || ~ 31245 (61.1%) || ||</w:t>
            </w:r>
          </w:p>
        </w:tc>
      </w:tr>
      <w:tr>
        <w:tc>
          <w:tcPr/>
          <w:p>
            <w:pPr>
              <w:pStyle w:val="Compact"/>
              <w:jc w:val="left"/>
            </w:pPr>
            <w:r>
              <w:t xml:space="preserve">+--</w:t>
            </w:r>
          </w:p>
        </w:tc>
        <w:tc>
          <w:tcPr/>
          <w:p>
            <w:pPr>
              <w:pStyle w:val="Compact"/>
              <w:jc w:val="left"/>
            </w:pPr>
            <w:r>
              <w:t xml:space="preserve">2Kor 3:7</w:t>
            </w:r>
          </w:p>
        </w:tc>
        <w:tc>
          <w:tcPr/>
          <w:p>
            <w:pPr>
              <w:pStyle w:val="Compact"/>
              <w:jc w:val="left"/>
            </w:pPr>
            <w:r>
              <w:t xml:space="preserve">μωυσεος [35%] || μωυσεως [55%] ||</w:t>
            </w:r>
          </w:p>
        </w:tc>
      </w:tr>
      <w:tr>
        <w:tc>
          <w:tcPr/>
          <w:p>
            <w:pPr>
              <w:pStyle w:val="Compact"/>
              <w:jc w:val="left"/>
            </w:pPr>
            <w:r>
              <w:t xml:space="preserve">+</w:t>
            </w:r>
          </w:p>
        </w:tc>
        <w:tc>
          <w:tcPr/>
          <w:p>
            <w:pPr>
              <w:pStyle w:val="Compact"/>
              <w:jc w:val="left"/>
            </w:pPr>
            <w:r>
              <w:t xml:space="preserve">2Kor 3:10</w:t>
            </w:r>
          </w:p>
        </w:tc>
        <w:tc>
          <w:tcPr/>
          <w:p>
            <w:pPr>
              <w:pStyle w:val="Compact"/>
              <w:jc w:val="left"/>
            </w:pPr>
            <w:r>
              <w:t xml:space="preserve">εινεκεν [43%] || ενεκεν [57%]</w:t>
            </w:r>
          </w:p>
        </w:tc>
      </w:tr>
      <w:tr>
        <w:tc>
          <w:tcPr/>
          <w:p>
            <w:pPr>
              <w:pStyle w:val="Compact"/>
              <w:jc w:val="left"/>
            </w:pPr>
            <w:r>
              <w:t xml:space="preserve">+</w:t>
            </w:r>
          </w:p>
        </w:tc>
        <w:tc>
          <w:tcPr/>
          <w:p>
            <w:pPr>
              <w:pStyle w:val="Compact"/>
              <w:jc w:val="left"/>
            </w:pPr>
            <w:r>
              <w:t xml:space="preserve">2Kor 3:15</w:t>
            </w:r>
          </w:p>
        </w:tc>
        <w:tc>
          <w:tcPr/>
          <w:p>
            <w:pPr>
              <w:pStyle w:val="Compact"/>
              <w:jc w:val="left"/>
            </w:pPr>
            <w:r>
              <w:t xml:space="preserve">μωσης [40%] || μωυσης [60%]</w:t>
            </w:r>
          </w:p>
        </w:tc>
      </w:tr>
      <w:tr>
        <w:tc>
          <w:tcPr/>
          <w:p>
            <w:pPr>
              <w:pStyle w:val="Compact"/>
              <w:jc w:val="left"/>
            </w:pPr>
            <w:r>
              <w:t xml:space="preserve">+--</w:t>
            </w:r>
          </w:p>
        </w:tc>
        <w:tc>
          <w:tcPr/>
          <w:p>
            <w:pPr>
              <w:pStyle w:val="Compact"/>
              <w:jc w:val="left"/>
            </w:pPr>
            <w:r>
              <w:t xml:space="preserve">2Kor 5:15</w:t>
            </w:r>
          </w:p>
        </w:tc>
        <w:tc>
          <w:tcPr/>
          <w:p>
            <w:pPr>
              <w:pStyle w:val="Compact"/>
              <w:jc w:val="left"/>
            </w:pPr>
            <w:r>
              <w:t xml:space="preserve">παντων [35%] || αυτων [55%] ||</w:t>
            </w:r>
          </w:p>
        </w:tc>
      </w:tr>
      <w:tr>
        <w:tc>
          <w:tcPr/>
          <w:p>
            <w:pPr>
              <w:pStyle w:val="Compact"/>
              <w:jc w:val="left"/>
            </w:pPr>
            <w:r>
              <w:t xml:space="preserve">++--</w:t>
            </w:r>
          </w:p>
        </w:tc>
        <w:tc>
          <w:tcPr/>
          <w:p>
            <w:pPr>
              <w:pStyle w:val="Compact"/>
              <w:jc w:val="left"/>
            </w:pPr>
            <w:r>
              <w:t xml:space="preserve">2Kor 7:11</w:t>
            </w:r>
          </w:p>
        </w:tc>
        <w:tc>
          <w:tcPr/>
          <w:p>
            <w:pPr>
              <w:pStyle w:val="Compact"/>
              <w:jc w:val="left"/>
            </w:pPr>
            <w:r>
              <w:t xml:space="preserve">αλλ1 [27%] || αλλα [73%]</w:t>
            </w:r>
          </w:p>
        </w:tc>
      </w:tr>
      <w:tr>
        <w:tc>
          <w:tcPr/>
          <w:p>
            <w:pPr>
              <w:pStyle w:val="Compact"/>
              <w:jc w:val="left"/>
            </w:pPr>
            <w:r>
              <w:t xml:space="preserve">++</w:t>
            </w:r>
          </w:p>
        </w:tc>
        <w:tc>
          <w:tcPr/>
          <w:p>
            <w:pPr>
              <w:pStyle w:val="Compact"/>
              <w:jc w:val="left"/>
            </w:pPr>
            <w:r>
              <w:t xml:space="preserve">2Kor 8:4</w:t>
            </w:r>
          </w:p>
        </w:tc>
        <w:tc>
          <w:tcPr/>
          <w:p>
            <w:pPr>
              <w:pStyle w:val="Compact"/>
              <w:jc w:val="left"/>
            </w:pPr>
            <w:r>
              <w:t xml:space="preserve">δεξασθαι ημας [30%] || --- [70%]</w:t>
            </w:r>
          </w:p>
        </w:tc>
      </w:tr>
      <w:tr>
        <w:tc>
          <w:tcPr/>
          <w:p>
            <w:pPr>
              <w:pStyle w:val="Compact"/>
              <w:jc w:val="left"/>
            </w:pPr>
            <w:r>
              <w:t xml:space="preserve">+</w:t>
            </w:r>
          </w:p>
        </w:tc>
        <w:tc>
          <w:tcPr/>
          <w:p>
            <w:pPr>
              <w:pStyle w:val="Compact"/>
              <w:jc w:val="left"/>
            </w:pPr>
            <w:r>
              <w:t xml:space="preserve">2Kor 8:9</w:t>
            </w:r>
          </w:p>
        </w:tc>
        <w:tc>
          <w:tcPr/>
          <w:p>
            <w:pPr>
              <w:pStyle w:val="Compact"/>
              <w:jc w:val="left"/>
            </w:pPr>
            <w:r>
              <w:t xml:space="preserve">ημας [40%] || υμας [60%]</w:t>
            </w:r>
          </w:p>
        </w:tc>
      </w:tr>
      <w:tr>
        <w:tc>
          <w:tcPr/>
          <w:p>
            <w:pPr>
              <w:pStyle w:val="Compact"/>
              <w:jc w:val="left"/>
            </w:pPr>
            <w:r>
              <w:t xml:space="preserve">++</w:t>
            </w:r>
          </w:p>
        </w:tc>
        <w:tc>
          <w:tcPr/>
          <w:p>
            <w:pPr>
              <w:pStyle w:val="Compact"/>
              <w:jc w:val="left"/>
            </w:pPr>
            <w:r>
              <w:t xml:space="preserve">2Kor 8:12</w:t>
            </w:r>
          </w:p>
        </w:tc>
        <w:tc>
          <w:tcPr/>
          <w:p>
            <w:pPr>
              <w:pStyle w:val="Compact"/>
              <w:jc w:val="left"/>
            </w:pPr>
            <w:r>
              <w:t xml:space="preserve">καθὸ εαν [30%] || καθ ὃ εαν [58%] ||</w:t>
            </w:r>
          </w:p>
        </w:tc>
      </w:tr>
      <w:tr>
        <w:tc>
          <w:tcPr/>
          <w:p>
            <w:pPr>
              <w:pStyle w:val="Compact"/>
              <w:jc w:val="left"/>
            </w:pPr>
            <w:r>
              <w:t xml:space="preserve">+++</w:t>
            </w:r>
          </w:p>
        </w:tc>
        <w:tc>
          <w:tcPr/>
          <w:p>
            <w:pPr>
              <w:pStyle w:val="Compact"/>
              <w:jc w:val="left"/>
            </w:pPr>
            <w:r>
              <w:t xml:space="preserve">2Kor 11:7</w:t>
            </w:r>
          </w:p>
        </w:tc>
        <w:tc>
          <w:tcPr/>
          <w:p>
            <w:pPr>
              <w:pStyle w:val="Compact"/>
              <w:jc w:val="left"/>
            </w:pPr>
            <w:r>
              <w:t xml:space="preserve">εαυτον [22%] || εμαυτον [78%]</w:t>
            </w:r>
          </w:p>
        </w:tc>
      </w:tr>
      <w:tr>
        <w:tc>
          <w:tcPr/>
          <w:p>
            <w:pPr>
              <w:pStyle w:val="Compact"/>
              <w:jc w:val="left"/>
            </w:pPr>
            <w:r>
              <w:t xml:space="preserve">+</w:t>
            </w:r>
          </w:p>
        </w:tc>
        <w:tc>
          <w:tcPr/>
          <w:p>
            <w:pPr>
              <w:pStyle w:val="Compact"/>
              <w:jc w:val="left"/>
            </w:pPr>
            <w:r>
              <w:t xml:space="preserve">2Kor 11:20</w:t>
            </w:r>
          </w:p>
        </w:tc>
        <w:tc>
          <w:tcPr/>
          <w:p>
            <w:pPr>
              <w:pStyle w:val="Compact"/>
              <w:jc w:val="left"/>
            </w:pPr>
            <w:r>
              <w:t xml:space="preserve">δαιρει [40%] || δερει [60%]</w:t>
            </w:r>
          </w:p>
        </w:tc>
      </w:tr>
      <w:tr>
        <w:tc>
          <w:tcPr/>
          <w:p>
            <w:pPr>
              <w:pStyle w:val="Compact"/>
              <w:jc w:val="left"/>
            </w:pPr>
            <w:r>
              <w:t xml:space="preserve">++</w:t>
            </w:r>
          </w:p>
        </w:tc>
        <w:tc>
          <w:tcPr/>
          <w:p>
            <w:pPr>
              <w:pStyle w:val="Compact"/>
              <w:jc w:val="left"/>
            </w:pPr>
            <w:r>
              <w:t xml:space="preserve">2Kor 13:11</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2Kor 13:13</w:t>
            </w:r>
          </w:p>
        </w:tc>
        <w:tc>
          <w:tcPr/>
          <w:p>
            <w:pPr>
              <w:pStyle w:val="Compact"/>
              <w:jc w:val="left"/>
            </w:pPr>
            <w:r>
              <w:t xml:space="preserve">ημων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Ga 1:12</w:t>
            </w:r>
          </w:p>
        </w:tc>
        <w:tc>
          <w:tcPr/>
          <w:p>
            <w:pPr>
              <w:pStyle w:val="Compact"/>
              <w:jc w:val="left"/>
            </w:pPr>
            <w:r>
              <w:t xml:space="preserve">αποκαλυψεως [30%] || 1 ιησου [70%]</w:t>
            </w:r>
          </w:p>
        </w:tc>
      </w:tr>
      <w:tr>
        <w:tc>
          <w:tcPr/>
          <w:p>
            <w:pPr>
              <w:pStyle w:val="Compact"/>
              <w:jc w:val="left"/>
            </w:pPr>
            <w:r>
              <w:t xml:space="preserve">+</w:t>
            </w:r>
          </w:p>
        </w:tc>
        <w:tc>
          <w:tcPr/>
          <w:p>
            <w:pPr>
              <w:pStyle w:val="Compact"/>
              <w:jc w:val="left"/>
            </w:pPr>
            <w:r>
              <w:t xml:space="preserve">Ga 3:6,itd.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Ga 3:16</w:t>
            </w:r>
          </w:p>
        </w:tc>
        <w:tc>
          <w:tcPr/>
          <w:p>
            <w:pPr>
              <w:pStyle w:val="Compact"/>
              <w:jc w:val="left"/>
            </w:pPr>
            <w:r>
              <w:t xml:space="preserve">ερρεθησαν [40%] || ερρηθησαν [55%] ||</w:t>
            </w:r>
          </w:p>
        </w:tc>
      </w:tr>
      <w:tr>
        <w:tc>
          <w:tcPr/>
          <w:p>
            <w:pPr>
              <w:pStyle w:val="Compact"/>
              <w:jc w:val="left"/>
            </w:pPr>
            <w:r>
              <w:t xml:space="preserve">+</w:t>
            </w:r>
          </w:p>
        </w:tc>
        <w:tc>
          <w:tcPr/>
          <w:p>
            <w:pPr>
              <w:pStyle w:val="Compact"/>
              <w:jc w:val="left"/>
            </w:pPr>
            <w:r>
              <w:t xml:space="preserve">Ga 4:2</w:t>
            </w:r>
          </w:p>
        </w:tc>
        <w:tc>
          <w:tcPr/>
          <w:p>
            <w:pPr>
              <w:pStyle w:val="Compact"/>
              <w:jc w:val="left"/>
            </w:pPr>
            <w:r>
              <w:t xml:space="preserve">αλλ [40%] || αλλα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Ef 1:12</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Ef 2:17</w:t>
            </w:r>
          </w:p>
        </w:tc>
        <w:tc>
          <w:tcPr/>
          <w:p>
            <w:pPr>
              <w:pStyle w:val="Compact"/>
              <w:jc w:val="left"/>
            </w:pPr>
            <w:r>
              <w:t xml:space="preserve">ημιν [40%] || υμιν [60%]</w:t>
            </w:r>
          </w:p>
        </w:tc>
      </w:tr>
      <w:tr>
        <w:tc>
          <w:tcPr/>
          <w:p>
            <w:pPr>
              <w:pStyle w:val="Compact"/>
              <w:jc w:val="left"/>
            </w:pPr>
            <w:r>
              <w:t xml:space="preserve">+--</w:t>
            </w:r>
          </w:p>
        </w:tc>
        <w:tc>
          <w:tcPr/>
          <w:p>
            <w:pPr>
              <w:pStyle w:val="Compact"/>
              <w:jc w:val="left"/>
            </w:pPr>
            <w:r>
              <w:t xml:space="preserve">Ef 4:32</w:t>
            </w:r>
          </w:p>
        </w:tc>
        <w:tc>
          <w:tcPr/>
          <w:p>
            <w:pPr>
              <w:pStyle w:val="Compact"/>
              <w:jc w:val="left"/>
            </w:pPr>
            <w:r>
              <w:t xml:space="preserve">υμιν [35%] || ημιν [65%]</w:t>
            </w:r>
          </w:p>
        </w:tc>
      </w:tr>
      <w:tr>
        <w:tc>
          <w:tcPr/>
          <w:p>
            <w:pPr>
              <w:pStyle w:val="Compact"/>
              <w:jc w:val="left"/>
            </w:pPr>
            <w:r>
              <w:t xml:space="preserve">++</w:t>
            </w:r>
          </w:p>
        </w:tc>
        <w:tc>
          <w:tcPr/>
          <w:p>
            <w:pPr>
              <w:pStyle w:val="Compact"/>
              <w:jc w:val="left"/>
            </w:pPr>
            <w:r>
              <w:t xml:space="preserve">Ef 5:5</w:t>
            </w:r>
          </w:p>
        </w:tc>
        <w:tc>
          <w:tcPr/>
          <w:p>
            <w:pPr>
              <w:pStyle w:val="Compact"/>
              <w:jc w:val="left"/>
            </w:pPr>
            <w:r>
              <w:t xml:space="preserve">ιστε [30%] || εστε [70%]</w:t>
            </w:r>
          </w:p>
        </w:tc>
      </w:tr>
      <w:tr>
        <w:tc>
          <w:tcPr/>
          <w:p>
            <w:pPr>
              <w:pStyle w:val="Compact"/>
              <w:jc w:val="left"/>
            </w:pPr>
            <w:r>
              <w:t xml:space="preserve">+</w:t>
            </w:r>
          </w:p>
        </w:tc>
        <w:tc>
          <w:tcPr/>
          <w:p>
            <w:pPr>
              <w:pStyle w:val="Compact"/>
              <w:jc w:val="left"/>
            </w:pPr>
            <w:r>
              <w:t xml:space="preserve">Ef 6:6</w:t>
            </w:r>
          </w:p>
        </w:tc>
        <w:tc>
          <w:tcPr/>
          <w:p>
            <w:pPr>
              <w:pStyle w:val="Compact"/>
              <w:jc w:val="left"/>
            </w:pPr>
            <w:r>
              <w:t xml:space="preserve">οφθαλμοδουλιαν [40%] || οφθαλμοδουλειαν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Flp 1:10</w:t>
            </w:r>
          </w:p>
        </w:tc>
        <w:tc>
          <w:tcPr/>
          <w:p>
            <w:pPr>
              <w:pStyle w:val="Compact"/>
              <w:jc w:val="left"/>
            </w:pPr>
            <w:r>
              <w:t xml:space="preserve">εἱλικρινεις [30%] || εἰλικρινεις [70%]</w:t>
            </w:r>
          </w:p>
        </w:tc>
      </w:tr>
      <w:tr>
        <w:tc>
          <w:tcPr/>
          <w:p>
            <w:pPr>
              <w:pStyle w:val="Compact"/>
              <w:jc w:val="left"/>
            </w:pPr>
            <w:r>
              <w:t xml:space="preserve">++--</w:t>
            </w:r>
          </w:p>
        </w:tc>
        <w:tc>
          <w:tcPr/>
          <w:p>
            <w:pPr>
              <w:pStyle w:val="Compact"/>
              <w:jc w:val="left"/>
            </w:pPr>
            <w:r>
              <w:t xml:space="preserve">Flp 1:20</w:t>
            </w:r>
          </w:p>
        </w:tc>
        <w:tc>
          <w:tcPr/>
          <w:p>
            <w:pPr>
              <w:pStyle w:val="Compact"/>
              <w:jc w:val="left"/>
            </w:pPr>
            <w:r>
              <w:t xml:space="preserve">καραδοκιαν [25%] || αποκαραδοκιαν [74%]</w:t>
            </w:r>
          </w:p>
        </w:tc>
      </w:tr>
      <w:tr>
        <w:tc>
          <w:tcPr/>
          <w:p>
            <w:pPr>
              <w:pStyle w:val="Compact"/>
              <w:jc w:val="left"/>
            </w:pPr>
            <w:r>
              <w:t xml:space="preserve">+--</w:t>
            </w:r>
          </w:p>
        </w:tc>
        <w:tc>
          <w:tcPr/>
          <w:p>
            <w:pPr>
              <w:pStyle w:val="Compact"/>
              <w:jc w:val="left"/>
            </w:pPr>
            <w:r>
              <w:t xml:space="preserve">Flp 2:1</w:t>
            </w:r>
          </w:p>
        </w:tc>
        <w:tc>
          <w:tcPr/>
          <w:p>
            <w:pPr>
              <w:pStyle w:val="Compact"/>
              <w:jc w:val="left"/>
            </w:pPr>
            <w:r>
              <w:t xml:space="preserve">τι2 [35%] || τις [60%] ||</w:t>
            </w:r>
          </w:p>
        </w:tc>
      </w:tr>
      <w:tr>
        <w:tc>
          <w:tcPr/>
          <w:p>
            <w:pPr>
              <w:pStyle w:val="Compact"/>
              <w:jc w:val="left"/>
            </w:pPr>
            <w:r>
              <w:t xml:space="preserve">+</w:t>
            </w:r>
          </w:p>
        </w:tc>
        <w:tc>
          <w:tcPr/>
          <w:p>
            <w:pPr>
              <w:pStyle w:val="Compact"/>
              <w:jc w:val="left"/>
            </w:pPr>
            <w:r>
              <w:t xml:space="preserve">Flp 2:4</w:t>
            </w:r>
          </w:p>
        </w:tc>
        <w:tc>
          <w:tcPr/>
          <w:p>
            <w:pPr>
              <w:pStyle w:val="Compact"/>
              <w:jc w:val="left"/>
            </w:pPr>
            <w:r>
              <w:t xml:space="preserve">το [40%] || τα [45%] || των [15%]</w:t>
            </w:r>
          </w:p>
        </w:tc>
      </w:tr>
      <w:tr>
        <w:tc>
          <w:tcPr/>
          <w:p>
            <w:pPr>
              <w:pStyle w:val="Compact"/>
              <w:jc w:val="left"/>
            </w:pPr>
            <w:r>
              <w:t xml:space="preserve">+</w:t>
            </w:r>
          </w:p>
        </w:tc>
        <w:tc>
          <w:tcPr/>
          <w:p>
            <w:pPr>
              <w:pStyle w:val="Compact"/>
              <w:jc w:val="left"/>
            </w:pPr>
            <w:r>
              <w:t xml:space="preserve">Flp 2:30</w:t>
            </w:r>
          </w:p>
        </w:tc>
        <w:tc>
          <w:tcPr/>
          <w:p>
            <w:pPr>
              <w:pStyle w:val="Compact"/>
              <w:jc w:val="left"/>
            </w:pPr>
            <w:r>
              <w:t xml:space="preserve">πληρωση [40%] || αναπληρωση [55%] ||</w:t>
            </w:r>
          </w:p>
        </w:tc>
      </w:tr>
      <w:tr>
        <w:tc>
          <w:tcPr/>
          <w:p>
            <w:pPr>
              <w:pStyle w:val="Compact"/>
              <w:jc w:val="left"/>
            </w:pPr>
            <w:r>
              <w:t xml:space="preserve">+</w:t>
            </w:r>
          </w:p>
        </w:tc>
        <w:tc>
          <w:tcPr/>
          <w:p>
            <w:pPr>
              <w:pStyle w:val="Compact"/>
              <w:jc w:val="left"/>
            </w:pPr>
            <w:r>
              <w:t xml:space="preserve">Flp 3:1</w:t>
            </w:r>
          </w:p>
        </w:tc>
        <w:tc>
          <w:tcPr/>
          <w:p>
            <w:pPr>
              <w:pStyle w:val="Compact"/>
              <w:jc w:val="left"/>
            </w:pPr>
            <w:r>
              <w:t xml:space="preserve">το [40%] || --- [60%]</w:t>
            </w:r>
          </w:p>
        </w:tc>
      </w:tr>
      <w:tr>
        <w:tc>
          <w:tcPr/>
          <w:p>
            <w:pPr>
              <w:pStyle w:val="Compact"/>
              <w:jc w:val="left"/>
            </w:pPr>
            <w:r>
              <w:t xml:space="preserve">+</w:t>
            </w:r>
          </w:p>
        </w:tc>
        <w:tc>
          <w:tcPr/>
          <w:p>
            <w:pPr>
              <w:pStyle w:val="Compact"/>
              <w:jc w:val="left"/>
            </w:pPr>
            <w:r>
              <w:t xml:space="preserve">Flp 3:13</w:t>
            </w:r>
          </w:p>
        </w:tc>
        <w:tc>
          <w:tcPr/>
          <w:p>
            <w:pPr>
              <w:pStyle w:val="Compact"/>
              <w:jc w:val="left"/>
            </w:pPr>
            <w:r>
              <w:t xml:space="preserve">ουπω [40%] || ου [60%]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Kol 1:22</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Kol 1:27</w:t>
            </w:r>
          </w:p>
        </w:tc>
        <w:tc>
          <w:tcPr/>
          <w:p>
            <w:pPr>
              <w:pStyle w:val="Compact"/>
              <w:jc w:val="left"/>
            </w:pPr>
            <w:r>
              <w:t xml:space="preserve">τις ο [40%] || τι το [60%]</w:t>
            </w:r>
          </w:p>
        </w:tc>
      </w:tr>
      <w:tr>
        <w:tc>
          <w:tcPr/>
          <w:p>
            <w:pPr>
              <w:pStyle w:val="Compact"/>
              <w:jc w:val="left"/>
            </w:pPr>
            <w:r>
              <w:t xml:space="preserve">+</w:t>
            </w:r>
          </w:p>
        </w:tc>
        <w:tc>
          <w:tcPr/>
          <w:p>
            <w:pPr>
              <w:pStyle w:val="Compact"/>
              <w:jc w:val="left"/>
            </w:pPr>
            <w:r>
              <w:t xml:space="preserve">Kol 1:28</w:t>
            </w:r>
          </w:p>
        </w:tc>
        <w:tc>
          <w:tcPr/>
          <w:p>
            <w:pPr>
              <w:pStyle w:val="Compact"/>
              <w:jc w:val="left"/>
            </w:pPr>
            <w:r>
              <w:t xml:space="preserve">χριστω [40%] || 1 ιησου [60%]</w:t>
            </w:r>
          </w:p>
        </w:tc>
      </w:tr>
      <w:tr>
        <w:tc>
          <w:tcPr/>
          <w:p>
            <w:pPr>
              <w:pStyle w:val="Compact"/>
              <w:jc w:val="left"/>
            </w:pPr>
            <w:r>
              <w:t xml:space="preserve">+</w:t>
            </w:r>
          </w:p>
        </w:tc>
        <w:tc>
          <w:tcPr/>
          <w:p>
            <w:pPr>
              <w:pStyle w:val="Compact"/>
              <w:jc w:val="left"/>
            </w:pPr>
            <w:r>
              <w:t xml:space="preserve">Kol 3:22</w:t>
            </w:r>
          </w:p>
        </w:tc>
        <w:tc>
          <w:tcPr/>
          <w:p>
            <w:pPr>
              <w:pStyle w:val="Compact"/>
              <w:jc w:val="left"/>
            </w:pPr>
            <w:r>
              <w:t xml:space="preserve">οφθαλμοδουλιαις [40%] || οφθαλμοδουλειαις [43%]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1Tes 1:7</w:t>
            </w:r>
          </w:p>
        </w:tc>
        <w:tc>
          <w:tcPr/>
          <w:p>
            <w:pPr>
              <w:pStyle w:val="Compact"/>
              <w:jc w:val="left"/>
            </w:pPr>
            <w:r>
              <w:t xml:space="preserve">και [40%] || 1 τη [30%] || 1 εν τη [30%]</w:t>
            </w:r>
          </w:p>
        </w:tc>
      </w:tr>
      <w:tr>
        <w:tc>
          <w:tcPr/>
          <w:p>
            <w:pPr>
              <w:pStyle w:val="Compact"/>
              <w:jc w:val="left"/>
            </w:pPr>
            <w:r>
              <w:t xml:space="preserve">+</w:t>
            </w:r>
          </w:p>
        </w:tc>
        <w:tc>
          <w:tcPr/>
          <w:p>
            <w:pPr>
              <w:pStyle w:val="Compact"/>
              <w:jc w:val="left"/>
            </w:pPr>
            <w:r>
              <w:t xml:space="preserve">1Tes 1:9</w:t>
            </w:r>
          </w:p>
        </w:tc>
        <w:tc>
          <w:tcPr/>
          <w:p>
            <w:pPr>
              <w:pStyle w:val="Compact"/>
              <w:jc w:val="left"/>
            </w:pPr>
            <w:r>
              <w:t xml:space="preserve">υμων [40%] || ημων [60%]</w:t>
            </w:r>
          </w:p>
        </w:tc>
      </w:tr>
      <w:tr>
        <w:tc>
          <w:tcPr/>
          <w:p>
            <w:pPr>
              <w:pStyle w:val="Compact"/>
              <w:jc w:val="left"/>
            </w:pPr>
            <w:r>
              <w:t xml:space="preserve">+</w:t>
            </w:r>
          </w:p>
        </w:tc>
        <w:tc>
          <w:tcPr/>
          <w:p>
            <w:pPr>
              <w:pStyle w:val="Compact"/>
              <w:jc w:val="left"/>
            </w:pPr>
            <w:r>
              <w:t xml:space="preserve">1Tes 3:8</w:t>
            </w:r>
          </w:p>
        </w:tc>
        <w:tc>
          <w:tcPr/>
          <w:p>
            <w:pPr>
              <w:pStyle w:val="Compact"/>
              <w:jc w:val="left"/>
            </w:pPr>
            <w:r>
              <w:t xml:space="preserve">στηκητε [40%] || στηκετε [60%]</w:t>
            </w:r>
          </w:p>
        </w:tc>
      </w:tr>
      <w:tr>
        <w:tc>
          <w:tcPr/>
          <w:p>
            <w:pPr>
              <w:pStyle w:val="Compact"/>
              <w:jc w:val="left"/>
            </w:pPr>
            <w:r>
              <w:t xml:space="preserve">++</w:t>
            </w:r>
          </w:p>
        </w:tc>
        <w:tc>
          <w:tcPr/>
          <w:p>
            <w:pPr>
              <w:pStyle w:val="Compact"/>
              <w:jc w:val="left"/>
            </w:pPr>
            <w:r>
              <w:t xml:space="preserve">1Tes 4:9</w:t>
            </w:r>
          </w:p>
        </w:tc>
        <w:tc>
          <w:tcPr/>
          <w:p>
            <w:pPr>
              <w:pStyle w:val="Compact"/>
              <w:jc w:val="left"/>
            </w:pPr>
            <w:r>
              <w:t xml:space="preserve">γαρ [30%] || 1 υμεις [70%]</w:t>
            </w:r>
          </w:p>
        </w:tc>
      </w:tr>
    </w:tbl>
    <w:p>
      <w:pPr>
        <w:pStyle w:val="BodyText"/>
      </w:pPr>
      <w:r>
        <w:rPr>
          <w:bCs/>
          <w:b/>
        </w:rPr>
        <w:t xml:space="preserve">Brak dla 2 Listu do Tesaloniczan.</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1Tm 3:2</w:t>
            </w:r>
          </w:p>
        </w:tc>
        <w:tc>
          <w:tcPr/>
          <w:p>
            <w:pPr>
              <w:pStyle w:val="Compact"/>
              <w:jc w:val="left"/>
            </w:pPr>
            <w:r>
              <w:t xml:space="preserve">νηφαλιον [40%] || νηφαλεον [50%] ||</w:t>
            </w:r>
          </w:p>
        </w:tc>
      </w:tr>
      <w:tr>
        <w:tc>
          <w:tcPr/>
          <w:p>
            <w:pPr>
              <w:pStyle w:val="Compact"/>
              <w:jc w:val="left"/>
            </w:pPr>
            <w:r>
              <w:t xml:space="preserve">+</w:t>
            </w:r>
          </w:p>
        </w:tc>
        <w:tc>
          <w:tcPr/>
          <w:p>
            <w:pPr>
              <w:pStyle w:val="Compact"/>
              <w:jc w:val="left"/>
            </w:pPr>
            <w:r>
              <w:t xml:space="preserve">1Tm 3:11</w:t>
            </w:r>
          </w:p>
        </w:tc>
        <w:tc>
          <w:tcPr/>
          <w:p>
            <w:pPr>
              <w:pStyle w:val="Compact"/>
              <w:jc w:val="left"/>
            </w:pPr>
            <w:r>
              <w:t xml:space="preserve">νηφαλιους [40%] || νηφαλεους [50%] ||</w:t>
            </w:r>
          </w:p>
        </w:tc>
      </w:tr>
      <w:tr>
        <w:tc>
          <w:tcPr/>
          <w:p>
            <w:pPr>
              <w:pStyle w:val="Compact"/>
              <w:jc w:val="left"/>
            </w:pPr>
            <w:r>
              <w:t xml:space="preserve">++</w:t>
            </w:r>
          </w:p>
        </w:tc>
        <w:tc>
          <w:tcPr/>
          <w:p>
            <w:pPr>
              <w:pStyle w:val="Compact"/>
              <w:jc w:val="left"/>
            </w:pPr>
            <w:r>
              <w:t xml:space="preserve">1Tm 5:18</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1Tm 5:21</w:t>
            </w:r>
          </w:p>
        </w:tc>
        <w:tc>
          <w:tcPr/>
          <w:p>
            <w:pPr>
              <w:pStyle w:val="Compact"/>
              <w:jc w:val="left"/>
            </w:pPr>
            <w:r>
              <w:t xml:space="preserve">προσκλισιν [25%] || προσκλησιν</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1Tm 6:12</w:t>
            </w:r>
          </w:p>
        </w:tc>
        <w:tc>
          <w:tcPr/>
          <w:p>
            <w:pPr>
              <w:pStyle w:val="Compact"/>
              <w:jc w:val="left"/>
            </w:pPr>
            <w:r>
              <w:t xml:space="preserve">και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2Tm 3:6</w:t>
            </w:r>
          </w:p>
        </w:tc>
        <w:tc>
          <w:tcPr/>
          <w:p>
            <w:pPr>
              <w:pStyle w:val="Compact"/>
              <w:jc w:val="left"/>
            </w:pPr>
            <w:r>
              <w:t xml:space="preserve">ενδυοντες [20%] || ενδυνοντες [77%]</w:t>
            </w:r>
          </w:p>
        </w:tc>
      </w:tr>
      <w:tr>
        <w:tc>
          <w:tcPr/>
          <w:p>
            <w:pPr>
              <w:pStyle w:val="Compact"/>
              <w:jc w:val="left"/>
            </w:pPr>
            <w:r>
              <w:t xml:space="preserve">+++</w:t>
            </w:r>
          </w:p>
        </w:tc>
        <w:tc>
          <w:tcPr/>
          <w:p>
            <w:pPr>
              <w:pStyle w:val="Compact"/>
              <w:jc w:val="left"/>
            </w:pPr>
            <w:r>
              <w:t xml:space="preserve">2Tm 3:14</w:t>
            </w:r>
          </w:p>
        </w:tc>
        <w:tc>
          <w:tcPr/>
          <w:p>
            <w:pPr>
              <w:pStyle w:val="Compact"/>
              <w:jc w:val="left"/>
            </w:pPr>
            <w:r>
              <w:t xml:space="preserve">οις</w:t>
            </w:r>
            <w:r>
              <w:rPr>
                <w:vertAlign w:val="superscript"/>
              </w:rPr>
              <w:t xml:space="preserve">2</w:t>
            </w:r>
            <w:r>
              <w:t xml:space="preserve"> </w:t>
            </w:r>
            <w:r>
              <w:t xml:space="preserve">[20%] || --- [80%]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Tt 2:1</w:t>
            </w:r>
          </w:p>
        </w:tc>
        <w:tc>
          <w:tcPr/>
          <w:p>
            <w:pPr>
              <w:pStyle w:val="Compact"/>
              <w:jc w:val="left"/>
            </w:pPr>
            <w:r>
              <w:t xml:space="preserve">νηφαλιους [40%] || νηφαλεους [40%] || νηφαλαιους [20%]</w:t>
            </w:r>
          </w:p>
        </w:tc>
      </w:tr>
      <w:tr>
        <w:tc>
          <w:tcPr/>
          <w:p>
            <w:pPr>
              <w:pStyle w:val="Compact"/>
              <w:jc w:val="left"/>
            </w:pPr>
            <w:r>
              <w:t xml:space="preserve">+++</w:t>
            </w:r>
          </w:p>
        </w:tc>
        <w:tc>
          <w:tcPr/>
          <w:p>
            <w:pPr>
              <w:pStyle w:val="Compact"/>
              <w:jc w:val="left"/>
            </w:pPr>
            <w:r>
              <w:t xml:space="preserve">Tt 3:9</w:t>
            </w:r>
          </w:p>
        </w:tc>
        <w:tc>
          <w:tcPr/>
          <w:p>
            <w:pPr>
              <w:pStyle w:val="Compact"/>
              <w:jc w:val="left"/>
            </w:pPr>
            <w:r>
              <w:t xml:space="preserve">ερις [20%] || ερεις [75%]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Flm 1</w:t>
            </w:r>
          </w:p>
        </w:tc>
        <w:tc>
          <w:tcPr/>
          <w:p>
            <w:pPr>
              <w:pStyle w:val="Compact"/>
              <w:jc w:val="left"/>
            </w:pPr>
            <w:r>
              <w:t xml:space="preserve">ιησου χριστου [40%] || ~ 21 [60%]</w:t>
            </w:r>
          </w:p>
        </w:tc>
      </w:tr>
      <w:tr>
        <w:tc>
          <w:tcPr/>
          <w:p>
            <w:pPr>
              <w:pStyle w:val="Compact"/>
              <w:jc w:val="left"/>
            </w:pPr>
            <w:r>
              <w:t xml:space="preserve">+++</w:t>
            </w:r>
          </w:p>
        </w:tc>
        <w:tc>
          <w:tcPr/>
          <w:p>
            <w:pPr>
              <w:pStyle w:val="Compact"/>
              <w:jc w:val="left"/>
            </w:pPr>
            <w:r>
              <w:t xml:space="preserve">Flm 25</w:t>
            </w:r>
          </w:p>
        </w:tc>
        <w:tc>
          <w:tcPr/>
          <w:p>
            <w:pPr>
              <w:pStyle w:val="Compact"/>
              <w:jc w:val="left"/>
            </w:pPr>
            <w:r>
              <w:t xml:space="preserve">ιησου [20%] || 1 χριστου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Hbr 2:4</w:t>
            </w:r>
          </w:p>
        </w:tc>
        <w:tc>
          <w:tcPr/>
          <w:p>
            <w:pPr>
              <w:pStyle w:val="Compact"/>
              <w:jc w:val="left"/>
            </w:pPr>
            <w:r>
              <w:t xml:space="preserve">σημειοις [35%] || 1 τε [65%]</w:t>
            </w:r>
          </w:p>
        </w:tc>
      </w:tr>
      <w:tr>
        <w:tc>
          <w:tcPr/>
          <w:p>
            <w:pPr>
              <w:pStyle w:val="Compact"/>
              <w:jc w:val="left"/>
            </w:pPr>
            <w:r>
              <w:t xml:space="preserve">+</w:t>
            </w:r>
          </w:p>
        </w:tc>
        <w:tc>
          <w:tcPr/>
          <w:p>
            <w:pPr>
              <w:pStyle w:val="Compact"/>
              <w:jc w:val="left"/>
            </w:pPr>
            <w:r>
              <w:t xml:space="preserve">Hbr 2:16,itd.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Hbr 3:16</w:t>
            </w:r>
          </w:p>
        </w:tc>
        <w:tc>
          <w:tcPr/>
          <w:p>
            <w:pPr>
              <w:pStyle w:val="Compact"/>
              <w:jc w:val="left"/>
            </w:pPr>
            <w:r>
              <w:t xml:space="preserve">μωυσεος [40%] || μωυσεως [45%] || μωσεως [15%]</w:t>
            </w:r>
          </w:p>
        </w:tc>
      </w:tr>
      <w:tr>
        <w:tc>
          <w:tcPr/>
          <w:p>
            <w:pPr>
              <w:pStyle w:val="Compact"/>
              <w:jc w:val="left"/>
            </w:pPr>
            <w:r>
              <w:t xml:space="preserve">+</w:t>
            </w:r>
          </w:p>
        </w:tc>
        <w:tc>
          <w:tcPr/>
          <w:p>
            <w:pPr>
              <w:pStyle w:val="Compact"/>
              <w:jc w:val="left"/>
            </w:pPr>
            <w:r>
              <w:t xml:space="preserve">Hbr 3:19</w:t>
            </w:r>
          </w:p>
        </w:tc>
        <w:tc>
          <w:tcPr/>
          <w:p>
            <w:pPr>
              <w:pStyle w:val="Compact"/>
              <w:jc w:val="left"/>
            </w:pPr>
            <w:r>
              <w:t xml:space="preserve">δια [40%] || δι [60%]</w:t>
            </w:r>
          </w:p>
        </w:tc>
      </w:tr>
      <w:tr>
        <w:tc>
          <w:tcPr/>
          <w:p>
            <w:pPr>
              <w:pStyle w:val="Compact"/>
              <w:jc w:val="left"/>
            </w:pPr>
            <w:r>
              <w:t xml:space="preserve">+</w:t>
            </w:r>
          </w:p>
        </w:tc>
        <w:tc>
          <w:tcPr/>
          <w:p>
            <w:pPr>
              <w:pStyle w:val="Compact"/>
              <w:jc w:val="left"/>
            </w:pPr>
            <w:r>
              <w:t xml:space="preserve">Hbr 6:3</w:t>
            </w:r>
          </w:p>
        </w:tc>
        <w:tc>
          <w:tcPr/>
          <w:p>
            <w:pPr>
              <w:pStyle w:val="Compact"/>
              <w:jc w:val="left"/>
            </w:pPr>
            <w:r>
              <w:t xml:space="preserve">ποιησομεν [40%] || ποιησωμεν [59%]</w:t>
            </w:r>
          </w:p>
        </w:tc>
      </w:tr>
      <w:tr>
        <w:tc>
          <w:tcPr/>
          <w:p>
            <w:pPr>
              <w:pStyle w:val="Compact"/>
              <w:jc w:val="left"/>
            </w:pPr>
            <w:r>
              <w:t xml:space="preserve">+++</w:t>
            </w:r>
          </w:p>
        </w:tc>
        <w:tc>
          <w:tcPr/>
          <w:p>
            <w:pPr>
              <w:pStyle w:val="Compact"/>
              <w:jc w:val="left"/>
            </w:pPr>
            <w:r>
              <w:t xml:space="preserve">Hbr 8:3</w:t>
            </w:r>
          </w:p>
        </w:tc>
        <w:tc>
          <w:tcPr/>
          <w:p>
            <w:pPr>
              <w:pStyle w:val="Compact"/>
              <w:jc w:val="left"/>
            </w:pPr>
            <w:r>
              <w:t xml:space="preserve">προσενεγκοι [20%] || προσενεγκη [80%]</w:t>
            </w:r>
          </w:p>
        </w:tc>
      </w:tr>
      <w:tr>
        <w:tc>
          <w:tcPr/>
          <w:p>
            <w:pPr>
              <w:pStyle w:val="Compact"/>
              <w:jc w:val="left"/>
            </w:pPr>
            <w:r>
              <w:t xml:space="preserve">+</w:t>
            </w:r>
          </w:p>
        </w:tc>
        <w:tc>
          <w:tcPr/>
          <w:p>
            <w:pPr>
              <w:pStyle w:val="Compact"/>
              <w:jc w:val="left"/>
            </w:pPr>
            <w:r>
              <w:t xml:space="preserve">Hbr 8:6</w:t>
            </w:r>
          </w:p>
        </w:tc>
        <w:tc>
          <w:tcPr/>
          <w:p>
            <w:pPr>
              <w:pStyle w:val="Compact"/>
              <w:jc w:val="left"/>
            </w:pPr>
            <w:r>
              <w:t xml:space="preserve">τετευχεν [40%] || τετυχεν [50%] ||</w:t>
            </w:r>
          </w:p>
        </w:tc>
      </w:tr>
      <w:tr>
        <w:tc>
          <w:tcPr/>
          <w:p>
            <w:pPr>
              <w:pStyle w:val="Compact"/>
              <w:jc w:val="left"/>
            </w:pPr>
            <w:r>
              <w:t xml:space="preserve">+--</w:t>
            </w:r>
          </w:p>
        </w:tc>
        <w:tc>
          <w:tcPr/>
          <w:p>
            <w:pPr>
              <w:pStyle w:val="Compact"/>
              <w:jc w:val="left"/>
            </w:pPr>
            <w:r>
              <w:t xml:space="preserve">Hbr 8:11</w:t>
            </w:r>
          </w:p>
        </w:tc>
        <w:tc>
          <w:tcPr/>
          <w:p>
            <w:pPr>
              <w:pStyle w:val="Compact"/>
              <w:jc w:val="left"/>
            </w:pPr>
            <w:r>
              <w:t xml:space="preserve">πλησιον [35%] || πολιτην [65%]</w:t>
            </w:r>
          </w:p>
        </w:tc>
      </w:tr>
      <w:tr>
        <w:tc>
          <w:tcPr/>
          <w:p>
            <w:pPr>
              <w:pStyle w:val="Compact"/>
              <w:jc w:val="left"/>
            </w:pPr>
            <w:r>
              <w:t xml:space="preserve">+++</w:t>
            </w:r>
          </w:p>
        </w:tc>
        <w:tc>
          <w:tcPr/>
          <w:p>
            <w:pPr>
              <w:pStyle w:val="Compact"/>
              <w:jc w:val="left"/>
            </w:pPr>
            <w:r>
              <w:t xml:space="preserve">Hbr 9:12</w:t>
            </w:r>
          </w:p>
        </w:tc>
        <w:tc>
          <w:tcPr/>
          <w:p>
            <w:pPr>
              <w:pStyle w:val="Compact"/>
              <w:jc w:val="left"/>
            </w:pPr>
            <w:r>
              <w:t xml:space="preserve">ευρομενος [20%] || ευραμενος [80%]</w:t>
            </w:r>
          </w:p>
        </w:tc>
      </w:tr>
      <w:tr>
        <w:tc>
          <w:tcPr/>
          <w:p>
            <w:pPr>
              <w:pStyle w:val="Compact"/>
              <w:jc w:val="left"/>
            </w:pPr>
            <w:r>
              <w:t xml:space="preserve">++</w:t>
            </w:r>
          </w:p>
        </w:tc>
        <w:tc>
          <w:tcPr/>
          <w:p>
            <w:pPr>
              <w:pStyle w:val="Compact"/>
              <w:jc w:val="left"/>
            </w:pPr>
            <w:r>
              <w:t xml:space="preserve">Hbr 9:14</w:t>
            </w:r>
          </w:p>
        </w:tc>
        <w:tc>
          <w:tcPr/>
          <w:p>
            <w:pPr>
              <w:pStyle w:val="Compact"/>
              <w:jc w:val="left"/>
            </w:pPr>
            <w:r>
              <w:t xml:space="preserve">αγιου [29%] || αιωνιου [70%]</w:t>
            </w:r>
          </w:p>
        </w:tc>
      </w:tr>
      <w:tr>
        <w:tc>
          <w:tcPr/>
          <w:p>
            <w:pPr>
              <w:pStyle w:val="Compact"/>
              <w:jc w:val="left"/>
            </w:pPr>
            <w:r>
              <w:t xml:space="preserve">+--</w:t>
            </w:r>
          </w:p>
        </w:tc>
        <w:tc>
          <w:tcPr/>
          <w:p>
            <w:pPr>
              <w:pStyle w:val="Compact"/>
              <w:jc w:val="left"/>
            </w:pPr>
            <w:r>
              <w:t xml:space="preserve">Hbr 9:19</w:t>
            </w:r>
          </w:p>
        </w:tc>
        <w:tc>
          <w:tcPr/>
          <w:p>
            <w:pPr>
              <w:pStyle w:val="Compact"/>
              <w:jc w:val="left"/>
            </w:pPr>
            <w:r>
              <w:t xml:space="preserve">μωυσεος [35%] || μωυσεως [45%] || μωσεως [20%]</w:t>
            </w:r>
          </w:p>
        </w:tc>
      </w:tr>
      <w:tr>
        <w:tc>
          <w:tcPr/>
          <w:p>
            <w:pPr>
              <w:pStyle w:val="Compact"/>
              <w:jc w:val="left"/>
            </w:pPr>
            <w:r>
              <w:t xml:space="preserve">+</w:t>
            </w:r>
          </w:p>
        </w:tc>
        <w:tc>
          <w:tcPr/>
          <w:p>
            <w:pPr>
              <w:pStyle w:val="Compact"/>
              <w:jc w:val="left"/>
            </w:pPr>
            <w:r>
              <w:t xml:space="preserve">Hbr 10:1</w:t>
            </w:r>
          </w:p>
        </w:tc>
        <w:tc>
          <w:tcPr/>
          <w:p>
            <w:pPr>
              <w:pStyle w:val="Compact"/>
              <w:jc w:val="left"/>
            </w:pPr>
            <w:r>
              <w:t xml:space="preserve">δυναται [40%] || δυνανται [59%]</w:t>
            </w:r>
          </w:p>
        </w:tc>
      </w:tr>
      <w:tr>
        <w:tc>
          <w:tcPr/>
          <w:p>
            <w:pPr>
              <w:pStyle w:val="Compact"/>
              <w:jc w:val="left"/>
            </w:pPr>
            <w:r>
              <w:t xml:space="preserve">++</w:t>
            </w:r>
          </w:p>
        </w:tc>
        <w:tc>
          <w:tcPr/>
          <w:p>
            <w:pPr>
              <w:pStyle w:val="Compact"/>
              <w:jc w:val="left"/>
            </w:pPr>
            <w:r>
              <w:t xml:space="preserve">Hbr 10:28</w:t>
            </w:r>
          </w:p>
        </w:tc>
        <w:tc>
          <w:tcPr/>
          <w:p>
            <w:pPr>
              <w:pStyle w:val="Compact"/>
              <w:jc w:val="left"/>
            </w:pPr>
            <w:r>
              <w:t xml:space="preserve">μωυσεος [30%] || μωυσεως [55%] || μωσεως [15%]</w:t>
            </w:r>
          </w:p>
        </w:tc>
      </w:tr>
      <w:tr>
        <w:tc>
          <w:tcPr/>
          <w:p>
            <w:pPr>
              <w:pStyle w:val="Compact"/>
              <w:jc w:val="left"/>
            </w:pPr>
            <w:r>
              <w:t xml:space="preserve">++</w:t>
            </w:r>
          </w:p>
        </w:tc>
        <w:tc>
          <w:tcPr/>
          <w:p>
            <w:pPr>
              <w:pStyle w:val="Compact"/>
              <w:jc w:val="left"/>
            </w:pPr>
            <w:r>
              <w:t xml:space="preserve">Hbr 11:20</w:t>
            </w:r>
          </w:p>
        </w:tc>
        <w:tc>
          <w:tcPr/>
          <w:p>
            <w:pPr>
              <w:pStyle w:val="Compact"/>
              <w:jc w:val="left"/>
            </w:pPr>
            <w:r>
              <w:t xml:space="preserve">ἡσαυ [30%] || ἠσαυ [70%] (also 12:16)</w:t>
            </w:r>
          </w:p>
        </w:tc>
      </w:tr>
      <w:tr>
        <w:tc>
          <w:tcPr/>
          <w:p>
            <w:pPr>
              <w:pStyle w:val="Compact"/>
              <w:jc w:val="left"/>
            </w:pPr>
            <w:r>
              <w:t xml:space="preserve">+--</w:t>
            </w:r>
          </w:p>
        </w:tc>
        <w:tc>
          <w:tcPr/>
          <w:p>
            <w:pPr>
              <w:pStyle w:val="Compact"/>
              <w:jc w:val="left"/>
            </w:pPr>
            <w:r>
              <w:t xml:space="preserve">Hbr 12:7</w:t>
            </w:r>
          </w:p>
        </w:tc>
        <w:tc>
          <w:tcPr/>
          <w:p>
            <w:pPr>
              <w:pStyle w:val="Compact"/>
              <w:jc w:val="left"/>
            </w:pPr>
            <w:r>
              <w:t xml:space="preserve">ει [35%] || εις [65%]</w:t>
            </w:r>
          </w:p>
        </w:tc>
      </w:tr>
      <w:tr>
        <w:tc>
          <w:tcPr/>
          <w:p>
            <w:pPr>
              <w:pStyle w:val="Compact"/>
              <w:jc w:val="left"/>
            </w:pPr>
            <w:r>
              <w:t xml:space="preserve">++</w:t>
            </w:r>
          </w:p>
        </w:tc>
        <w:tc>
          <w:tcPr/>
          <w:p>
            <w:pPr>
              <w:pStyle w:val="Compact"/>
              <w:jc w:val="left"/>
            </w:pPr>
            <w:r>
              <w:t xml:space="preserve">Hbr 12:24</w:t>
            </w:r>
          </w:p>
        </w:tc>
        <w:tc>
          <w:tcPr/>
          <w:p>
            <w:pPr>
              <w:pStyle w:val="Compact"/>
              <w:jc w:val="left"/>
            </w:pPr>
            <w:r>
              <w:t xml:space="preserve">το [30%] || τον [70%]</w:t>
            </w:r>
          </w:p>
        </w:tc>
      </w:tr>
      <w:tr>
        <w:tc>
          <w:tcPr/>
          <w:p>
            <w:pPr>
              <w:pStyle w:val="Compact"/>
              <w:jc w:val="left"/>
            </w:pPr>
            <w:r>
              <w:t xml:space="preserve">+</w:t>
            </w:r>
          </w:p>
        </w:tc>
        <w:tc>
          <w:tcPr/>
          <w:p>
            <w:pPr>
              <w:pStyle w:val="Compact"/>
              <w:jc w:val="left"/>
            </w:pPr>
            <w:r>
              <w:t xml:space="preserve">Hbr 12:25</w:t>
            </w:r>
          </w:p>
        </w:tc>
        <w:tc>
          <w:tcPr/>
          <w:p>
            <w:pPr>
              <w:pStyle w:val="Compact"/>
              <w:jc w:val="left"/>
            </w:pPr>
            <w:r>
              <w:t xml:space="preserve">ουρανου [40%] || ουρανων [60%]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(14)</w:t>
            </w:r>
          </w:p>
        </w:tc>
      </w:tr>
      <w:tr>
        <w:tc>
          <w:tcPr/>
          <w:p>
            <w:pPr>
              <w:pStyle w:val="Compact"/>
              <w:jc w:val="left"/>
            </w:pPr>
            <w:r>
              <w:t xml:space="preserve">++--</w:t>
            </w:r>
          </w:p>
        </w:tc>
        <w:tc>
          <w:tcPr/>
          <w:p>
            <w:pPr>
              <w:pStyle w:val="Compact"/>
              <w:jc w:val="left"/>
            </w:pPr>
            <w:r>
              <w:t xml:space="preserve">około 25% = całkiem dobre (10)</w:t>
            </w:r>
          </w:p>
        </w:tc>
      </w:tr>
      <w:tr>
        <w:tc>
          <w:tcPr/>
          <w:p>
            <w:pPr>
              <w:pStyle w:val="Compact"/>
              <w:jc w:val="left"/>
            </w:pPr>
            <w:r>
              <w:t xml:space="preserve">++</w:t>
            </w:r>
          </w:p>
        </w:tc>
        <w:tc>
          <w:tcPr/>
          <w:p>
            <w:pPr>
              <w:pStyle w:val="Compact"/>
              <w:jc w:val="left"/>
            </w:pPr>
            <w:r>
              <w:t xml:space="preserve">około 30% = niezłe (21)</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(38)</w:t>
            </w:r>
          </w:p>
        </w:tc>
      </w:tr>
    </w:tbl>
    <w:p>
      <w:pPr>
        <w:pStyle w:val="BodyText"/>
      </w:pPr>
      <w:r>
        <w:t xml:space="preserve">Łącznie: 94</w:t>
      </w:r>
    </w:p>
    <w:p>
      <w:pPr>
        <w:pStyle w:val="BodyText"/>
      </w:pPr>
      <w:r>
        <w:rPr>
          <w:bCs/>
          <w:b/>
        </w:rPr>
        <w:t xml:space="preserve">Listy Powszechne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Jk 1:23</w:t>
            </w:r>
          </w:p>
        </w:tc>
        <w:tc>
          <w:tcPr/>
          <w:p>
            <w:pPr>
              <w:pStyle w:val="Compact"/>
              <w:jc w:val="left"/>
            </w:pPr>
            <w:r>
              <w:t xml:space="preserve">νομου [30%] || λογου [69%]</w:t>
            </w:r>
          </w:p>
        </w:tc>
      </w:tr>
      <w:tr>
        <w:tc>
          <w:tcPr/>
          <w:p>
            <w:pPr>
              <w:pStyle w:val="Compact"/>
              <w:jc w:val="left"/>
            </w:pPr>
            <w:r>
              <w:t xml:space="preserve">+--</w:t>
            </w:r>
          </w:p>
        </w:tc>
        <w:tc>
          <w:tcPr/>
          <w:p>
            <w:pPr>
              <w:pStyle w:val="Compact"/>
              <w:jc w:val="left"/>
            </w:pPr>
            <w:r>
              <w:t xml:space="preserve">Jk 1:26</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Jk 2:3</w:t>
            </w:r>
          </w:p>
        </w:tc>
        <w:tc>
          <w:tcPr/>
          <w:p>
            <w:pPr>
              <w:pStyle w:val="Compact"/>
              <w:jc w:val="left"/>
            </w:pPr>
            <w:r>
              <w:t xml:space="preserve">λαμπραν εσθητα [30%] || ~ 2 την 1 [70%]</w:t>
            </w:r>
          </w:p>
        </w:tc>
      </w:tr>
      <w:tr>
        <w:tc>
          <w:tcPr/>
          <w:p>
            <w:pPr>
              <w:pStyle w:val="Compact"/>
              <w:jc w:val="left"/>
            </w:pPr>
            <w:r>
              <w:t xml:space="preserve">++--</w:t>
            </w:r>
          </w:p>
        </w:tc>
        <w:tc>
          <w:tcPr/>
          <w:p>
            <w:pPr>
              <w:pStyle w:val="Compact"/>
              <w:jc w:val="left"/>
            </w:pPr>
            <w:r>
              <w:t xml:space="preserve">Jk 2:4</w:t>
            </w:r>
          </w:p>
        </w:tc>
        <w:tc>
          <w:tcPr/>
          <w:p>
            <w:pPr>
              <w:pStyle w:val="Compact"/>
              <w:jc w:val="left"/>
            </w:pPr>
            <w:r>
              <w:t xml:space="preserve">ου (26.8%) || και 1 (72.2%)</w:t>
            </w:r>
          </w:p>
        </w:tc>
      </w:tr>
      <w:tr>
        <w:tc>
          <w:tcPr/>
          <w:p>
            <w:pPr>
              <w:pStyle w:val="Compact"/>
              <w:jc w:val="left"/>
            </w:pPr>
            <w:r>
              <w:t xml:space="preserve">+++</w:t>
            </w:r>
          </w:p>
        </w:tc>
        <w:tc>
          <w:tcPr/>
          <w:p>
            <w:pPr>
              <w:pStyle w:val="Compact"/>
              <w:jc w:val="left"/>
            </w:pPr>
            <w:r>
              <w:t xml:space="preserve">Jk 2:13</w:t>
            </w:r>
          </w:p>
        </w:tc>
        <w:tc>
          <w:tcPr/>
          <w:p>
            <w:pPr>
              <w:pStyle w:val="Compact"/>
              <w:jc w:val="left"/>
            </w:pPr>
            <w:r>
              <w:t xml:space="preserve">ανηλεος [20%] || ανελεος [30%] || ανιλεως [50%]</w:t>
            </w:r>
          </w:p>
        </w:tc>
      </w:tr>
      <w:tr>
        <w:tc>
          <w:tcPr/>
          <w:p>
            <w:pPr>
              <w:pStyle w:val="Compact"/>
              <w:jc w:val="left"/>
            </w:pPr>
            <w:r>
              <w:t xml:space="preserve">++--</w:t>
            </w:r>
          </w:p>
        </w:tc>
        <w:tc>
          <w:tcPr/>
          <w:p>
            <w:pPr>
              <w:pStyle w:val="Compact"/>
              <w:jc w:val="left"/>
            </w:pPr>
            <w:r>
              <w:t xml:space="preserve">Jk 3:2</w:t>
            </w:r>
          </w:p>
        </w:tc>
        <w:tc>
          <w:tcPr/>
          <w:p>
            <w:pPr>
              <w:pStyle w:val="Compact"/>
              <w:jc w:val="left"/>
            </w:pPr>
            <w:r>
              <w:t xml:space="preserve">δυναμενος [23%] || δυνατος [76.5%]</w:t>
            </w:r>
          </w:p>
        </w:tc>
      </w:tr>
      <w:tr>
        <w:tc>
          <w:tcPr/>
          <w:p>
            <w:pPr>
              <w:pStyle w:val="Compact"/>
              <w:jc w:val="left"/>
            </w:pPr>
            <w:r>
              <w:t xml:space="preserve">+++</w:t>
            </w:r>
          </w:p>
        </w:tc>
        <w:tc>
          <w:tcPr/>
          <w:p>
            <w:pPr>
              <w:pStyle w:val="Compact"/>
              <w:jc w:val="left"/>
            </w:pPr>
            <w:r>
              <w:t xml:space="preserve">Jk 3:4</w:t>
            </w:r>
          </w:p>
        </w:tc>
        <w:tc>
          <w:tcPr/>
          <w:p>
            <w:pPr>
              <w:pStyle w:val="Compact"/>
              <w:jc w:val="left"/>
            </w:pPr>
            <w:r>
              <w:t xml:space="preserve">ιθυνοντος [21%] || ευθυνοντος [79%]</w:t>
            </w:r>
          </w:p>
        </w:tc>
      </w:tr>
      <w:tr>
        <w:tc>
          <w:tcPr/>
          <w:p>
            <w:pPr>
              <w:pStyle w:val="Compact"/>
              <w:jc w:val="left"/>
            </w:pPr>
            <w:r>
              <w:t xml:space="preserve">++--</w:t>
            </w:r>
          </w:p>
        </w:tc>
        <w:tc>
          <w:tcPr/>
          <w:p>
            <w:pPr>
              <w:pStyle w:val="Compact"/>
              <w:jc w:val="left"/>
            </w:pPr>
            <w:r>
              <w:t xml:space="preserve">Jk 4:11</w:t>
            </w:r>
          </w:p>
        </w:tc>
        <w:tc>
          <w:tcPr/>
          <w:p>
            <w:pPr>
              <w:pStyle w:val="Compact"/>
              <w:jc w:val="left"/>
            </w:pPr>
            <w:r>
              <w:t xml:space="preserve">γαρ [26%] || --- [74%]</w:t>
            </w:r>
          </w:p>
        </w:tc>
      </w:tr>
      <w:tr>
        <w:tc>
          <w:tcPr/>
          <w:p>
            <w:pPr>
              <w:pStyle w:val="Compact"/>
              <w:jc w:val="left"/>
            </w:pPr>
            <w:r>
              <w:t xml:space="preserve">++--</w:t>
            </w:r>
          </w:p>
        </w:tc>
        <w:tc>
          <w:tcPr/>
          <w:p>
            <w:pPr>
              <w:pStyle w:val="Compact"/>
              <w:jc w:val="left"/>
            </w:pPr>
            <w:r>
              <w:t xml:space="preserve">Jk 4:14</w:t>
            </w:r>
            <w:r>
              <w:rPr>
                <w:vertAlign w:val="superscript"/>
              </w:rPr>
              <w:t xml:space="preserve">a</w:t>
            </w:r>
          </w:p>
        </w:tc>
        <w:tc>
          <w:tcPr/>
          <w:p>
            <w:pPr>
              <w:pStyle w:val="Compact"/>
              <w:jc w:val="left"/>
            </w:pPr>
            <w:r>
              <w:t xml:space="preserve">ημων [26%] || υμων [74%]</w:t>
            </w:r>
          </w:p>
        </w:tc>
      </w:tr>
      <w:tr>
        <w:tc>
          <w:tcPr/>
          <w:p>
            <w:pPr>
              <w:pStyle w:val="Compact"/>
              <w:jc w:val="left"/>
            </w:pPr>
            <w:r>
              <w:t xml:space="preserve">++</w:t>
            </w:r>
          </w:p>
        </w:tc>
        <w:tc>
          <w:tcPr/>
          <w:p>
            <w:pPr>
              <w:pStyle w:val="Compact"/>
              <w:jc w:val="left"/>
            </w:pPr>
            <w:r>
              <w:t xml:space="preserve">Jk 4:14</w:t>
            </w:r>
            <w:r>
              <w:rPr>
                <w:vertAlign w:val="superscript"/>
              </w:rPr>
              <w:t xml:space="preserve">b</w:t>
            </w:r>
          </w:p>
        </w:tc>
        <w:tc>
          <w:tcPr/>
          <w:p>
            <w:pPr>
              <w:pStyle w:val="Compact"/>
              <w:jc w:val="left"/>
            </w:pPr>
            <w:r>
              <w:t xml:space="preserve">επειτα [29.5%] || 1 δε και [46%] || 1 δε [15%] || 1 και [9.5%]</w:t>
            </w:r>
          </w:p>
        </w:tc>
      </w:tr>
      <w:tr>
        <w:tc>
          <w:tcPr/>
          <w:p>
            <w:pPr>
              <w:pStyle w:val="Compact"/>
              <w:jc w:val="left"/>
            </w:pPr>
            <w:r>
              <w:t xml:space="preserve">+--</w:t>
            </w:r>
          </w:p>
        </w:tc>
        <w:tc>
          <w:tcPr/>
          <w:p>
            <w:pPr>
              <w:pStyle w:val="Compact"/>
              <w:jc w:val="left"/>
            </w:pPr>
            <w:r>
              <w:t xml:space="preserve">Jk 5:10</w:t>
            </w:r>
            <w:r>
              <w:rPr>
                <w:vertAlign w:val="superscript"/>
              </w:rPr>
              <w:t xml:space="preserve">a</w:t>
            </w:r>
          </w:p>
        </w:tc>
        <w:tc>
          <w:tcPr/>
          <w:p>
            <w:pPr>
              <w:pStyle w:val="Compact"/>
              <w:jc w:val="left"/>
            </w:pPr>
            <w:r>
              <w:t xml:space="preserve">αδελφοι [35%] || 1 μου [62%] ||</w:t>
            </w:r>
          </w:p>
        </w:tc>
      </w:tr>
      <w:tr>
        <w:tc>
          <w:tcPr/>
          <w:p>
            <w:pPr>
              <w:pStyle w:val="Compact"/>
              <w:jc w:val="left"/>
            </w:pPr>
            <w:r>
              <w:t xml:space="preserve">+</w:t>
            </w:r>
          </w:p>
        </w:tc>
        <w:tc>
          <w:tcPr/>
          <w:p>
            <w:pPr>
              <w:pStyle w:val="Compact"/>
              <w:jc w:val="left"/>
            </w:pPr>
            <w:r>
              <w:t xml:space="preserve">Jk 5:10</w:t>
            </w:r>
            <w:r>
              <w:rPr>
                <w:vertAlign w:val="superscript"/>
              </w:rPr>
              <w:t xml:space="preserve">b</w:t>
            </w:r>
          </w:p>
        </w:tc>
        <w:tc>
          <w:tcPr/>
          <w:p>
            <w:pPr>
              <w:pStyle w:val="Compact"/>
              <w:jc w:val="left"/>
            </w:pPr>
            <w:r>
              <w:t xml:space="preserve">εν τω [40%] || 2 [58%]</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1P 1:3</w:t>
            </w:r>
          </w:p>
        </w:tc>
        <w:tc>
          <w:tcPr/>
          <w:p>
            <w:pPr>
              <w:pStyle w:val="Compact"/>
              <w:jc w:val="left"/>
            </w:pPr>
            <w:r>
              <w:t xml:space="preserve">ελεος αυτου [38%] || ~ 21 [60%]</w:t>
            </w:r>
          </w:p>
        </w:tc>
      </w:tr>
      <w:tr>
        <w:tc>
          <w:tcPr/>
          <w:p>
            <w:pPr>
              <w:pStyle w:val="Compact"/>
              <w:jc w:val="left"/>
            </w:pPr>
            <w:r>
              <w:t xml:space="preserve">+--</w:t>
            </w:r>
          </w:p>
        </w:tc>
        <w:tc>
          <w:tcPr/>
          <w:p>
            <w:pPr>
              <w:pStyle w:val="Compact"/>
              <w:jc w:val="left"/>
            </w:pPr>
            <w:r>
              <w:t xml:space="preserve">1P 1:7</w:t>
            </w:r>
          </w:p>
        </w:tc>
        <w:tc>
          <w:tcPr/>
          <w:p>
            <w:pPr>
              <w:pStyle w:val="Compact"/>
              <w:jc w:val="left"/>
            </w:pPr>
            <w:r>
              <w:t xml:space="preserve">δοξαν και τιμην [35%] || ~ 321 [28%] || ~ 32 εις 1 [37%]</w:t>
            </w:r>
          </w:p>
        </w:tc>
      </w:tr>
      <w:tr>
        <w:tc>
          <w:tcPr/>
          <w:p>
            <w:pPr>
              <w:pStyle w:val="Compact"/>
              <w:jc w:val="left"/>
            </w:pPr>
            <w:r>
              <w:t xml:space="preserve">+</w:t>
            </w:r>
          </w:p>
        </w:tc>
        <w:tc>
          <w:tcPr/>
          <w:p>
            <w:pPr>
              <w:pStyle w:val="Compact"/>
              <w:jc w:val="left"/>
            </w:pPr>
            <w:r>
              <w:t xml:space="preserve">1P 1:23</w:t>
            </w:r>
          </w:p>
        </w:tc>
        <w:tc>
          <w:tcPr/>
          <w:p>
            <w:pPr>
              <w:pStyle w:val="Compact"/>
              <w:jc w:val="left"/>
            </w:pPr>
            <w:r>
              <w:t xml:space="preserve">αλλ [40%] || αλλα [60%]</w:t>
            </w:r>
          </w:p>
        </w:tc>
      </w:tr>
      <w:tr>
        <w:tc>
          <w:tcPr/>
          <w:p>
            <w:pPr>
              <w:pStyle w:val="Compact"/>
              <w:jc w:val="left"/>
            </w:pPr>
            <w:r>
              <w:t xml:space="preserve">+--</w:t>
            </w:r>
          </w:p>
        </w:tc>
        <w:tc>
          <w:tcPr/>
          <w:p>
            <w:pPr>
              <w:pStyle w:val="Compact"/>
              <w:jc w:val="left"/>
            </w:pPr>
            <w:r>
              <w:t xml:space="preserve">1P 2:6</w:t>
            </w:r>
          </w:p>
        </w:tc>
        <w:tc>
          <w:tcPr/>
          <w:p>
            <w:pPr>
              <w:pStyle w:val="Compact"/>
              <w:jc w:val="left"/>
            </w:pPr>
            <w:r>
              <w:t xml:space="preserve">ἡ [35%] || εν τη [59%] ||</w:t>
            </w:r>
          </w:p>
        </w:tc>
      </w:tr>
      <w:tr>
        <w:tc>
          <w:tcPr/>
          <w:p>
            <w:pPr>
              <w:pStyle w:val="Compact"/>
              <w:jc w:val="left"/>
            </w:pPr>
            <w:r>
              <w:t xml:space="preserve">++--</w:t>
            </w:r>
          </w:p>
        </w:tc>
        <w:tc>
          <w:tcPr/>
          <w:p>
            <w:pPr>
              <w:pStyle w:val="Compact"/>
              <w:jc w:val="left"/>
            </w:pPr>
            <w:r>
              <w:t xml:space="preserve">1P 2:21</w:t>
            </w:r>
          </w:p>
        </w:tc>
        <w:tc>
          <w:tcPr/>
          <w:p>
            <w:pPr>
              <w:pStyle w:val="Compact"/>
              <w:jc w:val="left"/>
            </w:pPr>
            <w:r>
              <w:t xml:space="preserve">και [23%] || --- [77%]</w:t>
            </w:r>
          </w:p>
        </w:tc>
      </w:tr>
      <w:tr>
        <w:tc>
          <w:tcPr/>
          <w:p>
            <w:pPr>
              <w:pStyle w:val="Compact"/>
              <w:jc w:val="left"/>
            </w:pPr>
            <w:r>
              <w:t xml:space="preserve">++--</w:t>
            </w:r>
          </w:p>
        </w:tc>
        <w:tc>
          <w:tcPr/>
          <w:p>
            <w:pPr>
              <w:pStyle w:val="Compact"/>
              <w:jc w:val="left"/>
            </w:pPr>
            <w:r>
              <w:t xml:space="preserve">1P 3:10</w:t>
            </w:r>
          </w:p>
        </w:tc>
        <w:tc>
          <w:tcPr/>
          <w:p>
            <w:pPr>
              <w:pStyle w:val="Compact"/>
              <w:jc w:val="left"/>
            </w:pPr>
            <w:r>
              <w:t xml:space="preserve">ημερας ιδειν [26%] || ~ 21 [74%]</w:t>
            </w:r>
          </w:p>
        </w:tc>
      </w:tr>
      <w:tr>
        <w:tc>
          <w:tcPr/>
          <w:p>
            <w:pPr>
              <w:pStyle w:val="Compact"/>
              <w:jc w:val="left"/>
            </w:pPr>
            <w:r>
              <w:t xml:space="preserve">+++</w:t>
            </w:r>
          </w:p>
        </w:tc>
        <w:tc>
          <w:tcPr/>
          <w:p>
            <w:pPr>
              <w:pStyle w:val="Compact"/>
              <w:jc w:val="left"/>
            </w:pPr>
            <w:r>
              <w:t xml:space="preserve">1P 3:16</w:t>
            </w:r>
          </w:p>
        </w:tc>
        <w:tc>
          <w:tcPr/>
          <w:p>
            <w:pPr>
              <w:pStyle w:val="Compact"/>
              <w:jc w:val="left"/>
            </w:pPr>
            <w:r>
              <w:t xml:space="preserve">τη αγαθη εν χριστω αναστροφη [20%] || την αγαθην 34 αναστροφην [50%] || ~ την 34 αγαθην αναστροφην [24%] || ||</w:t>
            </w:r>
          </w:p>
        </w:tc>
      </w:tr>
      <w:tr>
        <w:tc>
          <w:tcPr/>
          <w:p>
            <w:pPr>
              <w:pStyle w:val="Compact"/>
              <w:jc w:val="left"/>
            </w:pPr>
            <w:r>
              <w:t xml:space="preserve">+++</w:t>
            </w:r>
          </w:p>
        </w:tc>
        <w:tc>
          <w:tcPr/>
          <w:p>
            <w:pPr>
              <w:pStyle w:val="Compact"/>
              <w:jc w:val="left"/>
            </w:pPr>
            <w:r>
              <w:t xml:space="preserve">1P 4:2</w:t>
            </w:r>
          </w:p>
        </w:tc>
        <w:tc>
          <w:tcPr/>
          <w:p>
            <w:pPr>
              <w:pStyle w:val="Compact"/>
              <w:jc w:val="left"/>
            </w:pPr>
            <w:r>
              <w:t xml:space="preserve">του [22%] || --- [78%]</w:t>
            </w:r>
          </w:p>
        </w:tc>
      </w:tr>
      <w:tr>
        <w:tc>
          <w:tcPr/>
          <w:p>
            <w:pPr>
              <w:pStyle w:val="Compact"/>
              <w:jc w:val="left"/>
            </w:pPr>
            <w:r>
              <w:t xml:space="preserve">+</w:t>
            </w:r>
          </w:p>
        </w:tc>
        <w:tc>
          <w:tcPr/>
          <w:p>
            <w:pPr>
              <w:pStyle w:val="Compact"/>
              <w:jc w:val="left"/>
            </w:pPr>
            <w:r>
              <w:t xml:space="preserve">1P 4:3</w:t>
            </w:r>
            <w:r>
              <w:rPr>
                <w:vertAlign w:val="superscript"/>
              </w:rPr>
              <w:t xml:space="preserve">a</w:t>
            </w:r>
          </w:p>
        </w:tc>
        <w:tc>
          <w:tcPr/>
          <w:p>
            <w:pPr>
              <w:pStyle w:val="Compact"/>
              <w:jc w:val="left"/>
            </w:pPr>
            <w:r>
              <w:t xml:space="preserve">υμιν (41.7%) || ημιν (47.1%) || --- (11.2%)</w:t>
            </w:r>
          </w:p>
        </w:tc>
      </w:tr>
      <w:tr>
        <w:tc>
          <w:tcPr/>
          <w:p>
            <w:pPr>
              <w:pStyle w:val="Compact"/>
              <w:jc w:val="left"/>
            </w:pPr>
            <w:r>
              <w:t xml:space="preserve">++--</w:t>
            </w:r>
          </w:p>
        </w:tc>
        <w:tc>
          <w:tcPr/>
          <w:p>
            <w:pPr>
              <w:pStyle w:val="Compact"/>
              <w:jc w:val="left"/>
            </w:pPr>
            <w:r>
              <w:t xml:space="preserve">1P 4:3</w:t>
            </w:r>
            <w:r>
              <w:rPr>
                <w:vertAlign w:val="superscript"/>
              </w:rPr>
              <w:t xml:space="preserve">b</w:t>
            </w:r>
          </w:p>
        </w:tc>
        <w:tc>
          <w:tcPr/>
          <w:p>
            <w:pPr>
              <w:pStyle w:val="Compact"/>
              <w:jc w:val="left"/>
            </w:pPr>
            <w:r>
              <w:t xml:space="preserve">χρονος [26%] || 1 του βιου [74%]</w:t>
            </w:r>
          </w:p>
        </w:tc>
      </w:tr>
      <w:tr>
        <w:tc>
          <w:tcPr/>
          <w:p>
            <w:pPr>
              <w:pStyle w:val="Compact"/>
              <w:jc w:val="left"/>
            </w:pPr>
            <w:r>
              <w:t xml:space="preserve">+++</w:t>
            </w:r>
          </w:p>
        </w:tc>
        <w:tc>
          <w:tcPr/>
          <w:p>
            <w:pPr>
              <w:pStyle w:val="Compact"/>
              <w:jc w:val="left"/>
            </w:pPr>
            <w:r>
              <w:t xml:space="preserve">1P 4:11</w:t>
            </w:r>
            <w:r>
              <w:rPr>
                <w:vertAlign w:val="superscript"/>
              </w:rPr>
              <w:t xml:space="preserve">a</w:t>
            </w:r>
          </w:p>
        </w:tc>
        <w:tc>
          <w:tcPr/>
          <w:p>
            <w:pPr>
              <w:pStyle w:val="Compact"/>
              <w:jc w:val="left"/>
            </w:pPr>
            <w:r>
              <w:t xml:space="preserve">δοξαζηται θεος [20%] || 1 ο 2 [73%] ||</w:t>
            </w:r>
          </w:p>
        </w:tc>
      </w:tr>
      <w:tr>
        <w:tc>
          <w:tcPr/>
          <w:p>
            <w:pPr>
              <w:pStyle w:val="Compact"/>
              <w:jc w:val="left"/>
            </w:pPr>
            <w:r>
              <w:t xml:space="preserve">++--</w:t>
            </w:r>
          </w:p>
        </w:tc>
        <w:tc>
          <w:tcPr/>
          <w:p>
            <w:pPr>
              <w:pStyle w:val="Compact"/>
              <w:jc w:val="left"/>
            </w:pPr>
            <w:r>
              <w:t xml:space="preserve">1P 4:11</w:t>
            </w:r>
            <w:r>
              <w:rPr>
                <w:vertAlign w:val="superscript"/>
              </w:rPr>
              <w:t xml:space="preserve">b</w:t>
            </w:r>
          </w:p>
        </w:tc>
        <w:tc>
          <w:tcPr/>
          <w:p>
            <w:pPr>
              <w:pStyle w:val="Compact"/>
              <w:jc w:val="left"/>
            </w:pPr>
            <w:r>
              <w:t xml:space="preserve">αιωνας [27%] || 1 των αιωνων [73%]</w:t>
            </w:r>
          </w:p>
        </w:tc>
      </w:tr>
      <w:tr>
        <w:tc>
          <w:tcPr/>
          <w:p>
            <w:pPr>
              <w:pStyle w:val="Compact"/>
              <w:jc w:val="left"/>
            </w:pPr>
            <w:r>
              <w:t xml:space="preserve">+</w:t>
            </w:r>
          </w:p>
        </w:tc>
        <w:tc>
          <w:tcPr/>
          <w:p>
            <w:pPr>
              <w:pStyle w:val="Compact"/>
              <w:jc w:val="left"/>
            </w:pPr>
            <w:r>
              <w:t xml:space="preserve">1P 4:14</w:t>
            </w:r>
          </w:p>
        </w:tc>
        <w:tc>
          <w:tcPr/>
          <w:p>
            <w:pPr>
              <w:pStyle w:val="Compact"/>
              <w:jc w:val="left"/>
            </w:pPr>
            <w:r>
              <w:t xml:space="preserve">αναπεπαυται [39%] || αναπαυεται [52%] || ||</w:t>
            </w:r>
          </w:p>
        </w:tc>
      </w:tr>
      <w:tr>
        <w:tc>
          <w:tcPr/>
          <w:p>
            <w:pPr>
              <w:pStyle w:val="Compact"/>
              <w:jc w:val="left"/>
            </w:pPr>
            <w:r>
              <w:t xml:space="preserve">+--</w:t>
            </w:r>
          </w:p>
        </w:tc>
        <w:tc>
          <w:tcPr/>
          <w:p>
            <w:pPr>
              <w:pStyle w:val="Compact"/>
              <w:jc w:val="left"/>
            </w:pPr>
            <w:r>
              <w:t xml:space="preserve">1P 5:7</w:t>
            </w:r>
          </w:p>
        </w:tc>
        <w:tc>
          <w:tcPr/>
          <w:p>
            <w:pPr>
              <w:pStyle w:val="Compact"/>
              <w:jc w:val="left"/>
            </w:pPr>
            <w:r>
              <w:t xml:space="preserve">υπερ [35%] || περι [65%]</w:t>
            </w:r>
          </w:p>
        </w:tc>
      </w:tr>
      <w:tr>
        <w:tc>
          <w:tcPr/>
          <w:p>
            <w:pPr>
              <w:pStyle w:val="Compact"/>
              <w:jc w:val="left"/>
            </w:pPr>
            <w:r>
              <w:t xml:space="preserve">++--</w:t>
            </w:r>
          </w:p>
        </w:tc>
        <w:tc>
          <w:tcPr/>
          <w:p>
            <w:pPr>
              <w:pStyle w:val="Compact"/>
              <w:jc w:val="left"/>
            </w:pPr>
            <w:r>
              <w:t xml:space="preserve">1P 5:8</w:t>
            </w:r>
          </w:p>
        </w:tc>
        <w:tc>
          <w:tcPr/>
          <w:p>
            <w:pPr>
              <w:pStyle w:val="Compact"/>
              <w:jc w:val="left"/>
            </w:pPr>
            <w:r>
              <w:t xml:space="preserve">περιερχεται [24%] || περιπατει [76%]</w:t>
            </w:r>
          </w:p>
        </w:tc>
      </w:tr>
      <w:tr>
        <w:tc>
          <w:tcPr/>
          <w:p>
            <w:pPr>
              <w:pStyle w:val="Compact"/>
              <w:jc w:val="left"/>
            </w:pPr>
            <w:r>
              <w:t xml:space="preserve">++</w:t>
            </w:r>
          </w:p>
        </w:tc>
        <w:tc>
          <w:tcPr/>
          <w:p>
            <w:pPr>
              <w:pStyle w:val="Compact"/>
              <w:jc w:val="left"/>
            </w:pPr>
            <w:r>
              <w:t xml:space="preserve">1P 5:10</w:t>
            </w:r>
          </w:p>
        </w:tc>
        <w:tc>
          <w:tcPr/>
          <w:p>
            <w:pPr>
              <w:pStyle w:val="Compact"/>
              <w:jc w:val="left"/>
            </w:pPr>
            <w:r>
              <w:t xml:space="preserve">στηριξαι…σθενωσαι…θεμελιωσαι [30%] || στηριξει…σθενωσει…θεμελιωσει [66%]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2P 2:2</w:t>
            </w:r>
          </w:p>
        </w:tc>
        <w:tc>
          <w:tcPr/>
          <w:p>
            <w:pPr>
              <w:pStyle w:val="Compact"/>
              <w:jc w:val="left"/>
            </w:pPr>
            <w:r>
              <w:t xml:space="preserve">ας [20%] || ους [80%]</w:t>
            </w:r>
          </w:p>
        </w:tc>
      </w:tr>
      <w:tr>
        <w:tc>
          <w:tcPr/>
          <w:p>
            <w:pPr>
              <w:pStyle w:val="Compact"/>
              <w:jc w:val="left"/>
            </w:pPr>
            <w:r>
              <w:t xml:space="preserve">+--</w:t>
            </w:r>
          </w:p>
        </w:tc>
        <w:tc>
          <w:tcPr/>
          <w:p>
            <w:pPr>
              <w:pStyle w:val="Compact"/>
              <w:jc w:val="left"/>
            </w:pPr>
            <w:r>
              <w:t xml:space="preserve">2P 2:9</w:t>
            </w:r>
          </w:p>
        </w:tc>
        <w:tc>
          <w:tcPr/>
          <w:p>
            <w:pPr>
              <w:pStyle w:val="Compact"/>
              <w:jc w:val="left"/>
            </w:pPr>
            <w:r>
              <w:t xml:space="preserve">πειρασμων [33%] || πειρασμου [67%]</w:t>
            </w:r>
          </w:p>
        </w:tc>
      </w:tr>
      <w:tr>
        <w:tc>
          <w:tcPr/>
          <w:p>
            <w:pPr>
              <w:pStyle w:val="Compact"/>
              <w:jc w:val="left"/>
            </w:pPr>
            <w:r>
              <w:t xml:space="preserve">++--</w:t>
            </w:r>
          </w:p>
        </w:tc>
        <w:tc>
          <w:tcPr/>
          <w:p>
            <w:pPr>
              <w:pStyle w:val="Compact"/>
              <w:jc w:val="left"/>
            </w:pPr>
            <w:r>
              <w:t xml:space="preserve">2P 2:12</w:t>
            </w:r>
          </w:p>
        </w:tc>
        <w:tc>
          <w:tcPr/>
          <w:p>
            <w:pPr>
              <w:pStyle w:val="Compact"/>
              <w:jc w:val="left"/>
            </w:pPr>
            <w:r>
              <w:t xml:space="preserve">γεγενημενα φυσικα [26%] || ~ 21 [54%] || ||</w:t>
            </w:r>
          </w:p>
        </w:tc>
      </w:tr>
      <w:tr>
        <w:tc>
          <w:tcPr/>
          <w:p>
            <w:pPr>
              <w:pStyle w:val="Compact"/>
              <w:jc w:val="left"/>
            </w:pPr>
            <w:r>
              <w:t xml:space="preserve">++--</w:t>
            </w:r>
          </w:p>
        </w:tc>
        <w:tc>
          <w:tcPr/>
          <w:p>
            <w:pPr>
              <w:pStyle w:val="Compact"/>
              <w:jc w:val="left"/>
            </w:pPr>
            <w:r>
              <w:t xml:space="preserve">2P 2:17</w:t>
            </w:r>
          </w:p>
        </w:tc>
        <w:tc>
          <w:tcPr/>
          <w:p>
            <w:pPr>
              <w:pStyle w:val="Compact"/>
              <w:jc w:val="left"/>
            </w:pPr>
            <w:r>
              <w:t xml:space="preserve">εις αιωνας (25.1%) || 1 αιωνα (70.3%) || ||</w:t>
            </w:r>
          </w:p>
        </w:tc>
      </w:tr>
      <w:tr>
        <w:tc>
          <w:tcPr/>
          <w:p>
            <w:pPr>
              <w:pStyle w:val="Compact"/>
              <w:jc w:val="left"/>
            </w:pPr>
            <w:r>
              <w:t xml:space="preserve">+</w:t>
            </w:r>
          </w:p>
        </w:tc>
        <w:tc>
          <w:tcPr/>
          <w:p>
            <w:pPr>
              <w:pStyle w:val="Compact"/>
              <w:jc w:val="left"/>
            </w:pPr>
            <w:r>
              <w:t xml:space="preserve">2P 2:18</w:t>
            </w:r>
          </w:p>
        </w:tc>
        <w:tc>
          <w:tcPr/>
          <w:p>
            <w:pPr>
              <w:pStyle w:val="Compact"/>
              <w:jc w:val="left"/>
            </w:pPr>
            <w:r>
              <w:t xml:space="preserve">ασελγειας [40%] || ασελγειαις [60%]</w:t>
            </w:r>
          </w:p>
        </w:tc>
      </w:tr>
      <w:tr>
        <w:tc>
          <w:tcPr/>
          <w:p>
            <w:pPr>
              <w:pStyle w:val="Compact"/>
              <w:jc w:val="left"/>
            </w:pPr>
            <w:r>
              <w:t xml:space="preserve">+++</w:t>
            </w:r>
          </w:p>
        </w:tc>
        <w:tc>
          <w:tcPr/>
          <w:p>
            <w:pPr>
              <w:pStyle w:val="Compact"/>
              <w:jc w:val="left"/>
            </w:pPr>
            <w:r>
              <w:t xml:space="preserve">2P 3:1</w:t>
            </w:r>
          </w:p>
        </w:tc>
        <w:tc>
          <w:tcPr/>
          <w:p>
            <w:pPr>
              <w:pStyle w:val="Compact"/>
              <w:jc w:val="left"/>
            </w:pPr>
            <w:r>
              <w:t xml:space="preserve">εἱλικρινη [20%] || ειλικρινη [80%]</w:t>
            </w:r>
          </w:p>
        </w:tc>
      </w:tr>
      <w:tr>
        <w:tc>
          <w:tcPr/>
          <w:p>
            <w:pPr>
              <w:pStyle w:val="Compact"/>
              <w:jc w:val="left"/>
            </w:pPr>
            <w:r>
              <w:t xml:space="preserve">++--</w:t>
            </w:r>
          </w:p>
        </w:tc>
        <w:tc>
          <w:tcPr/>
          <w:p>
            <w:pPr>
              <w:pStyle w:val="Compact"/>
              <w:jc w:val="left"/>
            </w:pPr>
            <w:r>
              <w:t xml:space="preserve">2P 3:5</w:t>
            </w:r>
          </w:p>
        </w:tc>
        <w:tc>
          <w:tcPr/>
          <w:p>
            <w:pPr>
              <w:pStyle w:val="Compact"/>
              <w:jc w:val="left"/>
            </w:pPr>
            <w:r>
              <w:t xml:space="preserve">συνεστωτα [23%] || συνεστωσα [76%]</w:t>
            </w:r>
          </w:p>
        </w:tc>
      </w:tr>
      <w:tr>
        <w:tc>
          <w:tcPr/>
          <w:p>
            <w:pPr>
              <w:pStyle w:val="Compact"/>
              <w:jc w:val="left"/>
            </w:pPr>
            <w:r>
              <w:t xml:space="preserve">+--</w:t>
            </w:r>
          </w:p>
        </w:tc>
        <w:tc>
          <w:tcPr/>
          <w:p>
            <w:pPr>
              <w:pStyle w:val="Compact"/>
              <w:jc w:val="left"/>
            </w:pPr>
            <w:r>
              <w:t xml:space="preserve">2P 3:16</w:t>
            </w:r>
          </w:p>
        </w:tc>
        <w:tc>
          <w:tcPr/>
          <w:p>
            <w:pPr>
              <w:pStyle w:val="Compact"/>
              <w:jc w:val="left"/>
            </w:pPr>
            <w:r>
              <w:t xml:space="preserve">εισιν [33%] || εστιν [67%]</w:t>
            </w:r>
          </w:p>
        </w:tc>
      </w:tr>
      <w:tr>
        <w:tc>
          <w:tcPr/>
          <w:p>
            <w:pPr>
              <w:pStyle w:val="Compact"/>
              <w:jc w:val="left"/>
            </w:pPr>
            <w:r>
              <w:t xml:space="preserve">++--</w:t>
            </w:r>
          </w:p>
        </w:tc>
        <w:tc>
          <w:tcPr/>
          <w:p>
            <w:pPr>
              <w:pStyle w:val="Compact"/>
              <w:jc w:val="left"/>
            </w:pPr>
            <w:r>
              <w:t xml:space="preserve">2P 3:18</w:t>
            </w:r>
          </w:p>
        </w:tc>
        <w:tc>
          <w:tcPr/>
          <w:p>
            <w:pPr>
              <w:pStyle w:val="Compact"/>
              <w:jc w:val="left"/>
            </w:pPr>
            <w:r>
              <w:t xml:space="preserve">αυξανητε [27%] || αυξανετε [60%] ||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1J 1:6</w:t>
            </w:r>
          </w:p>
        </w:tc>
        <w:tc>
          <w:tcPr/>
          <w:p>
            <w:pPr>
              <w:pStyle w:val="Compact"/>
              <w:jc w:val="left"/>
            </w:pPr>
            <w:r>
              <w:t xml:space="preserve">περιπατουμεν [29%] || περιπατωμεν [71%]</w:t>
            </w:r>
          </w:p>
        </w:tc>
      </w:tr>
      <w:tr>
        <w:tc>
          <w:tcPr/>
          <w:p>
            <w:pPr>
              <w:pStyle w:val="Compact"/>
              <w:jc w:val="left"/>
            </w:pPr>
            <w:r>
              <w:t xml:space="preserve">+--</w:t>
            </w:r>
          </w:p>
        </w:tc>
        <w:tc>
          <w:tcPr/>
          <w:p>
            <w:pPr>
              <w:pStyle w:val="Compact"/>
              <w:jc w:val="left"/>
            </w:pPr>
            <w:r>
              <w:t xml:space="preserve">1J 2:24</w:t>
            </w:r>
          </w:p>
        </w:tc>
        <w:tc>
          <w:tcPr/>
          <w:p>
            <w:pPr>
              <w:pStyle w:val="Compact"/>
              <w:jc w:val="left"/>
            </w:pPr>
            <w:r>
              <w:t xml:space="preserve">πατρι και εν τω υιω [35%] || ~ 52341 [65%]</w:t>
            </w:r>
          </w:p>
        </w:tc>
      </w:tr>
      <w:tr>
        <w:tc>
          <w:tcPr/>
          <w:p>
            <w:pPr>
              <w:pStyle w:val="Compact"/>
              <w:jc w:val="left"/>
            </w:pPr>
            <w:r>
              <w:t xml:space="preserve">+--</w:t>
            </w:r>
          </w:p>
        </w:tc>
        <w:tc>
          <w:tcPr/>
          <w:p>
            <w:pPr>
              <w:pStyle w:val="Compact"/>
              <w:jc w:val="left"/>
            </w:pPr>
            <w:r>
              <w:t xml:space="preserve">1J 2:29</w:t>
            </w:r>
          </w:p>
        </w:tc>
        <w:tc>
          <w:tcPr/>
          <w:p>
            <w:pPr>
              <w:pStyle w:val="Compact"/>
              <w:jc w:val="left"/>
            </w:pPr>
            <w:r>
              <w:t xml:space="preserve">ειδητε [37%] || ιδητε [59%] ||</w:t>
            </w:r>
          </w:p>
        </w:tc>
      </w:tr>
      <w:tr>
        <w:tc>
          <w:tcPr/>
          <w:p>
            <w:pPr>
              <w:pStyle w:val="Compact"/>
              <w:jc w:val="left"/>
            </w:pPr>
            <w:r>
              <w:t xml:space="preserve">+--</w:t>
            </w:r>
          </w:p>
        </w:tc>
        <w:tc>
          <w:tcPr/>
          <w:p>
            <w:pPr>
              <w:pStyle w:val="Compact"/>
              <w:jc w:val="left"/>
            </w:pPr>
            <w:r>
              <w:t xml:space="preserve">1J 3:1</w:t>
            </w:r>
          </w:p>
        </w:tc>
        <w:tc>
          <w:tcPr/>
          <w:p>
            <w:pPr>
              <w:pStyle w:val="Compact"/>
              <w:jc w:val="left"/>
            </w:pPr>
            <w:r>
              <w:t xml:space="preserve">ημας [36%] || υμας [63.5%]</w:t>
            </w:r>
          </w:p>
        </w:tc>
      </w:tr>
      <w:tr>
        <w:tc>
          <w:tcPr/>
          <w:p>
            <w:pPr>
              <w:pStyle w:val="Compact"/>
              <w:jc w:val="left"/>
            </w:pPr>
            <w:r>
              <w:t xml:space="preserve">+++</w:t>
            </w:r>
          </w:p>
        </w:tc>
        <w:tc>
          <w:tcPr/>
          <w:p>
            <w:pPr>
              <w:pStyle w:val="Compact"/>
              <w:jc w:val="left"/>
            </w:pPr>
            <w:r>
              <w:t xml:space="preserve">1J 3:6</w:t>
            </w:r>
          </w:p>
        </w:tc>
        <w:tc>
          <w:tcPr/>
          <w:p>
            <w:pPr>
              <w:pStyle w:val="Compact"/>
              <w:jc w:val="left"/>
            </w:pPr>
            <w:r>
              <w:t xml:space="preserve">και [20%] || --- [80%]</w:t>
            </w:r>
          </w:p>
        </w:tc>
      </w:tr>
      <w:tr>
        <w:tc>
          <w:tcPr/>
          <w:p>
            <w:pPr>
              <w:pStyle w:val="Compact"/>
              <w:jc w:val="left"/>
            </w:pPr>
            <w:r>
              <w:t xml:space="preserve">++</w:t>
            </w:r>
          </w:p>
        </w:tc>
        <w:tc>
          <w:tcPr/>
          <w:p>
            <w:pPr>
              <w:pStyle w:val="Compact"/>
              <w:jc w:val="left"/>
            </w:pPr>
            <w:r>
              <w:t xml:space="preserve">1J 3:24</w:t>
            </w:r>
          </w:p>
        </w:tc>
        <w:tc>
          <w:tcPr/>
          <w:p>
            <w:pPr>
              <w:pStyle w:val="Compact"/>
              <w:jc w:val="left"/>
            </w:pPr>
            <w:r>
              <w:t xml:space="preserve">εν [30%] || και 1 [70%]</w:t>
            </w:r>
          </w:p>
        </w:tc>
      </w:tr>
      <w:tr>
        <w:tc>
          <w:tcPr/>
          <w:p>
            <w:pPr>
              <w:pStyle w:val="Compact"/>
              <w:jc w:val="left"/>
            </w:pPr>
            <w:r>
              <w:t xml:space="preserve">+--</w:t>
            </w:r>
          </w:p>
        </w:tc>
        <w:tc>
          <w:tcPr/>
          <w:p>
            <w:pPr>
              <w:pStyle w:val="Compact"/>
              <w:jc w:val="left"/>
            </w:pPr>
            <w:r>
              <w:t xml:space="preserve">1J 4:16</w:t>
            </w:r>
          </w:p>
        </w:tc>
        <w:tc>
          <w:tcPr/>
          <w:p>
            <w:pPr>
              <w:pStyle w:val="Compact"/>
              <w:jc w:val="left"/>
            </w:pPr>
            <w:r>
              <w:t xml:space="preserve">αυτω [37%] || 1 μενει [63%]</w:t>
            </w:r>
          </w:p>
        </w:tc>
      </w:tr>
      <w:tr>
        <w:tc>
          <w:tcPr/>
          <w:p>
            <w:pPr>
              <w:pStyle w:val="Compact"/>
              <w:jc w:val="left"/>
            </w:pPr>
            <w:r>
              <w:t xml:space="preserve">++--</w:t>
            </w:r>
          </w:p>
        </w:tc>
        <w:tc>
          <w:tcPr/>
          <w:p>
            <w:pPr>
              <w:pStyle w:val="Compact"/>
              <w:jc w:val="left"/>
            </w:pPr>
            <w:r>
              <w:t xml:space="preserve">1J 5:11</w:t>
            </w:r>
          </w:p>
        </w:tc>
        <w:tc>
          <w:tcPr/>
          <w:p>
            <w:pPr>
              <w:pStyle w:val="Compact"/>
              <w:jc w:val="left"/>
            </w:pPr>
            <w:r>
              <w:t xml:space="preserve">ο θεος ημιν [24%] || ~ 312 [76%]</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2J 5</w:t>
            </w:r>
          </w:p>
        </w:tc>
        <w:tc>
          <w:tcPr/>
          <w:p>
            <w:pPr>
              <w:pStyle w:val="Compact"/>
              <w:jc w:val="left"/>
            </w:pPr>
            <w:r>
              <w:t xml:space="preserve">εχομεν [32%] || ειχομεν [68%]</w:t>
            </w:r>
          </w:p>
        </w:tc>
      </w:tr>
      <w:tr>
        <w:tc>
          <w:tcPr/>
          <w:p>
            <w:pPr>
              <w:pStyle w:val="Compact"/>
              <w:jc w:val="left"/>
            </w:pPr>
            <w:r>
              <w:t xml:space="preserve">+++</w:t>
            </w:r>
          </w:p>
        </w:tc>
        <w:tc>
          <w:tcPr/>
          <w:p>
            <w:pPr>
              <w:pStyle w:val="Compact"/>
              <w:jc w:val="left"/>
            </w:pPr>
            <w:r>
              <w:t xml:space="preserve">2J 9</w:t>
            </w:r>
          </w:p>
        </w:tc>
        <w:tc>
          <w:tcPr/>
          <w:p>
            <w:pPr>
              <w:pStyle w:val="Compact"/>
              <w:jc w:val="left"/>
            </w:pPr>
            <w:r>
              <w:t xml:space="preserve">δε [20%] || ---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3J 11</w:t>
            </w:r>
          </w:p>
        </w:tc>
        <w:tc>
          <w:tcPr/>
          <w:p>
            <w:pPr>
              <w:pStyle w:val="Compact"/>
              <w:jc w:val="left"/>
            </w:pPr>
            <w:r>
              <w:t xml:space="preserve">δε [25%] || --- [75%]</w:t>
            </w:r>
          </w:p>
        </w:tc>
      </w:tr>
      <w:tr>
        <w:tc>
          <w:tcPr/>
          <w:p>
            <w:pPr>
              <w:pStyle w:val="Compact"/>
              <w:jc w:val="left"/>
            </w:pPr>
            <w:r>
              <w:t xml:space="preserve">++--</w:t>
            </w:r>
          </w:p>
        </w:tc>
        <w:tc>
          <w:tcPr/>
          <w:p>
            <w:pPr>
              <w:pStyle w:val="Compact"/>
              <w:jc w:val="left"/>
            </w:pPr>
            <w:r>
              <w:t xml:space="preserve">3J 12</w:t>
            </w:r>
          </w:p>
        </w:tc>
        <w:tc>
          <w:tcPr/>
          <w:p>
            <w:pPr>
              <w:pStyle w:val="Compact"/>
              <w:jc w:val="left"/>
            </w:pPr>
            <w:r>
              <w:t xml:space="preserve">οιδαμεν (23%) || οιδατε (61.5%) || οιδας (15.1%)</w:t>
            </w:r>
          </w:p>
        </w:tc>
      </w:tr>
    </w:tbl>
    <w:p>
      <w:pPr>
        <w:pStyle w:val="BodyText"/>
      </w:pPr>
      <w:r>
        <w:rPr>
          <w:bCs/>
          <w:b/>
        </w:rPr>
        <w:t xml:space="preserve">Brak dla Listu Judy.</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(9)</w:t>
            </w:r>
          </w:p>
        </w:tc>
      </w:tr>
      <w:tr>
        <w:tc>
          <w:tcPr/>
          <w:p>
            <w:pPr>
              <w:pStyle w:val="Compact"/>
              <w:jc w:val="left"/>
            </w:pPr>
            <w:r>
              <w:t xml:space="preserve">++--</w:t>
            </w:r>
          </w:p>
        </w:tc>
        <w:tc>
          <w:tcPr/>
          <w:p>
            <w:pPr>
              <w:pStyle w:val="Compact"/>
              <w:jc w:val="left"/>
            </w:pPr>
            <w:r>
              <w:t xml:space="preserve">około 25% = całkiem dobre (16)</w:t>
            </w:r>
          </w:p>
        </w:tc>
      </w:tr>
      <w:tr>
        <w:tc>
          <w:tcPr/>
          <w:p>
            <w:pPr>
              <w:pStyle w:val="Compact"/>
              <w:jc w:val="left"/>
            </w:pPr>
            <w:r>
              <w:t xml:space="preserve">++</w:t>
            </w:r>
          </w:p>
        </w:tc>
        <w:tc>
          <w:tcPr/>
          <w:p>
            <w:pPr>
              <w:pStyle w:val="Compact"/>
              <w:jc w:val="left"/>
            </w:pPr>
            <w:r>
              <w:t xml:space="preserve">około 30% = niezłe (7)</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(6)</w:t>
            </w:r>
          </w:p>
        </w:tc>
      </w:tr>
    </w:tbl>
    <w:p>
      <w:pPr>
        <w:pStyle w:val="BodyText"/>
      </w:pPr>
      <w:r>
        <w:t xml:space="preserve">Łącznie: 49</w:t>
      </w:r>
    </w:p>
    <w:p>
      <w:pPr>
        <w:pStyle w:val="BodyText"/>
      </w:pPr>
      <w:r>
        <w:rPr>
          <w:bCs/>
          <w:b/>
        </w:rPr>
        <w:t xml:space="preserve">Objawienie Jana</w:t>
      </w:r>
    </w:p>
    <w:p>
      <w:pPr>
        <w:pStyle w:val="BodyText"/>
      </w:pPr>
      <w:r>
        <w:t xml:space="preserve">Dzięki kolacjonowaniu Hoskiera możliwe jest (i lepsze) przedstawienie dowodów w kategoriach rodzin zamiast procentów, jak uczyniłem w swoim aparacie krytycznym — proszę się z nim zapoznać w kwestii dowodów.</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w:t>
            </w:r>
          </w:p>
        </w:tc>
        <w:tc>
          <w:tcPr/>
          <w:p>
            <w:pPr>
              <w:pStyle w:val="Compact"/>
              <w:jc w:val="left"/>
            </w:pPr>
            <w:r>
              <w:t xml:space="preserve">ἅ || ἁτινα || ---</w:t>
            </w:r>
          </w:p>
        </w:tc>
      </w:tr>
      <w:tr>
        <w:tc>
          <w:tcPr/>
          <w:p>
            <w:pPr>
              <w:pStyle w:val="Compact"/>
              <w:jc w:val="left"/>
            </w:pPr>
            <w:r>
              <w:t xml:space="preserve">+</w:t>
            </w:r>
          </w:p>
        </w:tc>
        <w:tc>
          <w:tcPr/>
          <w:p>
            <w:pPr>
              <w:pStyle w:val="Compact"/>
              <w:jc w:val="left"/>
            </w:pPr>
            <w:r>
              <w:t xml:space="preserve">1:5</w:t>
            </w:r>
          </w:p>
        </w:tc>
        <w:tc>
          <w:tcPr/>
          <w:p>
            <w:pPr>
              <w:pStyle w:val="Compact"/>
              <w:jc w:val="left"/>
            </w:pPr>
            <w:r>
              <w:t xml:space="preserve">εκ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μαζοις || μαστοις || μασθοις</w:t>
            </w:r>
          </w:p>
        </w:tc>
      </w:tr>
      <w:tr>
        <w:tc>
          <w:tcPr/>
          <w:p>
            <w:pPr>
              <w:pStyle w:val="Compact"/>
              <w:jc w:val="left"/>
            </w:pPr>
            <w:r>
              <w:t xml:space="preserve">+--</w:t>
            </w:r>
          </w:p>
        </w:tc>
        <w:tc>
          <w:tcPr/>
          <w:p>
            <w:pPr>
              <w:pStyle w:val="Compact"/>
              <w:jc w:val="left"/>
            </w:pPr>
            <w:r>
              <w:t xml:space="preserve">2:2</w:t>
            </w:r>
          </w:p>
        </w:tc>
        <w:tc>
          <w:tcPr/>
          <w:p>
            <w:pPr>
              <w:pStyle w:val="Compact"/>
              <w:jc w:val="left"/>
            </w:pPr>
            <w:r>
              <w:t xml:space="preserve">κοπον || 1 σου</w:t>
            </w:r>
          </w:p>
        </w:tc>
      </w:tr>
      <w:tr>
        <w:tc>
          <w:tcPr/>
          <w:p>
            <w:pPr>
              <w:pStyle w:val="Compact"/>
              <w:jc w:val="left"/>
            </w:pPr>
            <w:r>
              <w:t xml:space="preserve">++--</w:t>
            </w:r>
          </w:p>
        </w:tc>
        <w:tc>
          <w:tcPr/>
          <w:p>
            <w:pPr>
              <w:pStyle w:val="Compact"/>
              <w:jc w:val="left"/>
            </w:pPr>
            <w:r>
              <w:t xml:space="preserve">2:7</w:t>
            </w:r>
          </w:p>
        </w:tc>
        <w:tc>
          <w:tcPr/>
          <w:p>
            <w:pPr>
              <w:pStyle w:val="Compact"/>
              <w:jc w:val="left"/>
            </w:pPr>
            <w:r>
              <w:t xml:space="preserve">δωσω || 1 αυτω</w:t>
            </w:r>
          </w:p>
        </w:tc>
      </w:tr>
      <w:tr>
        <w:tc>
          <w:tcPr/>
          <w:p>
            <w:pPr>
              <w:pStyle w:val="Compact"/>
              <w:jc w:val="left"/>
            </w:pPr>
            <w:r>
              <w:t xml:space="preserve">++--</w:t>
            </w:r>
          </w:p>
        </w:tc>
        <w:tc>
          <w:tcPr/>
          <w:p>
            <w:pPr>
              <w:pStyle w:val="Compact"/>
              <w:jc w:val="left"/>
            </w:pPr>
            <w:r>
              <w:t xml:space="preserve">2:24</w:t>
            </w:r>
          </w:p>
        </w:tc>
        <w:tc>
          <w:tcPr/>
          <w:p>
            <w:pPr>
              <w:pStyle w:val="Compact"/>
              <w:jc w:val="left"/>
            </w:pPr>
            <w:r>
              <w:t xml:space="preserve">βαλω || βαλλω</w:t>
            </w:r>
          </w:p>
        </w:tc>
      </w:tr>
      <w:tr>
        <w:tc>
          <w:tcPr/>
          <w:p>
            <w:pPr>
              <w:pStyle w:val="Compact"/>
              <w:jc w:val="left"/>
            </w:pPr>
            <w:r>
              <w:t xml:space="preserve">+++</w:t>
            </w:r>
          </w:p>
        </w:tc>
        <w:tc>
          <w:tcPr/>
          <w:p>
            <w:pPr>
              <w:pStyle w:val="Compact"/>
              <w:jc w:val="left"/>
            </w:pPr>
            <w:r>
              <w:t xml:space="preserve">3:2</w:t>
            </w:r>
          </w:p>
        </w:tc>
        <w:tc>
          <w:tcPr/>
          <w:p>
            <w:pPr>
              <w:pStyle w:val="Compact"/>
              <w:jc w:val="left"/>
            </w:pPr>
            <w:r>
              <w:t xml:space="preserve">εμελλες αποβαλειν || 1 αποβαλλειν || ημελλες αποβαλλειν || itd.</w:t>
            </w:r>
          </w:p>
        </w:tc>
      </w:tr>
      <w:tr>
        <w:tc>
          <w:tcPr/>
          <w:p>
            <w:pPr>
              <w:pStyle w:val="Compact"/>
              <w:jc w:val="left"/>
            </w:pPr>
            <w:r>
              <w:t xml:space="preserve">+--</w:t>
            </w:r>
          </w:p>
        </w:tc>
        <w:tc>
          <w:tcPr/>
          <w:p>
            <w:pPr>
              <w:pStyle w:val="Compact"/>
              <w:jc w:val="left"/>
            </w:pPr>
            <w:r>
              <w:t xml:space="preserve">3:5</w:t>
            </w:r>
          </w:p>
        </w:tc>
        <w:tc>
          <w:tcPr/>
          <w:p>
            <w:pPr>
              <w:pStyle w:val="Compact"/>
              <w:jc w:val="left"/>
            </w:pPr>
            <w:r>
              <w:t xml:space="preserve">ουτως || ουτος</w:t>
            </w:r>
          </w:p>
        </w:tc>
      </w:tr>
      <w:tr>
        <w:tc>
          <w:tcPr/>
          <w:p>
            <w:pPr>
              <w:pStyle w:val="Compact"/>
              <w:jc w:val="left"/>
            </w:pPr>
            <w:r>
              <w:t xml:space="preserve">++</w:t>
            </w:r>
          </w:p>
        </w:tc>
        <w:tc>
          <w:tcPr/>
          <w:p>
            <w:pPr>
              <w:pStyle w:val="Compact"/>
              <w:jc w:val="left"/>
            </w:pPr>
            <w:r>
              <w:t xml:space="preserve">3:18</w:t>
            </w:r>
            <w:r>
              <w:rPr>
                <w:vertAlign w:val="superscript"/>
              </w:rPr>
              <w:t xml:space="preserve">a</w:t>
            </w:r>
          </w:p>
        </w:tc>
        <w:tc>
          <w:tcPr/>
          <w:p>
            <w:pPr>
              <w:pStyle w:val="Compact"/>
              <w:jc w:val="left"/>
            </w:pPr>
            <w:r>
              <w:t xml:space="preserve">κολλουριον || κουλουριον || κολλυριον</w:t>
            </w:r>
          </w:p>
        </w:tc>
      </w:tr>
      <w:tr>
        <w:tc>
          <w:tcPr/>
          <w:p>
            <w:pPr>
              <w:pStyle w:val="Compact"/>
              <w:jc w:val="left"/>
            </w:pPr>
            <w:r>
              <w:t xml:space="preserve">+++</w:t>
            </w:r>
          </w:p>
        </w:tc>
        <w:tc>
          <w:tcPr/>
          <w:p>
            <w:pPr>
              <w:pStyle w:val="Compact"/>
              <w:jc w:val="left"/>
            </w:pPr>
            <w:r>
              <w:t xml:space="preserve">3:18</w:t>
            </w:r>
            <w:r>
              <w:rPr>
                <w:vertAlign w:val="superscript"/>
              </w:rPr>
              <w:t xml:space="preserve">b</w:t>
            </w:r>
          </w:p>
        </w:tc>
        <w:tc>
          <w:tcPr/>
          <w:p>
            <w:pPr>
              <w:pStyle w:val="Compact"/>
              <w:jc w:val="left"/>
            </w:pPr>
            <w:r>
              <w:t xml:space="preserve">εγχρισον επι || 1 || ινα εγχριση || ινα εγχρισαι || εγχρισαι || itd.</w:t>
            </w:r>
          </w:p>
        </w:tc>
      </w:tr>
      <w:tr>
        <w:tc>
          <w:tcPr/>
          <w:p>
            <w:pPr>
              <w:pStyle w:val="Compact"/>
              <w:jc w:val="left"/>
            </w:pPr>
            <w:r>
              <w:t xml:space="preserve">+</w:t>
            </w:r>
          </w:p>
        </w:tc>
        <w:tc>
          <w:tcPr/>
          <w:p>
            <w:pPr>
              <w:pStyle w:val="Compact"/>
              <w:jc w:val="left"/>
            </w:pPr>
            <w:r>
              <w:t xml:space="preserve">4:3</w:t>
            </w:r>
          </w:p>
        </w:tc>
        <w:tc>
          <w:tcPr/>
          <w:p>
            <w:pPr>
              <w:pStyle w:val="Compact"/>
              <w:jc w:val="left"/>
            </w:pPr>
            <w:r>
              <w:t xml:space="preserve">ομοια || ομοιος || ομοιως</w:t>
            </w:r>
          </w:p>
        </w:tc>
      </w:tr>
      <w:tr>
        <w:tc>
          <w:tcPr/>
          <w:p>
            <w:pPr>
              <w:pStyle w:val="Compact"/>
              <w:jc w:val="left"/>
            </w:pPr>
            <w:r>
              <w:t xml:space="preserve">+++</w:t>
            </w:r>
          </w:p>
        </w:tc>
        <w:tc>
          <w:tcPr/>
          <w:p>
            <w:pPr>
              <w:pStyle w:val="Compact"/>
              <w:jc w:val="left"/>
            </w:pPr>
            <w:r>
              <w:t xml:space="preserve">4:4</w:t>
            </w:r>
          </w:p>
        </w:tc>
        <w:tc>
          <w:tcPr/>
          <w:p>
            <w:pPr>
              <w:pStyle w:val="Compact"/>
              <w:jc w:val="left"/>
            </w:pPr>
            <w:r>
              <w:t xml:space="preserve">ειδον || ---</w:t>
            </w:r>
          </w:p>
        </w:tc>
      </w:tr>
      <w:tr>
        <w:tc>
          <w:tcPr/>
          <w:p>
            <w:pPr>
              <w:pStyle w:val="Compact"/>
              <w:jc w:val="left"/>
            </w:pPr>
            <w:r>
              <w:t xml:space="preserve">+</w:t>
            </w:r>
          </w:p>
        </w:tc>
        <w:tc>
          <w:tcPr/>
          <w:p>
            <w:pPr>
              <w:pStyle w:val="Compact"/>
              <w:jc w:val="left"/>
            </w:pPr>
            <w:r>
              <w:t xml:space="preserve">4:6</w:t>
            </w:r>
          </w:p>
        </w:tc>
        <w:tc>
          <w:tcPr/>
          <w:p>
            <w:pPr>
              <w:pStyle w:val="Compact"/>
              <w:jc w:val="left"/>
            </w:pPr>
            <w:r>
              <w:t xml:space="preserve">κρυσταλω || κρυσταλλω</w:t>
            </w:r>
          </w:p>
        </w:tc>
      </w:tr>
      <w:tr>
        <w:tc>
          <w:tcPr/>
          <w:p>
            <w:pPr>
              <w:pStyle w:val="Compact"/>
              <w:jc w:val="left"/>
            </w:pPr>
            <w:r>
              <w:t xml:space="preserve">+++</w:t>
            </w:r>
          </w:p>
        </w:tc>
        <w:tc>
          <w:tcPr/>
          <w:p>
            <w:pPr>
              <w:pStyle w:val="Compact"/>
              <w:jc w:val="left"/>
            </w:pPr>
            <w:r>
              <w:t xml:space="preserve">4:8</w:t>
            </w:r>
          </w:p>
        </w:tc>
        <w:tc>
          <w:tcPr/>
          <w:p>
            <w:pPr>
              <w:pStyle w:val="Compact"/>
              <w:jc w:val="left"/>
            </w:pPr>
            <w:r>
              <w:t xml:space="preserve">λεγοντα || λεγοντες</w:t>
            </w:r>
          </w:p>
        </w:tc>
      </w:tr>
      <w:tr>
        <w:tc>
          <w:tcPr/>
          <w:p>
            <w:pPr>
              <w:pStyle w:val="Compact"/>
              <w:jc w:val="left"/>
            </w:pPr>
            <w:r>
              <w:t xml:space="preserve">+</w:t>
            </w:r>
          </w:p>
        </w:tc>
        <w:tc>
          <w:tcPr/>
          <w:p>
            <w:pPr>
              <w:pStyle w:val="Compact"/>
              <w:jc w:val="left"/>
            </w:pPr>
            <w:r>
              <w:t xml:space="preserve">5:2</w:t>
            </w:r>
          </w:p>
        </w:tc>
        <w:tc>
          <w:tcPr/>
          <w:p>
            <w:pPr>
              <w:pStyle w:val="Compact"/>
              <w:jc w:val="left"/>
            </w:pPr>
            <w:r>
              <w:t xml:space="preserve">αξιος || 1 εστιν</w:t>
            </w:r>
          </w:p>
        </w:tc>
      </w:tr>
      <w:tr>
        <w:tc>
          <w:tcPr/>
          <w:p>
            <w:pPr>
              <w:pStyle w:val="Compact"/>
              <w:jc w:val="left"/>
            </w:pPr>
            <w:r>
              <w:t xml:space="preserve">++--</w:t>
            </w:r>
          </w:p>
        </w:tc>
        <w:tc>
          <w:tcPr/>
          <w:p>
            <w:pPr>
              <w:pStyle w:val="Compact"/>
              <w:jc w:val="left"/>
            </w:pPr>
            <w:r>
              <w:t xml:space="preserve">6:8</w:t>
            </w:r>
          </w:p>
        </w:tc>
        <w:tc>
          <w:tcPr/>
          <w:p>
            <w:pPr>
              <w:pStyle w:val="Compact"/>
              <w:jc w:val="left"/>
            </w:pPr>
            <w:r>
              <w:t xml:space="preserve">θανατος || ο 1 || ο αθανατος</w:t>
            </w:r>
          </w:p>
        </w:tc>
      </w:tr>
      <w:tr>
        <w:tc>
          <w:tcPr/>
          <w:p>
            <w:pPr>
              <w:pStyle w:val="Compact"/>
              <w:jc w:val="left"/>
            </w:pPr>
            <w:r>
              <w:t xml:space="preserve">+</w:t>
            </w:r>
          </w:p>
        </w:tc>
        <w:tc>
          <w:tcPr/>
          <w:p>
            <w:pPr>
              <w:pStyle w:val="Compact"/>
              <w:jc w:val="left"/>
            </w:pPr>
            <w:r>
              <w:t xml:space="preserve">6:9</w:t>
            </w:r>
          </w:p>
        </w:tc>
        <w:tc>
          <w:tcPr/>
          <w:p>
            <w:pPr>
              <w:pStyle w:val="Compact"/>
              <w:jc w:val="left"/>
            </w:pPr>
            <w:r>
              <w:t xml:space="preserve">των ανθρωπων || ---</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και || ---</w:t>
            </w:r>
          </w:p>
        </w:tc>
      </w:tr>
      <w:tr>
        <w:tc>
          <w:tcPr/>
          <w:p>
            <w:pPr>
              <w:pStyle w:val="Compact"/>
              <w:jc w:val="left"/>
            </w:pPr>
            <w:r>
              <w:t xml:space="preserve">+</w:t>
            </w:r>
          </w:p>
        </w:tc>
        <w:tc>
          <w:tcPr/>
          <w:p>
            <w:pPr>
              <w:pStyle w:val="Compact"/>
              <w:jc w:val="left"/>
            </w:pPr>
            <w:r>
              <w:t xml:space="preserve">8:9</w:t>
            </w:r>
          </w:p>
        </w:tc>
        <w:tc>
          <w:tcPr/>
          <w:p>
            <w:pPr>
              <w:pStyle w:val="Compact"/>
              <w:jc w:val="left"/>
            </w:pPr>
            <w:r>
              <w:t xml:space="preserve">διεφθαρησαν || διεφθαρη</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τρις || ---</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μονους || ---</w:t>
            </w:r>
          </w:p>
        </w:tc>
      </w:tr>
      <w:tr>
        <w:tc>
          <w:tcPr/>
          <w:p>
            <w:pPr>
              <w:pStyle w:val="Compact"/>
              <w:jc w:val="left"/>
            </w:pPr>
            <w:r>
              <w:t xml:space="preserve">+++</w:t>
            </w:r>
          </w:p>
        </w:tc>
        <w:tc>
          <w:tcPr/>
          <w:p>
            <w:pPr>
              <w:pStyle w:val="Compact"/>
              <w:jc w:val="left"/>
            </w:pPr>
            <w:r>
              <w:t xml:space="preserve">9:5</w:t>
            </w:r>
          </w:p>
        </w:tc>
        <w:tc>
          <w:tcPr/>
          <w:p>
            <w:pPr>
              <w:pStyle w:val="Compact"/>
              <w:jc w:val="left"/>
            </w:pPr>
            <w:r>
              <w:t xml:space="preserve">πληξη || παιση || πεση</w:t>
            </w:r>
          </w:p>
        </w:tc>
      </w:tr>
      <w:tr>
        <w:tc>
          <w:tcPr/>
          <w:p>
            <w:pPr>
              <w:pStyle w:val="Compact"/>
              <w:jc w:val="left"/>
            </w:pPr>
            <w:r>
              <w:t xml:space="preserve">+--</w:t>
            </w:r>
          </w:p>
        </w:tc>
        <w:tc>
          <w:tcPr/>
          <w:p>
            <w:pPr>
              <w:pStyle w:val="Compact"/>
              <w:jc w:val="left"/>
            </w:pPr>
            <w:r>
              <w:t xml:space="preserve">9:6</w:t>
            </w:r>
          </w:p>
        </w:tc>
        <w:tc>
          <w:tcPr/>
          <w:p>
            <w:pPr>
              <w:pStyle w:val="Compact"/>
              <w:jc w:val="left"/>
            </w:pPr>
            <w:r>
              <w:t xml:space="preserve">ζητουσιν || ζητησουσιν</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αββαδδων || αββαδων || αββααδων || αββααδδων || αβαδδων</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και την ημεραν || 1 εις 23 || 13 || ---</w:t>
            </w:r>
          </w:p>
        </w:tc>
      </w:tr>
      <w:tr>
        <w:tc>
          <w:tcPr/>
          <w:p>
            <w:pPr>
              <w:pStyle w:val="Compact"/>
              <w:jc w:val="left"/>
            </w:pPr>
            <w:r>
              <w:t xml:space="preserve">++</w:t>
            </w:r>
          </w:p>
        </w:tc>
        <w:tc>
          <w:tcPr/>
          <w:p>
            <w:pPr>
              <w:pStyle w:val="Compact"/>
              <w:jc w:val="left"/>
            </w:pPr>
            <w:r>
              <w:t xml:space="preserve">10:7</w:t>
            </w:r>
            <w:r>
              <w:rPr>
                <w:vertAlign w:val="superscript"/>
              </w:rPr>
              <w:t xml:space="preserve">a</w:t>
            </w:r>
          </w:p>
        </w:tc>
        <w:tc>
          <w:tcPr/>
          <w:p>
            <w:pPr>
              <w:pStyle w:val="Compact"/>
              <w:jc w:val="left"/>
            </w:pPr>
            <w:r>
              <w:t xml:space="preserve">τελεσθη || και 1 || και ετελεσθη</w:t>
            </w:r>
          </w:p>
        </w:tc>
      </w:tr>
      <w:tr>
        <w:tc>
          <w:tcPr/>
          <w:p>
            <w:pPr>
              <w:pStyle w:val="Compact"/>
              <w:jc w:val="left"/>
            </w:pPr>
            <w:r>
              <w:t xml:space="preserve">+</w:t>
            </w:r>
          </w:p>
        </w:tc>
        <w:tc>
          <w:tcPr/>
          <w:p>
            <w:pPr>
              <w:pStyle w:val="Compact"/>
              <w:jc w:val="left"/>
            </w:pPr>
            <w:r>
              <w:t xml:space="preserve">10:7</w:t>
            </w:r>
            <w:r>
              <w:rPr>
                <w:vertAlign w:val="superscript"/>
              </w:rPr>
              <w:t xml:space="preserve">b</w:t>
            </w:r>
          </w:p>
        </w:tc>
        <w:tc>
          <w:tcPr/>
          <w:p>
            <w:pPr>
              <w:pStyle w:val="Compact"/>
              <w:jc w:val="left"/>
            </w:pPr>
            <w:r>
              <w:t xml:space="preserve">ὅ || ως</w:t>
            </w:r>
          </w:p>
        </w:tc>
      </w:tr>
      <w:tr>
        <w:tc>
          <w:tcPr/>
          <w:p>
            <w:pPr>
              <w:pStyle w:val="Compact"/>
              <w:jc w:val="left"/>
            </w:pPr>
            <w:r>
              <w:t xml:space="preserve">++</w:t>
            </w:r>
          </w:p>
        </w:tc>
        <w:tc>
          <w:tcPr/>
          <w:p>
            <w:pPr>
              <w:pStyle w:val="Compact"/>
              <w:jc w:val="left"/>
            </w:pPr>
            <w:r>
              <w:t xml:space="preserve">10:7</w:t>
            </w:r>
            <w:r>
              <w:rPr>
                <w:vertAlign w:val="superscript"/>
              </w:rPr>
              <w:t xml:space="preserve">c</w:t>
            </w:r>
          </w:p>
        </w:tc>
        <w:tc>
          <w:tcPr/>
          <w:p>
            <w:pPr>
              <w:pStyle w:val="Compact"/>
              <w:jc w:val="left"/>
            </w:pPr>
            <w:r>
              <w:t xml:space="preserve">ευηγγελισατο || ευηγγελισεν || ευηγγελησε</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και ειστηκει ο αγγελος λεγων || 1 φωνη λεγουσα || 5 || λεγει</w:t>
            </w:r>
          </w:p>
        </w:tc>
      </w:tr>
      <w:tr>
        <w:tc>
          <w:tcPr/>
          <w:p>
            <w:pPr>
              <w:pStyle w:val="Compact"/>
              <w:jc w:val="left"/>
            </w:pPr>
            <w:r>
              <w:t xml:space="preserve">+</w:t>
            </w:r>
          </w:p>
        </w:tc>
        <w:tc>
          <w:tcPr/>
          <w:p>
            <w:pPr>
              <w:pStyle w:val="Compact"/>
              <w:jc w:val="left"/>
            </w:pPr>
            <w:r>
              <w:t xml:space="preserve">11:11</w:t>
            </w:r>
          </w:p>
        </w:tc>
        <w:tc>
          <w:tcPr/>
          <w:p>
            <w:pPr>
              <w:pStyle w:val="Compact"/>
              <w:jc w:val="left"/>
            </w:pPr>
            <w:r>
              <w:t xml:space="preserve">επ αυτους || εις 2 || εν αυτοις || αυτοις</w:t>
            </w:r>
          </w:p>
        </w:tc>
      </w:tr>
      <w:tr>
        <w:tc>
          <w:tcPr/>
          <w:p>
            <w:pPr>
              <w:pStyle w:val="Compact"/>
              <w:jc w:val="left"/>
            </w:pPr>
            <w:r>
              <w:t xml:space="preserve">+</w:t>
            </w:r>
          </w:p>
        </w:tc>
        <w:tc>
          <w:tcPr/>
          <w:p>
            <w:pPr>
              <w:pStyle w:val="Compact"/>
              <w:jc w:val="left"/>
            </w:pPr>
            <w:r>
              <w:t xml:space="preserve">11:17</w:t>
            </w:r>
          </w:p>
        </w:tc>
        <w:tc>
          <w:tcPr/>
          <w:p>
            <w:pPr>
              <w:pStyle w:val="Compact"/>
              <w:jc w:val="left"/>
            </w:pPr>
            <w:r>
              <w:t xml:space="preserve">και ο ερχομενος || ---</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μεγας πυρρος || 1 πυρος || ~ 21 || ~ πυρος 1</w:t>
            </w:r>
          </w:p>
        </w:tc>
      </w:tr>
      <w:tr>
        <w:tc>
          <w:tcPr/>
          <w:p>
            <w:pPr>
              <w:pStyle w:val="Compact"/>
              <w:jc w:val="left"/>
            </w:pPr>
            <w:r>
              <w:t xml:space="preserve">+++</w:t>
            </w:r>
          </w:p>
        </w:tc>
        <w:tc>
          <w:tcPr/>
          <w:p>
            <w:pPr>
              <w:pStyle w:val="Compact"/>
              <w:jc w:val="left"/>
            </w:pPr>
            <w:r>
              <w:t xml:space="preserve">12:4</w:t>
            </w:r>
          </w:p>
        </w:tc>
        <w:tc>
          <w:tcPr/>
          <w:p>
            <w:pPr>
              <w:pStyle w:val="Compact"/>
              <w:jc w:val="left"/>
            </w:pPr>
            <w:r>
              <w:t xml:space="preserve">τικτειν || τεκειν</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ηρπαγη || ηρπασθη</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του πολεμησαι || 2 || επολεμησαν</w:t>
            </w:r>
          </w:p>
        </w:tc>
      </w:tr>
      <w:tr>
        <w:tc>
          <w:tcPr/>
          <w:p>
            <w:pPr>
              <w:pStyle w:val="Compact"/>
              <w:jc w:val="left"/>
            </w:pPr>
            <w:r>
              <w:t xml:space="preserve">+</w:t>
            </w:r>
          </w:p>
        </w:tc>
        <w:tc>
          <w:tcPr/>
          <w:p>
            <w:pPr>
              <w:pStyle w:val="Compact"/>
              <w:jc w:val="left"/>
            </w:pPr>
            <w:r>
              <w:t xml:space="preserve">13:7</w:t>
            </w:r>
          </w:p>
        </w:tc>
        <w:tc>
          <w:tcPr/>
          <w:p>
            <w:pPr>
              <w:pStyle w:val="Compact"/>
              <w:jc w:val="left"/>
            </w:pPr>
            <w:r>
              <w:t xml:space="preserve">φυλην || 1 και λαον</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ινα2 || ---</w:t>
            </w:r>
          </w:p>
        </w:tc>
      </w:tr>
      <w:tr>
        <w:tc>
          <w:tcPr/>
          <w:p>
            <w:pPr>
              <w:pStyle w:val="Compact"/>
              <w:jc w:val="left"/>
            </w:pPr>
            <w:r>
              <w:t xml:space="preserve">+</w:t>
            </w:r>
          </w:p>
        </w:tc>
        <w:tc>
          <w:tcPr/>
          <w:p>
            <w:pPr>
              <w:pStyle w:val="Compact"/>
              <w:jc w:val="left"/>
            </w:pPr>
            <w:r>
              <w:t xml:space="preserve">14:6</w:t>
            </w:r>
          </w:p>
        </w:tc>
        <w:tc>
          <w:tcPr/>
          <w:p>
            <w:pPr>
              <w:pStyle w:val="Compact"/>
              <w:jc w:val="left"/>
            </w:pPr>
            <w:r>
              <w:t xml:space="preserve">αλλον αγγελον || 2 || ~ 21</w:t>
            </w:r>
          </w:p>
        </w:tc>
      </w:tr>
      <w:tr>
        <w:tc>
          <w:tcPr/>
          <w:p>
            <w:pPr>
              <w:pStyle w:val="Compact"/>
              <w:jc w:val="left"/>
            </w:pPr>
            <w:r>
              <w:t xml:space="preserve">+++</w:t>
            </w:r>
          </w:p>
        </w:tc>
        <w:tc>
          <w:tcPr/>
          <w:p>
            <w:pPr>
              <w:pStyle w:val="Compact"/>
              <w:jc w:val="left"/>
            </w:pPr>
            <w:r>
              <w:t xml:space="preserve">14:12</w:t>
            </w:r>
          </w:p>
        </w:tc>
        <w:tc>
          <w:tcPr/>
          <w:p>
            <w:pPr>
              <w:pStyle w:val="Compact"/>
              <w:jc w:val="left"/>
            </w:pPr>
            <w:r>
              <w:t xml:space="preserve">του ιησου || 2 || 2 χριστου</w:t>
            </w:r>
          </w:p>
        </w:tc>
      </w:tr>
      <w:tr>
        <w:tc>
          <w:tcPr/>
          <w:p>
            <w:pPr>
              <w:pStyle w:val="Compact"/>
              <w:jc w:val="left"/>
            </w:pPr>
            <w:r>
              <w:t xml:space="preserve">+</w:t>
            </w:r>
          </w:p>
        </w:tc>
        <w:tc>
          <w:tcPr/>
          <w:p>
            <w:pPr>
              <w:pStyle w:val="Compact"/>
              <w:jc w:val="left"/>
            </w:pPr>
            <w:r>
              <w:t xml:space="preserve">15:3</w:t>
            </w:r>
          </w:p>
        </w:tc>
        <w:tc>
          <w:tcPr/>
          <w:p>
            <w:pPr>
              <w:pStyle w:val="Compact"/>
              <w:jc w:val="left"/>
            </w:pPr>
            <w:r>
              <w:t xml:space="preserve">μωυσεος || μωυσεως || μωσεως</w:t>
            </w:r>
          </w:p>
        </w:tc>
      </w:tr>
      <w:tr>
        <w:tc>
          <w:tcPr/>
          <w:p>
            <w:pPr>
              <w:pStyle w:val="Compact"/>
              <w:jc w:val="left"/>
            </w:pPr>
            <w:r>
              <w:t xml:space="preserve">++--</w:t>
            </w:r>
          </w:p>
        </w:tc>
        <w:tc>
          <w:tcPr/>
          <w:p>
            <w:pPr>
              <w:pStyle w:val="Compact"/>
              <w:jc w:val="left"/>
            </w:pPr>
            <w:r>
              <w:t xml:space="preserve">15:4</w:t>
            </w:r>
          </w:p>
        </w:tc>
        <w:tc>
          <w:tcPr/>
          <w:p>
            <w:pPr>
              <w:pStyle w:val="Compact"/>
              <w:jc w:val="left"/>
            </w:pPr>
            <w:r>
              <w:t xml:space="preserve">αγιος ει || 1 || 2 || οσιος</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εκ του ουρανου || 12 ναου ||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 ---</w:t>
            </w:r>
          </w:p>
        </w:tc>
      </w:tr>
      <w:tr>
        <w:tc>
          <w:tcPr/>
          <w:p>
            <w:pPr>
              <w:pStyle w:val="Compact"/>
              <w:jc w:val="left"/>
            </w:pPr>
            <w:r>
              <w:t xml:space="preserve">+</w:t>
            </w:r>
          </w:p>
        </w:tc>
        <w:tc>
          <w:tcPr/>
          <w:p>
            <w:pPr>
              <w:pStyle w:val="Compact"/>
              <w:jc w:val="left"/>
            </w:pPr>
            <w:r>
              <w:t xml:space="preserve">17:8</w:t>
            </w:r>
          </w:p>
        </w:tc>
        <w:tc>
          <w:tcPr/>
          <w:p>
            <w:pPr>
              <w:pStyle w:val="Compact"/>
              <w:jc w:val="left"/>
            </w:pPr>
            <w:r>
              <w:t xml:space="preserve">βλεποντες || βλεποντων</w:t>
            </w:r>
          </w:p>
        </w:tc>
      </w:tr>
      <w:tr>
        <w:tc>
          <w:tcPr/>
          <w:p>
            <w:pPr>
              <w:pStyle w:val="Compact"/>
              <w:jc w:val="left"/>
            </w:pPr>
            <w:r>
              <w:t xml:space="preserve">+--</w:t>
            </w:r>
          </w:p>
        </w:tc>
        <w:tc>
          <w:tcPr/>
          <w:p>
            <w:pPr>
              <w:pStyle w:val="Compact"/>
              <w:jc w:val="left"/>
            </w:pPr>
            <w:r>
              <w:t xml:space="preserve">18:2</w:t>
            </w:r>
          </w:p>
        </w:tc>
        <w:tc>
          <w:tcPr/>
          <w:p>
            <w:pPr>
              <w:pStyle w:val="Compact"/>
              <w:jc w:val="left"/>
            </w:pPr>
            <w:r>
              <w:t xml:space="preserve">εν ισχυρα φωνη || 123 μεγαλη || 123 και μεγαλη || 23 || 23 μεγαλη || itd.</w:t>
            </w:r>
          </w:p>
        </w:tc>
      </w:tr>
      <w:tr>
        <w:tc>
          <w:tcPr/>
          <w:p>
            <w:pPr>
              <w:pStyle w:val="Compact"/>
              <w:jc w:val="left"/>
            </w:pPr>
            <w:r>
              <w:t xml:space="preserve">+</w:t>
            </w:r>
          </w:p>
        </w:tc>
        <w:tc>
          <w:tcPr/>
          <w:p>
            <w:pPr>
              <w:pStyle w:val="Compact"/>
              <w:jc w:val="left"/>
            </w:pPr>
            <w:r>
              <w:t xml:space="preserve">18:3</w:t>
            </w:r>
          </w:p>
        </w:tc>
        <w:tc>
          <w:tcPr/>
          <w:p>
            <w:pPr>
              <w:pStyle w:val="Compact"/>
              <w:jc w:val="left"/>
            </w:pPr>
            <w:r>
              <w:t xml:space="preserve">πεπωκεν || πεπωκασιν || πεπωτικεν || πεπτωκασιν || πεπτωκαν || πεπωκαν</w:t>
            </w:r>
          </w:p>
        </w:tc>
      </w:tr>
      <w:tr>
        <w:tc>
          <w:tcPr/>
          <w:p>
            <w:pPr>
              <w:pStyle w:val="Compact"/>
              <w:jc w:val="left"/>
            </w:pPr>
            <w:r>
              <w:t xml:space="preserve">+</w:t>
            </w:r>
          </w:p>
        </w:tc>
        <w:tc>
          <w:tcPr/>
          <w:p>
            <w:pPr>
              <w:pStyle w:val="Compact"/>
              <w:jc w:val="left"/>
            </w:pPr>
            <w:r>
              <w:t xml:space="preserve">18:7</w:t>
            </w:r>
          </w:p>
        </w:tc>
        <w:tc>
          <w:tcPr/>
          <w:p>
            <w:pPr>
              <w:pStyle w:val="Compact"/>
              <w:jc w:val="left"/>
            </w:pPr>
            <w:r>
              <w:t xml:space="preserve">βασανισμον || 1 και πενθος</w:t>
            </w:r>
          </w:p>
        </w:tc>
      </w:tr>
      <w:tr>
        <w:tc>
          <w:tcPr/>
          <w:p>
            <w:pPr>
              <w:pStyle w:val="Compact"/>
              <w:jc w:val="left"/>
            </w:pPr>
            <w:r>
              <w:t xml:space="preserve">+</w:t>
            </w:r>
          </w:p>
        </w:tc>
        <w:tc>
          <w:tcPr/>
          <w:p>
            <w:pPr>
              <w:pStyle w:val="Compact"/>
              <w:jc w:val="left"/>
            </w:pPr>
            <w:r>
              <w:t xml:space="preserve">18:14</w:t>
            </w:r>
            <w:r>
              <w:rPr>
                <w:vertAlign w:val="superscript"/>
              </w:rPr>
              <w:t xml:space="preserve">a</w:t>
            </w:r>
          </w:p>
        </w:tc>
        <w:tc>
          <w:tcPr/>
          <w:p>
            <w:pPr>
              <w:pStyle w:val="Compact"/>
              <w:jc w:val="left"/>
            </w:pPr>
            <w:r>
              <w:t xml:space="preserve">απωλοντο || απωλετο || απηλθεν</w:t>
            </w:r>
          </w:p>
        </w:tc>
      </w:tr>
      <w:tr>
        <w:tc>
          <w:tcPr/>
          <w:p>
            <w:pPr>
              <w:pStyle w:val="Compact"/>
              <w:jc w:val="left"/>
            </w:pPr>
            <w:r>
              <w:t xml:space="preserve">+</w:t>
            </w:r>
          </w:p>
        </w:tc>
        <w:tc>
          <w:tcPr/>
          <w:p>
            <w:pPr>
              <w:pStyle w:val="Compact"/>
              <w:jc w:val="left"/>
            </w:pPr>
            <w:r>
              <w:t xml:space="preserve">18:14</w:t>
            </w:r>
            <w:r>
              <w:rPr>
                <w:vertAlign w:val="superscript"/>
              </w:rPr>
              <w:t xml:space="preserve">b</w:t>
            </w:r>
          </w:p>
        </w:tc>
        <w:tc>
          <w:tcPr/>
          <w:p>
            <w:pPr>
              <w:pStyle w:val="Compact"/>
              <w:jc w:val="left"/>
            </w:pPr>
            <w:r>
              <w:t xml:space="preserve">ου μη ευρησεις αυτα || 12 ευρησης 4 || 12 ευρης 4 || 12 ευρησουσιν 4 || itd.</w:t>
            </w:r>
          </w:p>
        </w:tc>
      </w:tr>
      <w:tr>
        <w:tc>
          <w:tcPr/>
          <w:p>
            <w:pPr>
              <w:pStyle w:val="Compact"/>
              <w:jc w:val="left"/>
            </w:pPr>
            <w:r>
              <w:t xml:space="preserve">++--</w:t>
            </w:r>
          </w:p>
        </w:tc>
        <w:tc>
          <w:tcPr/>
          <w:p>
            <w:pPr>
              <w:pStyle w:val="Compact"/>
              <w:jc w:val="left"/>
            </w:pPr>
            <w:r>
              <w:t xml:space="preserve">18:17</w:t>
            </w:r>
          </w:p>
        </w:tc>
        <w:tc>
          <w:tcPr/>
          <w:p>
            <w:pPr>
              <w:pStyle w:val="Compact"/>
              <w:jc w:val="left"/>
            </w:pPr>
            <w:r>
              <w:t xml:space="preserve">ο επι των πλοιων πλεων || 2345 || 234 ομιλος || 234 ο ομιλος || itd.</w:t>
            </w:r>
          </w:p>
        </w:tc>
      </w:tr>
      <w:tr>
        <w:tc>
          <w:tcPr/>
          <w:p>
            <w:pPr>
              <w:pStyle w:val="Compact"/>
              <w:jc w:val="left"/>
            </w:pPr>
            <w:r>
              <w:t xml:space="preserve">+++</w:t>
            </w:r>
          </w:p>
        </w:tc>
        <w:tc>
          <w:tcPr/>
          <w:p>
            <w:pPr>
              <w:pStyle w:val="Compact"/>
              <w:jc w:val="left"/>
            </w:pPr>
            <w:r>
              <w:t xml:space="preserve">18:21</w:t>
            </w:r>
          </w:p>
        </w:tc>
        <w:tc>
          <w:tcPr/>
          <w:p>
            <w:pPr>
              <w:pStyle w:val="Compact"/>
              <w:jc w:val="left"/>
            </w:pPr>
            <w:r>
              <w:t xml:space="preserve">λεγων || 1 ουτως</w:t>
            </w:r>
          </w:p>
        </w:tc>
      </w:tr>
      <w:tr>
        <w:tc>
          <w:tcPr/>
          <w:p>
            <w:pPr>
              <w:pStyle w:val="Compact"/>
              <w:jc w:val="left"/>
            </w:pPr>
            <w:r>
              <w:t xml:space="preserve">+++</w:t>
            </w:r>
          </w:p>
        </w:tc>
        <w:tc>
          <w:tcPr/>
          <w:p>
            <w:pPr>
              <w:pStyle w:val="Compact"/>
              <w:jc w:val="left"/>
            </w:pPr>
            <w:r>
              <w:t xml:space="preserve">19:1</w:t>
            </w:r>
          </w:p>
        </w:tc>
        <w:tc>
          <w:tcPr/>
          <w:p>
            <w:pPr>
              <w:pStyle w:val="Compact"/>
              <w:jc w:val="left"/>
            </w:pPr>
            <w:r>
              <w:t xml:space="preserve">φωνην οχλου πολλου μεγαλην || ~ 1423 || 123 || φωνης 23</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το μετωπον αυτων || 12 || των μετωπων 3 ||</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ο ουρανος και η γη || ~ 45312</w:t>
            </w:r>
          </w:p>
        </w:tc>
      </w:tr>
      <w:tr>
        <w:tc>
          <w:tcPr/>
          <w:p>
            <w:pPr>
              <w:pStyle w:val="Compact"/>
              <w:jc w:val="left"/>
            </w:pPr>
            <w:r>
              <w:t xml:space="preserve">+++</w:t>
            </w:r>
          </w:p>
        </w:tc>
        <w:tc>
          <w:tcPr/>
          <w:p>
            <w:pPr>
              <w:pStyle w:val="Compact"/>
              <w:jc w:val="left"/>
            </w:pPr>
            <w:r>
              <w:t xml:space="preserve">20:12</w:t>
            </w:r>
            <w:r>
              <w:rPr>
                <w:vertAlign w:val="superscript"/>
              </w:rPr>
              <w:t xml:space="preserve">a</w:t>
            </w:r>
          </w:p>
        </w:tc>
        <w:tc>
          <w:tcPr/>
          <w:p>
            <w:pPr>
              <w:pStyle w:val="Compact"/>
              <w:jc w:val="left"/>
            </w:pPr>
            <w:r>
              <w:t xml:space="preserve">ανεωχθησαν || ηνεωχθησαν || ηνοιχθησαν || ηνοιξαν</w:t>
            </w:r>
          </w:p>
        </w:tc>
      </w:tr>
      <w:tr>
        <w:tc>
          <w:tcPr/>
          <w:p>
            <w:pPr>
              <w:pStyle w:val="Compact"/>
              <w:jc w:val="left"/>
            </w:pPr>
            <w:r>
              <w:t xml:space="preserve">++--</w:t>
            </w:r>
          </w:p>
        </w:tc>
        <w:tc>
          <w:tcPr/>
          <w:p>
            <w:pPr>
              <w:pStyle w:val="Compact"/>
              <w:jc w:val="left"/>
            </w:pPr>
            <w:r>
              <w:t xml:space="preserve">20:12</w:t>
            </w:r>
            <w:r>
              <w:rPr>
                <w:vertAlign w:val="superscript"/>
              </w:rPr>
              <w:t xml:space="preserve">b</w:t>
            </w:r>
          </w:p>
        </w:tc>
        <w:tc>
          <w:tcPr/>
          <w:p>
            <w:pPr>
              <w:pStyle w:val="Compact"/>
              <w:jc w:val="left"/>
            </w:pPr>
            <w:r>
              <w:t xml:space="preserve">ανεωχθη || ηνεωχθη || ηνοιχθη</w:t>
            </w:r>
          </w:p>
        </w:tc>
      </w:tr>
      <w:tr>
        <w:tc>
          <w:tcPr/>
          <w:p>
            <w:pPr>
              <w:pStyle w:val="Compact"/>
              <w:jc w:val="left"/>
            </w:pPr>
            <w:r>
              <w:t xml:space="preserve">+++</w:t>
            </w:r>
          </w:p>
        </w:tc>
        <w:tc>
          <w:tcPr/>
          <w:p>
            <w:pPr>
              <w:pStyle w:val="Compact"/>
              <w:jc w:val="left"/>
            </w:pPr>
            <w:r>
              <w:t xml:space="preserve">20:14</w:t>
            </w:r>
          </w:p>
        </w:tc>
        <w:tc>
          <w:tcPr/>
          <w:p>
            <w:pPr>
              <w:pStyle w:val="Compact"/>
              <w:jc w:val="left"/>
            </w:pPr>
            <w:r>
              <w:t xml:space="preserve">εστιν ο θανατος ο δευτερος || ~ 1453 || ~ 23451 || ~ 2351 || -- - || ~ 4531</w:t>
            </w:r>
          </w:p>
        </w:tc>
      </w:tr>
      <w:tr>
        <w:tc>
          <w:tcPr/>
          <w:p>
            <w:pPr>
              <w:pStyle w:val="Compact"/>
              <w:jc w:val="left"/>
            </w:pPr>
            <w:r>
              <w:t xml:space="preserve">+</w:t>
            </w:r>
          </w:p>
        </w:tc>
        <w:tc>
          <w:tcPr/>
          <w:p>
            <w:pPr>
              <w:pStyle w:val="Compact"/>
              <w:jc w:val="left"/>
            </w:pPr>
            <w:r>
              <w:t xml:space="preserve">21:5</w:t>
            </w:r>
          </w:p>
        </w:tc>
        <w:tc>
          <w:tcPr/>
          <w:p>
            <w:pPr>
              <w:pStyle w:val="Compact"/>
              <w:jc w:val="left"/>
            </w:pPr>
            <w:r>
              <w:t xml:space="preserve">καινα ποιω παντα || ~ 312 || ||</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αρχη και τελος || η 12 το 3 || και η 12 το 3</w:t>
            </w:r>
          </w:p>
        </w:tc>
      </w:tr>
      <w:tr>
        <w:tc>
          <w:tcPr/>
          <w:p>
            <w:pPr>
              <w:pStyle w:val="Compact"/>
              <w:jc w:val="left"/>
            </w:pPr>
            <w:r>
              <w:t xml:space="preserve">++--</w:t>
            </w:r>
          </w:p>
        </w:tc>
        <w:tc>
          <w:tcPr/>
          <w:p>
            <w:pPr>
              <w:pStyle w:val="Compact"/>
              <w:jc w:val="left"/>
            </w:pPr>
            <w:r>
              <w:t xml:space="preserve">21:10</w:t>
            </w:r>
          </w:p>
        </w:tc>
        <w:tc>
          <w:tcPr/>
          <w:p>
            <w:pPr>
              <w:pStyle w:val="Compact"/>
              <w:jc w:val="left"/>
            </w:pPr>
            <w:r>
              <w:t xml:space="preserve">την μεγαλην την αγιαν || 12 και 4 || 34</w:t>
            </w:r>
          </w:p>
        </w:tc>
      </w:tr>
      <w:tr>
        <w:tc>
          <w:tcPr/>
          <w:p>
            <w:pPr>
              <w:pStyle w:val="Compact"/>
              <w:jc w:val="left"/>
            </w:pPr>
            <w:r>
              <w:t xml:space="preserve">+</w:t>
            </w:r>
          </w:p>
        </w:tc>
        <w:tc>
          <w:tcPr/>
          <w:p>
            <w:pPr>
              <w:pStyle w:val="Compact"/>
              <w:jc w:val="left"/>
            </w:pPr>
            <w:r>
              <w:t xml:space="preserve">21:24</w:t>
            </w:r>
          </w:p>
        </w:tc>
        <w:tc>
          <w:tcPr/>
          <w:p>
            <w:pPr>
              <w:pStyle w:val="Compact"/>
              <w:jc w:val="left"/>
            </w:pPr>
            <w:r>
              <w:t xml:space="preserve">την δοξαν και την τιμην αυτων εις αυτην || 12678 || αυτω 235 των εθνων 78 ||</w:t>
            </w:r>
          </w:p>
        </w:tc>
      </w:tr>
      <w:tr>
        <w:tc>
          <w:tcPr/>
          <w:p>
            <w:pPr>
              <w:pStyle w:val="Compact"/>
              <w:jc w:val="left"/>
            </w:pPr>
            <w:r>
              <w:t xml:space="preserve">+--</w:t>
            </w:r>
          </w:p>
        </w:tc>
        <w:tc>
          <w:tcPr/>
          <w:p>
            <w:pPr>
              <w:pStyle w:val="Compact"/>
              <w:jc w:val="left"/>
            </w:pPr>
            <w:r>
              <w:t xml:space="preserve">22:2</w:t>
            </w:r>
          </w:p>
        </w:tc>
        <w:tc>
          <w:tcPr/>
          <w:p>
            <w:pPr>
              <w:pStyle w:val="Compact"/>
              <w:jc w:val="left"/>
            </w:pPr>
            <w:r>
              <w:t xml:space="preserve">εκαστον αποδιδους || 1 αποδιδον || 1 αποδιδουν || ~ 21 || ~ 2 εκαστος</w:t>
            </w:r>
          </w:p>
        </w:tc>
      </w:tr>
    </w:tbl>
    <w:p>
      <w:pPr>
        <w:pStyle w:val="BodyText"/>
      </w:pPr>
      <w:r>
        <w:rPr>
          <w:bCs/>
          <w:b/>
        </w:rPr>
        <w:t xml:space="preserve">Klucz:</w:t>
      </w:r>
    </w:p>
    <w:tbl>
      <w:tblPr>
        <w:tblStyle w:val="Table"/>
        <w:tblW w:type="pct" w:w="5000"/>
        <w:tblLook w:firstRow="0" w:lastRow="0" w:firstColumn="0" w:lastColumn="0" w:noHBand="0" w:noVBand="0" w:val="0000"/>
        <w:jc w:val="start"/>
      </w:tblPr>
      <w:tblGrid>
        <w:gridCol w:w="628"/>
        <w:gridCol w:w="7291"/>
      </w:tblGrid>
      <w:tr>
        <w:tc>
          <w:tcPr/>
          <w:p>
            <w:pPr>
              <w:pStyle w:val="Compact"/>
              <w:jc w:val="left"/>
            </w:pPr>
            <w:r>
              <w:t xml:space="preserve">+++</w:t>
            </w:r>
          </w:p>
        </w:tc>
        <w:tc>
          <w:tcPr/>
          <w:p>
            <w:pPr>
              <w:pStyle w:val="Compact"/>
              <w:jc w:val="left"/>
            </w:pPr>
            <w:r>
              <w:t xml:space="preserve">tylko</w:t>
            </w:r>
            <w:r>
              <w:t xml:space="preserve"> </w:t>
            </w:r>
            <w:r>
              <w:rPr>
                <w:bCs/>
                <w:b/>
              </w:rPr>
              <w:t xml:space="preserve">f</w:t>
            </w:r>
            <w:r>
              <w:rPr>
                <w:vertAlign w:val="superscript"/>
                <w:bCs/>
                <w:b/>
              </w:rPr>
              <w:t xml:space="preserve">35</w:t>
            </w:r>
            <w:r>
              <w:t xml:space="preserve">, albo praktycznie tylko (15)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część innej rodziny (małej) (10)</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plus (7)</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mniej niż którakolwiek z dwóch pozostałych głównych linii przekazu (25)</w:t>
            </w:r>
          </w:p>
        </w:tc>
      </w:tr>
    </w:tbl>
    <w:p>
      <w:pPr>
        <w:pStyle w:val="BodyText"/>
      </w:pPr>
      <w:r>
        <w:t xml:space="preserve">Łącznie: 62</w:t>
      </w:r>
    </w:p>
    <w:p>
      <w:pPr>
        <w:pStyle w:val="BodyText"/>
      </w:pPr>
      <w:r>
        <w:t xml:space="preserve">Oto dane zbiorcze dla całego Nowego Testamentu.</w:t>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(161)</w:t>
            </w:r>
          </w:p>
        </w:tc>
      </w:tr>
      <w:tr>
        <w:tc>
          <w:tcPr/>
          <w:p>
            <w:pPr>
              <w:pStyle w:val="Compact"/>
              <w:jc w:val="left"/>
            </w:pPr>
            <w:r>
              <w:t xml:space="preserve">++--</w:t>
            </w:r>
          </w:p>
        </w:tc>
        <w:tc>
          <w:tcPr/>
          <w:p>
            <w:pPr>
              <w:pStyle w:val="Compact"/>
              <w:jc w:val="left"/>
            </w:pPr>
            <w:r>
              <w:t xml:space="preserve">około 25% = całkiem dobre (144)</w:t>
            </w:r>
          </w:p>
        </w:tc>
      </w:tr>
      <w:tr>
        <w:tc>
          <w:tcPr/>
          <w:p>
            <w:pPr>
              <w:pStyle w:val="Compact"/>
              <w:jc w:val="left"/>
            </w:pPr>
            <w:r>
              <w:t xml:space="preserve">++</w:t>
            </w:r>
          </w:p>
        </w:tc>
        <w:tc>
          <w:tcPr/>
          <w:p>
            <w:pPr>
              <w:pStyle w:val="Compact"/>
              <w:jc w:val="left"/>
            </w:pPr>
            <w:r>
              <w:t xml:space="preserve">około 30% = niezłe (153)</w:t>
            </w:r>
          </w:p>
        </w:tc>
      </w:tr>
      <w:tr>
        <w:tc>
          <w:tcPr/>
          <w:p>
            <w:pPr>
              <w:pStyle w:val="Compact"/>
              <w:jc w:val="left"/>
            </w:pPr>
            <w:r>
              <w:t xml:space="preserve">+--</w:t>
            </w:r>
          </w:p>
        </w:tc>
        <w:tc>
          <w:tcPr/>
          <w:p>
            <w:pPr>
              <w:pStyle w:val="Compact"/>
              <w:jc w:val="left"/>
            </w:pPr>
            <w:r>
              <w:t xml:space="preserve">około 35% (81)</w:t>
            </w:r>
          </w:p>
        </w:tc>
      </w:tr>
      <w:tr>
        <w:tc>
          <w:tcPr/>
          <w:p>
            <w:pPr>
              <w:pStyle w:val="Compact"/>
              <w:jc w:val="left"/>
            </w:pPr>
            <w:r>
              <w:t xml:space="preserve">+</w:t>
            </w:r>
          </w:p>
        </w:tc>
        <w:tc>
          <w:tcPr/>
          <w:p>
            <w:pPr>
              <w:pStyle w:val="Compact"/>
              <w:jc w:val="left"/>
            </w:pPr>
            <w:r>
              <w:t xml:space="preserve">około 40% (119)</w:t>
            </w:r>
          </w:p>
        </w:tc>
      </w:tr>
    </w:tbl>
    <w:p>
      <w:pPr>
        <w:pStyle w:val="BodyText"/>
      </w:pPr>
      <w:r>
        <w:rPr>
          <w:bCs/>
          <w:b/>
        </w:rPr>
        <w:t xml:space="preserve">Łącznie: 658</w:t>
      </w:r>
    </w:p>
    <w:p>
      <w:pPr>
        <w:pStyle w:val="BodyText"/>
      </w:pPr>
      <w:r>
        <w:t xml:space="preserve">Dowody są jasne.</w:t>
      </w:r>
      <w:r>
        <w:t xml:space="preserve"> </w:t>
      </w:r>
      <w:r>
        <w:rPr>
          <w:bCs/>
          <w:b/>
        </w:rPr>
        <w:t xml:space="preserve">Rodzina 35</w:t>
      </w:r>
      <w:r>
        <w:t xml:space="preserve"> </w:t>
      </w:r>
      <w:r>
        <w:t xml:space="preserve">jest obiektywnie/empirycznie zdefiniowaną jednostką w całym Nowym Testamencie. Pozostaje sprawdzić, czy to samo można powiedzieć o jakiejkolwiek innej rodzinie lub linii przekazu —</w:t>
      </w:r>
      <w:r>
        <w:t xml:space="preserve"> </w:t>
      </w:r>
      <w:r>
        <w:rPr>
          <w:bCs/>
          <w:b/>
        </w:rPr>
        <w:t xml:space="preserve">proszę o uwagę</w:t>
      </w:r>
      <w:r>
        <w:t xml:space="preserve">: chodzi o wszystkie 27 ksiąg (pewna liczba linii ogranicza się do Ewangelii, jak</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w:t>
      </w:r>
    </w:p>
    <w:p>
      <w:pPr>
        <w:pStyle w:val="BodyText"/>
      </w:pPr>
      <w:r>
        <w:t xml:space="preserve">Rodzinę 35 charakteryzuje niewiarygodnie staranny przekaz (w przeciwieństwie do innych linii). Mam doskonałą kopię archetypalnego tekstu Rodziny 35 dla większości ksiąg Nowego Testamentu (22), mam kopie sporządzone z doskonałego egzemplarza (jak się przypuszcza) dla kolejnych czterech (4), w miarę jak kontynuuję kolacjonowanie manuskryptów, mam nadzieję dodać ostatnią (Dzieje Apostolskie), ale nawet w jej przypadku można wykazać formę archetypalną. Gdyby Bóg zachowywał oryginalne sformułowania w jakiejś linii przekazu innej niż Rodzina 35, czy linia ta byłaby choć trochę mniej staranna? Nie sądzę. Tak więc każda linia przekazu charakteryzująca się wewnętrznym pomieszaniem zostaje zdyskwalifikowana — obejmuje to</w:t>
      </w:r>
      <w:r>
        <w:t xml:space="preserve"> </w:t>
      </w:r>
      <w:r>
        <w:rPr>
          <w:bCs/>
          <w:b/>
        </w:rPr>
        <w:t xml:space="preserve">wszystkie</w:t>
      </w:r>
      <w:r>
        <w:t xml:space="preserve"> </w:t>
      </w:r>
      <w:r>
        <w:t xml:space="preserve">inne linie przekazu, które jak dotąd widziałem.</w:t>
      </w:r>
    </w:p>
    <w:bookmarkEnd w:id="207"/>
    <w:bookmarkStart w:id="217" w:name="epistemologia"/>
    <w:p>
      <w:pPr>
        <w:pStyle w:val="Heading2"/>
      </w:pPr>
      <w:r>
        <w:t xml:space="preserve">Epistemologia</w:t>
      </w:r>
    </w:p>
    <w:p>
      <w:pPr>
        <w:pStyle w:val="FirstParagraph"/>
      </w:pPr>
      <w:r>
        <w:t xml:space="preserve">Drogi czytelniku, pozwól, że zasugeruję, iż kwestia epistemologii nie otrzymała należnej jej uwagi w obrębie dyscypliny krytyki tekstu Nowego Testamentu. Epistemologia zajmuje się naturą wiedzy, w tym jej pochodzeniem i podstawami. Skąd pochodzi wiedza? „Bojaźń Pana jest początkiem wiedzy” (Księga Przysłów 1,7). Czy to się zgadza? Może się zgadzać tylko wtedy, gdy Suwerenny Stwórca istnieje — bojaźń przed nieistniejącą istotą nie doprowadzi do prawdziwej wiedzy. Każdy ewolucjonista w naturalny sposób wykluczy ponadnaturalność z każdego tworzonego przez siebie modelu, podobnie jak uczynił to Fenton John Anthony Hort. Zauważ, że taki model nie dopuszcza możliwości istnienia natchnionego przez Boga Nowego Testamentu. Hipoteza ewolucyjna, jako teoria pochodzenia, jest naukowo niemożliwa, otaczające nas dowody wyraźnie wskazują na istnienie niewiarygodnie inteligentnego i potężnego Stwórcy.</w:t>
      </w:r>
    </w:p>
    <w:p>
      <w:pPr>
        <w:pStyle w:val="BodyText"/>
      </w:pPr>
      <w:r>
        <w:t xml:space="preserve">Jeśli Stwórca istnieje i jeśli przekazał naszej rasie pisemne Objawienie, nic nie powinno być dla nas ważniejsze niż poznanie tego, co powiedział. Oczywiście dlatego, że będzie On Źródłem wszelkiej prawdziwej wiedzy. Zatrzymaj się i pomyśl. Jeśli jakaś Istota stworzyła naszą planetę wraz ze wszystkim, co się na niej znajduje, w tym wszystkie formy życia (rośliny są żywe), a zwłaszcza naszą zdolność rozumowania,</w:t>
      </w:r>
      <w:r>
        <w:rPr>
          <w:rStyle w:val="FootnoteReference"/>
        </w:rPr>
        <w:footnoteReference w:id="208"/>
      </w:r>
      <w:r>
        <w:t xml:space="preserve"> </w:t>
      </w:r>
      <w:r>
        <w:t xml:space="preserve">to oczywiście jest kompetentna, aby udzielić nam poprawnych informacji o tym, co stworzyła. Jest Źródłem obiektywnej prawdy o naszej planecie. Skąd cokolwiek „wiemy”? Tylko wtedy, gdy sami tego doświadczyliśmy albo gdy doświadczył tego ktoś inny i nam o tym powiedział. Co jednak się dzieje, gdy doświadczenia są ze sobą sprzeczne? I skąd możemy wiedzieć, czy lub kiedy poprawnie interpretujemy doświadczenie? Jak możemy radzić sobie ze sprzecznymi interpretacjami?</w:t>
      </w:r>
    </w:p>
    <w:p>
      <w:pPr>
        <w:pStyle w:val="BodyText"/>
      </w:pPr>
      <w:r>
        <w:t xml:space="preserve">Jeśli nie ma Stwórcy, który udzieliłby nam poprawnych informacji, nasza „wiedza” jest skazana na to, by zawsze pozostawać częściowa i niepewna, o ile nie jest niebezpiecznie błędna. Dotyczy to w równym stopniu tych, którzy udają, że Stwórca nie istnieje. Rezultatem jest rozpacz relatywizmu i nieustanna niepewność co do wszystkiego, co nie należy do nauk ścisłych. Król Salomon był na tyle mądry, by dojść do tego wniosku 3000 lat temu: „Marność nad marnościami, wszystko jest marnością!” (Księga Koheleta 1,2).</w:t>
      </w:r>
    </w:p>
    <w:p>
      <w:pPr>
        <w:pStyle w:val="BodyText"/>
      </w:pPr>
      <w:r>
        <w:t xml:space="preserve">Szatan od 6000 lat napełnia świat sofizmatami, dlatego nie brakuje w nim fałszywej „wiedzy” — nie najmniej w „nauce” krytyki tekstu Nowego Testamentu. Ktoś, kto twierdzi, że jest chrześcijaninem, a wyklucza ponadnaturalność ze swojego modelu roboczego, wikła się w fundamentalną sprzeczność epistemologiczną. Twierdzi, że jest chrześcijaninem, lecz pracuje jak ateista. Każdy, kto wyklucza ponadnaturalność ze swojego myślenia, w oczywisty sposób nie ma Ducha Świętego, a zatem jest całkowicie wystawiony na szatańską ingerencję w swój umysł.</w:t>
      </w:r>
      <w:r>
        <w:rPr>
          <w:rStyle w:val="FootnoteReference"/>
        </w:rPr>
        <w:footnoteReference w:id="209"/>
      </w:r>
    </w:p>
    <w:p>
      <w:pPr>
        <w:pStyle w:val="BodyText"/>
      </w:pPr>
      <w:r>
        <w:t xml:space="preserve">Nie wystarczy, by ktoś twierdził, że próbuje jedynie zachować neutralność, ani Bóg, ani Szatan nie pozwolą na neutralność. Suwerenny Stwórca, gdy chodził po tej ziemi jako Jezus, wypowiedział się na ten temat zupełnie jasno. „Kto nie jest ze mną, jest przeciwko mnie, a kto ze mną nie zbiera, rozprasza” (Ewangelia Mateusza 12,30, Ewangelia Łukasza 11,23). Proszę zauważyć, że obejmuje to zarówno to, w co wierzymy, jak i to, co robimy: rozpraszanie jest działaniem. Pracować jak ateista to być przeciwko Jezusowi. Uprawiać ateistyczną krytykę tekstu to być przeciwko Jezusowi. Neutralność nie istnieje.</w:t>
      </w:r>
    </w:p>
    <w:p>
      <w:pPr>
        <w:pStyle w:val="BodyText"/>
      </w:pPr>
      <w:r>
        <w:t xml:space="preserve">W 1881 roku, gdy Westcott i Hort opublikowali swoje dwutomowe dzieło, John William Burgon natychmiast zaczął wykazywać, że ich teoria i praca były sprzeczne z dowodami empirycznymi. Biograf Burgona napisał: „Burgon był w tym kraju (Anglii) czołowym nauczycielem religijnym swoich czasów”.</w:t>
      </w:r>
      <w:r>
        <w:rPr>
          <w:rStyle w:val="FootnoteReference"/>
        </w:rPr>
        <w:footnoteReference w:id="210"/>
      </w:r>
      <w:r>
        <w:t xml:space="preserve"> </w:t>
      </w:r>
      <w:r>
        <w:t xml:space="preserve">Burgon był człowiekiem o niekwestionowanej erudycji, jego biograf wymienia ponad pięćdziesiąt opublikowanych dzieł z bardzo różnorodnych dziedzin. Jego indeks cytatów z Nowego Testamentu u wczesnych przywódców chrześcijańskich składa się z szesnastu grubych tomów rękopiśmiennych, znajdujących się w British Library, zawiera on 86 489 cytatów.</w:t>
      </w:r>
      <w:r>
        <w:rPr>
          <w:rStyle w:val="FootnoteReference"/>
        </w:rPr>
        <w:footnoteReference w:id="211"/>
      </w:r>
      <w:r>
        <w:t xml:space="preserve"> </w:t>
      </w:r>
      <w:r>
        <w:t xml:space="preserve">Dorobkowi Burgona w tym obszarze całej dziedziny nigdy nie dorównano. Być może jest on jedyną osobą, żyjącą lub zmarłą, która osobiście skolacjonowała w całości każdy z pięciu wielkich wczesnych kodeksów majuskułowych (znanych za jego życia) — ℵ, A, B, C, D — w zakresie Nowego Testamentu. Skatalogował 374 greckie manuskrypty, w tamtych czasach nie istniały nawet mikrofilmy, musiał osobiście udać się do każdego miejsca, w którym przechowywano dany manuskrypt.</w:t>
      </w:r>
    </w:p>
    <w:p>
      <w:pPr>
        <w:pStyle w:val="BodyText"/>
      </w:pPr>
      <w:r>
        <w:t xml:space="preserve">Ponieważ Burgon znał dowody empiryczne z pierwszej ręki, jego obalenie teorii Horta nigdy nie doczekało się odpowiedzi, przynajmniej odpowiedzi opartej na dowodach. Albo go ignorowano, albo przedstawiano w fałszywym świetle: „on tylko liczy manuskrypty” — przewrotne (i groteskowe) kłamstwo, „on po prostu nie rozumie genealogii” — równie przewrotne i równie fałszywe.</w:t>
      </w:r>
      <w:r>
        <w:rPr>
          <w:rStyle w:val="FootnoteReference"/>
        </w:rPr>
        <w:footnoteReference w:id="212"/>
      </w:r>
      <w:r>
        <w:t xml:space="preserve"> </w:t>
      </w:r>
      <w:r>
        <w:t xml:space="preserve">Jednak najbardziej krzykliwym i nieustającym zarzutem było to, że jego argumentacja miała charakter teologiczny, ponieważ wierzył w boskie natchnienie Nowego Testamentu i go bronił. Właśnie tutaj pojawia się epistemologia: ataki na Burgona były w rzeczywistości atakami złośliwej epistemologii na pobożną epistemologię.</w:t>
      </w:r>
    </w:p>
    <w:p>
      <w:pPr>
        <w:pStyle w:val="BodyText"/>
      </w:pPr>
      <w:r>
        <w:t xml:space="preserve">W żadnej dziedzinie nie można pracować bez założeń. Dlatego krytykowanie kogoś za to, że je posiada, jest przewrotne. Założenia mogą jednak i powinny być oceniane. Po dokonaniu oceny dane założenie można zasadnie skrytykować. Konkretne (empiryczne) dowody są przypuszczalnie takie same dla wszystkich, lecz interpretacja nadawana dowodom będzie kontrolowana (albo przynajmniej pozostanie pod silnym wpływem) przez założenia danej osoby. Wynika z tego, że każdy uczciwy uczony powinien otwarcie przedstawić swoje założenia. Zaniechanie tego jest naganne.</w:t>
      </w:r>
      <w:r>
        <w:rPr>
          <w:rStyle w:val="FootnoteReference"/>
        </w:rPr>
        <w:footnoteReference w:id="213"/>
      </w:r>
      <w:r>
        <w:t xml:space="preserve"> </w:t>
      </w:r>
      <w:r>
        <w:t xml:space="preserve">Gdy ktoś, kto nie przedstawia swoich założeń, krytykuje za to inną osobę, jest to czymś gorszym niż przewrotność — udawanie, że samemu nie ma się żadnych założeń, jest niegodziwe (no dobrze, być może taka osoba ma jedynie wyprany umysł i została zaślepiona).</w:t>
      </w:r>
    </w:p>
    <w:p>
      <w:pPr>
        <w:pStyle w:val="BodyText"/>
      </w:pPr>
      <w:r>
        <w:t xml:space="preserve">Chociaż jako uczony nie dorównuję Burgonowi (życie z rdzennym ludem w amazońskiej dżungli nie pozwalało na badania naukowe), ja również byłem nieustannie krytykowany za otwarte wyznawanie wiary w to, że Bóg zarówno natchnął, jak i zachował Nowy Testament. Twierdzi się nawet, że takie przekonanie uniemożliwia prowadzenie obiektywnej pracy naukowej. No, no, no, skoro sługa Boga nie może wykonywać obiektywnej pracy naukowej, to sługa Szatana z całą pewnością także nie może tego robić. Na jakiej zatem podstawie sługa Szatana krytykuje sługę Boga? Czyni to na podstawie swoich założeń, swojej epistemologii.</w:t>
      </w:r>
    </w:p>
    <w:p>
      <w:pPr>
        <w:pStyle w:val="BodyText"/>
      </w:pPr>
      <w:r>
        <w:t xml:space="preserve">Pewien brat mieszkający w Kurytybie, stolicy stanu Parana, napisał niedawno wprowadzenie do książki w języku portugalskim, której jestem współautorem. Chwali w nim moją pracę z punktu widzenia epistemologii. Jego argument wydał mi się tak interesujący (zainspirował ten artykuł), że go przetłumaczyłem, przesłałem mu tłumaczenie, aby upewnić się, że dobrze go zrozumiałem, i poprosiłem o zgodę na jego wykorzystanie. Nazywa się Carlos Eduardo Rangel Xavier. Proszę, abyście skupili się na jego argumencie i nie dali się rozproszyć pochwałom.</w:t>
      </w:r>
    </w:p>
    <w:p>
      <w:pPr>
        <w:pStyle w:val="BlockText"/>
      </w:pPr>
      <w:r>
        <w:t xml:space="preserve">Praca dr. Pickeringa w obrębie krytyki tekstu Nowego Testamentu (chociaż on sam nie uważa się za krytyka tekstu</w:t>
      </w:r>
      <w:r>
        <w:rPr>
          <w:rStyle w:val="FootnoteReference"/>
        </w:rPr>
        <w:footnoteReference w:id="214"/>
      </w:r>
      <w:r>
        <w:t xml:space="preserve">), zwłaszcza w zakresie kolacjonowania manuskryptów, jest imponująca i niezrównana. Co więcej, jego teoria dotycząca zachowania Nowego Testamentu za pośrednictwem grupy manuskryptów, którą określa mianem Rodziny 35, odznacza się równie imponującą solidnością epistemologiczną, rygorem metodologicznym i wartością apologetyczną.</w:t>
      </w:r>
    </w:p>
    <w:p>
      <w:pPr>
        <w:pStyle w:val="BlockText"/>
      </w:pPr>
      <w:r>
        <w:t xml:space="preserve">Z epistemologicznego i apologetycznego punktu widzenia jego praca wychodzi od założonej przesłanki, że Bóg przekazał rasie ludzkiej pisemne objawienie, co nie miałoby sensu, gdyby Jego Boska opatrzność nie miała zachować tego pisemnego objawienia. Jak w przypadku każdej epistemologicznej pierwszej zasady, punkt ten musi zostać przyjęty jako założenie, a dr Pickering zawsze nalegał, aby bardzo jasno przedstawiać swoje założenia, wykazując tym samym uczciwość intelektualną.</w:t>
      </w:r>
    </w:p>
    <w:p>
      <w:pPr>
        <w:pStyle w:val="BlockText"/>
      </w:pPr>
      <w:r>
        <w:t xml:space="preserve">Jednak imponujący rygor metodologiczny teorii dr. Pickeringa ujawnia się w analizie dowodów empirycznych.</w:t>
      </w:r>
    </w:p>
    <w:p>
      <w:pPr>
        <w:pStyle w:val="BlockText"/>
      </w:pPr>
      <w:r>
        <w:t xml:space="preserve">Chociaż nalegam, by podkreślić, że jego teoria ma założeniową podstawę epistemologiczną, przedstawię jednak rozważenie dowodów empirycznych, posługując się zupełnie inną osią. W następstwie wpływu, jaki uczeni tacy jak Alvin Plantinga i William Lane Craig wywarli ostatnio na moje studia, posłużę się teraz logiką modalną, aby pracować na gruncie apologetyki dowodowej.</w:t>
      </w:r>
    </w:p>
    <w:p>
      <w:pPr>
        <w:pStyle w:val="BlockText"/>
      </w:pPr>
      <w:r>
        <w:t xml:space="preserve">Wyjaśniwszy zatem, że poniższe wersy odnoszą się wyłącznie do opracowywanej tutaj przeze mnie argumentacji perswazyjnej, wykorzystującej logikę modalną (a nie do sposobu, w jaki dr Pickering konstruuje swoje argumenty), mogę sformułować następujące przesłanki jako podstawę rozumowania o zachowaniu Tekstu Nowego Testamentu, którego przykładem jest Rodzina 35.</w:t>
      </w:r>
    </w:p>
    <w:p>
      <w:pPr>
        <w:numPr>
          <w:ilvl w:val="0"/>
          <w:numId w:val="1009"/>
        </w:numPr>
        <w:pStyle w:val="BlockText"/>
      </w:pPr>
      <w:r>
        <w:t xml:space="preserve">Możliwe, że Bóg przekazał rasie ludzkiej pisemne objawienie.</w:t>
      </w:r>
    </w:p>
    <w:p>
      <w:pPr>
        <w:numPr>
          <w:ilvl w:val="0"/>
          <w:numId w:val="1009"/>
        </w:numPr>
        <w:pStyle w:val="BlockText"/>
      </w:pPr>
      <w:r>
        <w:t xml:space="preserve">Jeśli Bóg przekazał nam takie objawienie, rozsądne jest, że zostało ono zachowane.</w:t>
      </w:r>
    </w:p>
    <w:p>
      <w:pPr>
        <w:numPr>
          <w:ilvl w:val="0"/>
          <w:numId w:val="1009"/>
        </w:numPr>
        <w:pStyle w:val="BlockText"/>
      </w:pPr>
      <w:r>
        <w:t xml:space="preserve">Istnienie zachowanego tekstu potwierdza punkty 1) i 2).</w:t>
      </w:r>
    </w:p>
    <w:p>
      <w:pPr>
        <w:numPr>
          <w:ilvl w:val="0"/>
          <w:numId w:val="1009"/>
        </w:numPr>
        <w:pStyle w:val="BlockText"/>
      </w:pPr>
      <w:r>
        <w:t xml:space="preserve">Jedynym typem tekstu, który obiektywnie stanowi przykład punktu 3), jest typ Rodziny 35.</w:t>
      </w:r>
    </w:p>
    <w:p>
      <w:pPr>
        <w:pStyle w:val="BlockText"/>
      </w:pPr>
      <w:r>
        <w:t xml:space="preserve">Wiara w istnienie Boga jest decyzją wiary. Nie jest jednak wiarą irracjonalną, ponieważ wiara chrześcijańska stanowi, jak argumentował Alvin Platinga, przekonanie posiadające uzasadnienie epistemiczne i dlatego odpowiada prawdziwej wiedzy, jeśli przedmiot tego przekonania jest prawdziwy. W tej dziedzinie funkcjonują tradycyjne argumenty apologetyczne na rzecz istnienia Boga.</w:t>
      </w:r>
    </w:p>
    <w:p>
      <w:pPr>
        <w:pStyle w:val="BlockText"/>
      </w:pPr>
      <w:r>
        <w:t xml:space="preserve">Z drugiej strony, historyczne rozważenie osoby Jezusa wiąże się z kwestią objawienia, ponieważ wszystkie podstawowe fakty wiary chrześcijańskiej prowadzą do Chrystusa jako punktu kulminacyjnego procesu samoobjawienia się Boga w Historii.</w:t>
      </w:r>
    </w:p>
    <w:p>
      <w:pPr>
        <w:pStyle w:val="BlockText"/>
      </w:pPr>
      <w:r>
        <w:t xml:space="preserve">Jeśli zatem istnieje Bóg, który stworzył wszystkie rzeczy, i jeśli postanowił objawić się nam w Chrystusie, całkowicie rozsądne jest wywnioskowanie, że przekazał nam również pisemne objawienie i je zachował.</w:t>
      </w:r>
    </w:p>
    <w:p>
      <w:pPr>
        <w:pStyle w:val="BlockText"/>
      </w:pPr>
      <w:r>
        <w:t xml:space="preserve">Innymi słowy, jedyną przesłanką dodaną w drodze wnioskowania do podstawowych faktów wiary chrześcijańskiej jest zachowanie Tekstu Nowego Testamentu. Oznacza to, że trynitarny teizm dr. Pickeringa zakłada nie tylko Boga będącego Stwórcą, Odkupicielem i Opiekunem, ale przez proste racjonalne wnioskowanie dodaje do Bożej Opatrzności zachowanie Tekstu Nowego Testamentu.</w:t>
      </w:r>
    </w:p>
    <w:p>
      <w:pPr>
        <w:pStyle w:val="BlockText"/>
      </w:pPr>
      <w:r>
        <w:t xml:space="preserve">Jakkolwiek by było, należy zauważyć, że choć dowiedzenie punktu 1) przypisałem tradycyjnej apologetyce, a ponadto punkt 2) można rozsądnie wywnioskować na podstawie punktu 1), pozostaje faktem, że na potrzeby analizy argumentu twierdzenie 3) wynika z punktów 1) i 2). Cała ważność argumentu zależy zatem wyłącznie od dowiedzenia punktu 4), to znaczy, że tekst Rodziny 35 jest jedynym typem tekstu Nowego Testamentu, o którym można obiektywnie wykazać, że został zachowany. Właśnie tutaj do głosu dochodzi praca dr. Pickeringa.</w:t>
      </w:r>
    </w:p>
    <w:p>
      <w:pPr>
        <w:pStyle w:val="BlockText"/>
      </w:pPr>
      <w:r>
        <w:t xml:space="preserve">Dokładnie w tym punkcie, przy wykazywaniu twierdzenia 4), praca dr. Pickeringa przestaje mieć charakter jedynie założeniowy i staje się empiryczna, analizując dowody w obiektywny sposób, do czego dąży każdy szanowany współczesny naukowiec.</w:t>
      </w:r>
    </w:p>
    <w:p>
      <w:pPr>
        <w:pStyle w:val="BlockText"/>
      </w:pPr>
      <w:r>
        <w:t xml:space="preserve">Oznacza to, że wykazanie starożytności i niezależności tekstu Rodziny 35 opiera się na obiektywnych argumentach i porównaniu dowodów (wszystkich zachowanych manuskryptów). Także w tej dziedzinie praca dr. Pickeringa jest niezrównana.</w:t>
      </w:r>
    </w:p>
    <w:p>
      <w:pPr>
        <w:pStyle w:val="BlockText"/>
      </w:pPr>
      <w:r>
        <w:t xml:space="preserve">Korzystając z korelacji z apologetyką, mogę stwierdzić, że praca dr. Pickeringa z dowodami, podobnie jak apologetyka chrześcijańska, posługuje się zarówno strategią obrony, jak i ataku.</w:t>
      </w:r>
    </w:p>
    <w:p>
      <w:pPr>
        <w:pStyle w:val="BlockText"/>
      </w:pPr>
      <w:r>
        <w:t xml:space="preserve">Z punktu widzenia obrony jego praca polega na wskazaniu niespójności subiektywnych postulatów teorii eklektycznej oraz na obiektywnym wykazaniu niższej jakości najwcześniejszych manuskryptów.</w:t>
      </w:r>
    </w:p>
    <w:p>
      <w:pPr>
        <w:pStyle w:val="BlockText"/>
      </w:pPr>
      <w:r>
        <w:t xml:space="preserve">Z punktu widzenia ataku jego praca polega na przyjrzeniu się możliwym liniom przekazu tekstu i obiektywnym przeanalizowaniu dostępnych dowodów — to znaczy manuskryptów. Doszedł on do wniosku, że Rodzina 35 jest jedynym archetypem tekstu całego Nowego Testamentu, który można obiektywnie wykazać. (Z pewnością jest jedynym, który wykazano do tej pory).</w:t>
      </w:r>
    </w:p>
    <w:p>
      <w:pPr>
        <w:pStyle w:val="FirstParagraph"/>
      </w:pPr>
      <w:r>
        <w:t xml:space="preserve">Dziękuję, profesorze Xavier! Każdy, kto uczciwie odnosi się do mojej pracy,</w:t>
      </w:r>
      <w:r>
        <w:rPr>
          <w:rStyle w:val="FootnoteReference"/>
        </w:rPr>
        <w:footnoteReference w:id="215"/>
      </w:r>
      <w:r>
        <w:t xml:space="preserve"> </w:t>
      </w:r>
      <w:r>
        <w:t xml:space="preserve">wie, że nie posługuję się argumentami ponadnaturalnymi ani teologicznymi, aby bronić boskiego zachowania tekstu Nowego Testamentu. Moje twierdzenie, że Rodzina 35 zachowuje oryginalne sformułowania, opiera się w całości na dowodach empirycznych i logicznym wnioskowaniu opartym na tych dowodach. Jeśli w ogóle odwołuję się do Bożej opatrzności, to wyłącznie po to, by wyjaśnić fakty, a nie by do nich dojść. Jedynym sposobem wyjaśnienia wewnętrznego charakteru Rodziny 35 jest zrozumienie, że Bóg zachowywał Swój Tekst.</w:t>
      </w:r>
    </w:p>
    <w:p>
      <w:pPr>
        <w:pStyle w:val="BodyText"/>
      </w:pPr>
      <w:r>
        <w:t xml:space="preserve">Nalegam, że nie jestem czystym empirystą. Moja praca jest zakotwiczona w przesłance transcendentalnej. Moje kolacjonowanie manuskryptów dostarczyło empirycznego poświadczenia tej przesłanki. Nie posługuję się przesłanką, aby dojść do faktów, dochodzę do faktów empirycznie. Posługuję się przesłanką, aby wyjaśnić fakty po ich empirycznym ustaleniu.</w:t>
      </w:r>
      <w:r>
        <w:t xml:space="preserve"> </w:t>
      </w:r>
      <w:r>
        <w:rPr>
          <w:bCs/>
          <w:b/>
        </w:rPr>
        <w:t xml:space="preserve">Moja epistemologia opiera się na osobie i dziele Suwerennego Jezusa.</w:t>
      </w:r>
      <w:r>
        <w:rPr>
          <w:rStyle w:val="FootnoteReference"/>
        </w:rPr>
        <w:footnoteReference w:id="216"/>
      </w:r>
    </w:p>
    <w:bookmarkEnd w:id="217"/>
    <w:bookmarkStart w:id="224" w:name="Xc80f99dd4fbb21d79d8909c0f0d5a69f0b2a8f4"/>
    <w:p>
      <w:pPr>
        <w:pStyle w:val="Heading2"/>
      </w:pPr>
      <w:r>
        <w:t xml:space="preserve">Datowanie</w:t>
      </w:r>
      <w:r>
        <w:t xml:space="preserve"> </w:t>
      </w:r>
      <w:r>
        <w:rPr>
          <w:bCs/>
          <w:b/>
        </w:rPr>
        <w:t xml:space="preserve">K</w:t>
      </w:r>
      <w:r>
        <w:rPr>
          <w:vertAlign w:val="superscript"/>
          <w:bCs/>
          <w:b/>
        </w:rPr>
        <w:t xml:space="preserve">r</w:t>
      </w:r>
      <w:r>
        <w:t xml:space="preserve"> </w:t>
      </w:r>
      <w:r>
        <w:t xml:space="preserve">(alias</w:t>
      </w:r>
      <w:r>
        <w:t xml:space="preserve"> </w:t>
      </w:r>
      <w:r>
        <w:rPr>
          <w:bCs/>
          <w:b/>
        </w:rPr>
        <w:t xml:space="preserve">f</w:t>
      </w:r>
      <w:r>
        <w:rPr>
          <w:vertAlign w:val="superscript"/>
          <w:bCs/>
          <w:b/>
        </w:rPr>
        <w:t xml:space="preserve">35</w:t>
      </w:r>
      <w:r>
        <w:t xml:space="preserve">, dawniej</w:t>
      </w:r>
      <w:r>
        <w:t xml:space="preserve"> </w:t>
      </w:r>
      <w:r>
        <w:rPr>
          <w:bCs/>
          <w:b/>
        </w:rPr>
        <w:t xml:space="preserve">f</w:t>
      </w:r>
      <w:r>
        <w:rPr>
          <w:vertAlign w:val="superscript"/>
          <w:bCs/>
          <w:b/>
        </w:rPr>
        <w:t xml:space="preserve">18</w:t>
      </w:r>
      <w:r>
        <w:t xml:space="preserve">) ponownie rozważone</w:t>
      </w:r>
    </w:p>
    <w:p>
      <w:pPr>
        <w:pStyle w:val="FirstParagraph"/>
      </w:pPr>
      <w:r>
        <w:t xml:space="preserve">Kiedy Hermann von Soden zidentyfikował</w:t>
      </w:r>
      <w:r>
        <w:t xml:space="preserve"> </w:t>
      </w:r>
      <w:r>
        <w:rPr>
          <w:bCs/>
          <w:b/>
        </w:rPr>
        <w:t xml:space="preserve">K</w:t>
      </w:r>
      <w:r>
        <w:rPr>
          <w:vertAlign w:val="superscript"/>
          <w:bCs/>
          <w:b/>
        </w:rPr>
        <w:t xml:space="preserve">r</w:t>
      </w:r>
      <w:r>
        <w:t xml:space="preserve"> </w:t>
      </w:r>
      <w:r>
        <w:t xml:space="preserve">i ogłosił, że jest to rewizja</w:t>
      </w:r>
      <w:r>
        <w:t xml:space="preserve"> </w:t>
      </w:r>
      <w:r>
        <w:rPr>
          <w:bCs/>
          <w:b/>
        </w:rPr>
        <w:t xml:space="preserve">K</w:t>
      </w:r>
      <w:r>
        <w:rPr>
          <w:vertAlign w:val="superscript"/>
          <w:bCs/>
          <w:b/>
        </w:rPr>
        <w:t xml:space="preserve">x</w:t>
      </w:r>
      <w:r>
        <w:t xml:space="preserve"> </w:t>
      </w:r>
      <w:r>
        <w:t xml:space="preserve">dokonana w XII wieku, wyświadczył znaczną niedźwiedzią przysługę Prawdzie oraz tym, którzy są zainteresowani ustaleniem oryginalnych sformułowań Tekstu Nowego Testamentu. W tej części argumentuję, że gdyby von Soden rzeczywiście zwrócił uwagę na dowody dostępne za jego czasów, nie mógłby dopuścić się takiej niesprawiedliwości.</w:t>
      </w:r>
    </w:p>
    <w:p>
      <w:pPr>
        <w:pStyle w:val="BodyText"/>
      </w:pPr>
      <w:r>
        <w:t xml:space="preserve">Osoby zaznajomione z moją pracą wiedzą, że zacząłem od używania</w:t>
      </w:r>
      <w:r>
        <w:t xml:space="preserve"> </w:t>
      </w:r>
      <w:r>
        <w:rPr>
          <w:bCs/>
          <w:b/>
        </w:rPr>
        <w:t xml:space="preserve">f</w:t>
      </w:r>
      <w:r>
        <w:rPr>
          <w:vertAlign w:val="superscript"/>
          <w:bCs/>
          <w:b/>
        </w:rPr>
        <w:t xml:space="preserve">18</w:t>
      </w:r>
      <w:r>
        <w:t xml:space="preserve"> </w:t>
      </w:r>
      <w:r>
        <w:t xml:space="preserve">zamiast</w:t>
      </w:r>
      <w:r>
        <w:t xml:space="preserve"> </w:t>
      </w:r>
      <w:r>
        <w:rPr>
          <w:bCs/>
          <w:b/>
        </w:rPr>
        <w:t xml:space="preserve">K</w:t>
      </w:r>
      <w:r>
        <w:rPr>
          <w:vertAlign w:val="superscript"/>
          <w:bCs/>
          <w:b/>
        </w:rPr>
        <w:t xml:space="preserve">r</w:t>
      </w:r>
      <w:r>
        <w:t xml:space="preserve">, ponieważ minuskuł 18 jest członkiem rodziny o najniższym numerze. Następnie przeszedłem na</w:t>
      </w:r>
      <w:r>
        <w:t xml:space="preserve"> </w:t>
      </w:r>
      <w:r>
        <w:rPr>
          <w:bCs/>
          <w:b/>
        </w:rPr>
        <w:t xml:space="preserve">f</w:t>
      </w:r>
      <w:r>
        <w:rPr>
          <w:vertAlign w:val="superscript"/>
          <w:bCs/>
          <w:b/>
        </w:rPr>
        <w:t xml:space="preserve">35</w:t>
      </w:r>
      <w:r>
        <w:t xml:space="preserve"> </w:t>
      </w:r>
      <w:r>
        <w:t xml:space="preserve">z następujących powodów: 1) chociaż 18 jest niekiedy czystszym przedstawicielem typu tekstu niż minuskuł 35, w Objawieniu Jana 18 przechodzi do innego typu, podczas gdy 35 pozostaje wierny (oba manuskrypty zawierają cały Nowy Testament), 2) podczas gdy 18 datowany jest na XIV wiek, 35 datowany jest na XI, a zatem sam jeden zadaje kłam twierdzeniu von Sodena, że</w:t>
      </w:r>
      <w:r>
        <w:t xml:space="preserve"> </w:t>
      </w:r>
      <w:r>
        <w:rPr>
          <w:bCs/>
          <w:b/>
        </w:rPr>
        <w:t xml:space="preserve">K</w:t>
      </w:r>
      <w:r>
        <w:rPr>
          <w:vertAlign w:val="superscript"/>
          <w:bCs/>
          <w:b/>
        </w:rPr>
        <w:t xml:space="preserve">r</w:t>
      </w:r>
      <w:r>
        <w:t xml:space="preserve"> </w:t>
      </w:r>
      <w:r>
        <w:t xml:space="preserve">powstał w XII wieku. Co więcej, jeśli 35 jest kopią, a nie nowym tworem, jego egzemplarz musiał być starszy, i tak dalej.</w:t>
      </w:r>
    </w:p>
    <w:p>
      <w:pPr>
        <w:pStyle w:val="BodyText"/>
      </w:pPr>
      <w:r>
        <w:t xml:space="preserve">Po dokonaniu pełnego kolacjonowania 1389 manuskryptów zawierających całą</w:t>
      </w:r>
      <w:r>
        <w:t xml:space="preserve"> </w:t>
      </w:r>
      <w:r>
        <w:rPr>
          <w:iCs/>
          <w:i/>
        </w:rPr>
        <w:t xml:space="preserve">Pericope Adulterae</w:t>
      </w:r>
      <w:r>
        <w:t xml:space="preserve"> </w:t>
      </w:r>
      <w:r>
        <w:t xml:space="preserve">(istniało jeszcze kilka innych, które z pewnością zawierają tę perykopę, lecz nie można ich było skolacjonować z powodu nieczytelnego mikrofilmu), Maurice Robinson doszedł do następującego wniosku:</w:t>
      </w:r>
    </w:p>
    <w:p>
      <w:pPr>
        <w:pStyle w:val="BlockText"/>
      </w:pPr>
      <w:r>
        <w:t xml:space="preserve">Na podstawie skolacjonowanych danych autor niniejszych słów jest zmuszony odwrócić swoje wcześniejsze założenia dotyczące rozwoju oraz odtworzenia/zachowania bizantyjskiej formy tekstu w następującym sensie: chociaż sam przekaz tekstu jest procesem, wydaje się, że w przeważającej części linie przekazu pozostawały odrębne, a mieszanie zachodziło lub utrwalało się w stosunkowo niewielkim stopniu…</w:t>
      </w:r>
    </w:p>
    <w:p>
      <w:pPr>
        <w:pStyle w:val="BlockText"/>
      </w:pPr>
      <w:r>
        <w:t xml:space="preserve">Z pewnością wszystkie typy tekstu</w:t>
      </w:r>
      <w:r>
        <w:t xml:space="preserve"> </w:t>
      </w:r>
      <w:r>
        <w:rPr>
          <w:iCs/>
          <w:i/>
        </w:rPr>
        <w:t xml:space="preserve">PA</w:t>
      </w:r>
      <w:r>
        <w:t xml:space="preserve"> </w:t>
      </w:r>
      <w:r>
        <w:t xml:space="preserve">są odrębne i odzwierciedlają długą linię przekazu i zachowania w swojej odrębnej integralności…</w:t>
      </w:r>
    </w:p>
    <w:p>
      <w:pPr>
        <w:pStyle w:val="BlockText"/>
      </w:pPr>
      <w:r>
        <w:t xml:space="preserve">Wydaje się zatem, że bizantyjskie minuskułowe manuskrypty zachowują linie przekazu, które są nie tylko niezależne, ale z konieczności musiały powstać na długo przed IX wiekiem.</w:t>
      </w:r>
      <w:r>
        <w:rPr>
          <w:rStyle w:val="FootnoteReference"/>
        </w:rPr>
        <w:footnoteReference w:id="218"/>
      </w:r>
    </w:p>
    <w:p>
      <w:pPr>
        <w:pStyle w:val="FirstParagraph"/>
      </w:pPr>
      <w:r>
        <w:t xml:space="preserve">W porządku. Jeśli</w:t>
      </w:r>
      <w:r>
        <w:t xml:space="preserve"> </w:t>
      </w:r>
      <w:r>
        <w:rPr>
          <w:bCs/>
          <w:b/>
        </w:rPr>
        <w:t xml:space="preserve">K</w:t>
      </w:r>
      <w:r>
        <w:rPr>
          <w:vertAlign w:val="superscript"/>
          <w:bCs/>
          <w:b/>
        </w:rPr>
        <w:t xml:space="preserve">r</w:t>
      </w:r>
      <w:r>
        <w:t xml:space="preserve"> </w:t>
      </w:r>
      <w:r>
        <w:t xml:space="preserve">(</w:t>
      </w:r>
      <w:r>
        <w:rPr>
          <w:bCs/>
          <w:b/>
        </w:rPr>
        <w:t xml:space="preserve">M</w:t>
      </w:r>
      <w:r>
        <w:rPr>
          <w:vertAlign w:val="superscript"/>
          <w:bCs/>
          <w:b/>
        </w:rPr>
        <w:t xml:space="preserve">7</w:t>
      </w:r>
      <w:r>
        <w:t xml:space="preserve">) został zachowany w swojej „odrębnej integralności” podczas „długiej linii przekazu”, to musiał powstać „na długo przed IX wiekiem”. Oprócz świadectwa 35 kolacjonowania Robinsona wykazują, że minuskuł 1166 i lekcjonarz 139, oba z X wieku, odzwierciedlają</w:t>
      </w:r>
      <w:r>
        <w:t xml:space="preserve"> </w:t>
      </w:r>
      <w:r>
        <w:rPr>
          <w:bCs/>
          <w:b/>
        </w:rPr>
        <w:t xml:space="preserve">K</w:t>
      </w:r>
      <w:r>
        <w:rPr>
          <w:vertAlign w:val="superscript"/>
          <w:bCs/>
          <w:b/>
        </w:rPr>
        <w:t xml:space="preserve">r</w:t>
      </w:r>
      <w:r>
        <w:t xml:space="preserve">. Jeśli są kopiami, a nie nowymi tworami, ich egzemplarze musiały być starsze, i tak dalej. Bez przytaczania dalszych dowodów można uczciwie stwierdzić, że</w:t>
      </w:r>
      <w:r>
        <w:t xml:space="preserve"> </w:t>
      </w:r>
      <w:r>
        <w:rPr>
          <w:bCs/>
          <w:b/>
        </w:rPr>
        <w:t xml:space="preserve">K</w:t>
      </w:r>
      <w:r>
        <w:rPr>
          <w:vertAlign w:val="superscript"/>
          <w:bCs/>
          <w:b/>
        </w:rPr>
        <w:t xml:space="preserve">r</w:t>
      </w:r>
      <w:r>
        <w:t xml:space="preserve"> </w:t>
      </w:r>
      <w:r>
        <w:t xml:space="preserve">musiał istnieć już w IX wieku, jeśli nie w VIII.</w:t>
      </w:r>
    </w:p>
    <w:p>
      <w:pPr>
        <w:pStyle w:val="BodyText"/>
      </w:pPr>
      <w:r>
        <w:t xml:space="preserve">Od lat, na podstawie serii</w:t>
      </w:r>
      <w:r>
        <w:t xml:space="preserve"> </w:t>
      </w:r>
      <w:r>
        <w:rPr>
          <w:iCs/>
          <w:i/>
        </w:rPr>
        <w:t xml:space="preserve">Text und Textwert</w:t>
      </w:r>
      <w:r>
        <w:t xml:space="preserve">, nalegam, że</w:t>
      </w:r>
      <w:r>
        <w:t xml:space="preserve"> </w:t>
      </w:r>
      <w:r>
        <w:rPr>
          <w:bCs/>
          <w:b/>
        </w:rPr>
        <w:t xml:space="preserve">K</w:t>
      </w:r>
      <w:r>
        <w:rPr>
          <w:vertAlign w:val="superscript"/>
          <w:bCs/>
          <w:b/>
        </w:rPr>
        <w:t xml:space="preserve">r</w:t>
      </w:r>
      <w:r>
        <w:t xml:space="preserve"> </w:t>
      </w:r>
      <w:r>
        <w:t xml:space="preserve">jest zarówno starożytny, jak i niezależny. Wydaje się, że Robinson się z tym zgadza. „Brak szeroko zakrojonego porównywania krzyżowego i poprawiania, wykazany w zachowanych manuskryptach zawierających</w:t>
      </w:r>
      <w:r>
        <w:t xml:space="preserve"> </w:t>
      </w:r>
      <w:r>
        <w:rPr>
          <w:iCs/>
          <w:i/>
        </w:rPr>
        <w:t xml:space="preserve">PA</w:t>
      </w:r>
      <w:r>
        <w:t xml:space="preserve">, wyklucza łatwe powstanie którejkolwiek istniejącej formy tekstu</w:t>
      </w:r>
      <w:r>
        <w:t xml:space="preserve"> </w:t>
      </w:r>
      <w:r>
        <w:rPr>
          <w:iCs/>
          <w:i/>
        </w:rPr>
        <w:t xml:space="preserve">PA</w:t>
      </w:r>
      <w:r>
        <w:t xml:space="preserve"> </w:t>
      </w:r>
      <w:r>
        <w:t xml:space="preserve">z jakiejkolwiek innej formy tekstu</w:t>
      </w:r>
      <w:r>
        <w:t xml:space="preserve"> </w:t>
      </w:r>
      <w:r>
        <w:rPr>
          <w:iCs/>
          <w:i/>
        </w:rPr>
        <w:t xml:space="preserve">PA</w:t>
      </w:r>
      <w:r>
        <w:t xml:space="preserve">, przynajmniej w erze pergaminowej”.</w:t>
      </w:r>
      <w:r>
        <w:rPr>
          <w:rStyle w:val="FootnoteReference"/>
        </w:rPr>
        <w:footnoteReference w:id="219"/>
      </w:r>
      <w:r>
        <w:t xml:space="preserve"> </w:t>
      </w:r>
      <w:r>
        <w:t xml:space="preserve">„Era pergaminowa” — czy nie cofa nas to przynajmniej do IV wieku? W rzeczy samej, tak. Rozważmy:</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Dzieje Apostolskie 4,34 —</w:t>
            </w:r>
          </w:p>
        </w:tc>
        <w:tc>
          <w:tcPr/>
          <w:p>
            <w:pPr>
              <w:pStyle w:val="Compact"/>
              <w:jc w:val="left"/>
            </w:pPr>
            <w:r>
              <w:t xml:space="preserve">τις ην</w:t>
            </w:r>
          </w:p>
        </w:tc>
        <w:tc>
          <w:tcPr/>
          <w:p>
            <w:pPr>
              <w:pStyle w:val="Compact"/>
              <w:jc w:val="left"/>
            </w:pPr>
            <w:r>
              <w:rPr>
                <w:bCs/>
                <w:b/>
              </w:rPr>
              <w:t xml:space="preserve">K</w:t>
            </w:r>
            <w:r>
              <w:rPr>
                <w:vertAlign w:val="superscript"/>
                <w:bCs/>
                <w:b/>
              </w:rPr>
              <w:t xml:space="preserve">r</w:t>
            </w:r>
            <w:r>
              <w:t xml:space="preserve"> </w:t>
            </w:r>
            <w:r>
              <w:t xml:space="preserve">ℵA (~21 B) (</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pochodzą z IV wieku)</w:t>
            </w:r>
          </w:p>
        </w:tc>
      </w:tr>
      <w:tr>
        <w:tc>
          <w:tcPr/>
          <w:p>
            <w:pPr>
              <w:pStyle w:val="Compact"/>
            </w:pPr>
          </w:p>
        </w:tc>
        <w:tc>
          <w:tcPr/>
          <w:p>
            <w:pPr>
              <w:pStyle w:val="Compact"/>
              <w:jc w:val="left"/>
            </w:pPr>
            <w:r>
              <w:t xml:space="preserve">τις υπηρχεν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8</w:t>
            </w:r>
            <w:r>
              <w:t xml:space="preserve">D</w:t>
            </w:r>
          </w:p>
        </w:tc>
      </w:tr>
      <w:tr>
        <w:tc>
          <w:tcPr/>
          <w:p>
            <w:pPr>
              <w:pStyle w:val="Compact"/>
              <w:jc w:val="left"/>
            </w:pPr>
            <w:r>
              <w:t xml:space="preserve">Dzieje Apostolskie 15,7 —</w:t>
            </w:r>
          </w:p>
        </w:tc>
        <w:tc>
          <w:tcPr/>
          <w:p>
            <w:pPr>
              <w:pStyle w:val="Compact"/>
              <w:jc w:val="left"/>
            </w:pPr>
            <w:r>
              <w:t xml:space="preserve">εν υμιν</w:t>
            </w:r>
          </w:p>
        </w:tc>
        <w:tc>
          <w:tcPr/>
          <w:p>
            <w:pPr>
              <w:pStyle w:val="Compact"/>
              <w:jc w:val="left"/>
            </w:pPr>
            <w:r>
              <w:rPr>
                <w:bCs/>
                <w:b/>
              </w:rPr>
              <w:t xml:space="preserve">K</w:t>
            </w:r>
            <w:r>
              <w:rPr>
                <w:vertAlign w:val="superscript"/>
                <w:bCs/>
                <w:b/>
              </w:rPr>
              <w:t xml:space="preserve">r</w:t>
            </w:r>
            <w:r>
              <w:t xml:space="preserve"> </w:t>
            </w:r>
            <w:r>
              <w:t xml:space="preserve">ℵABC,it</w:t>
            </w:r>
            <w:r>
              <w:rPr>
                <w:vertAlign w:val="superscript"/>
              </w:rPr>
              <w:t xml:space="preserve">pt</w:t>
            </w:r>
            <w:r>
              <w:t xml:space="preserve"> </w:t>
            </w:r>
            <w:r>
              <w:t xml:space="preserve">(</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są starożytne)</w:t>
            </w:r>
          </w:p>
        </w:tc>
      </w:tr>
      <w:tr>
        <w:tc>
          <w:tcPr/>
          <w:p>
            <w:pPr>
              <w:pStyle w:val="Compact"/>
            </w:pPr>
          </w:p>
        </w:tc>
        <w:tc>
          <w:tcPr/>
          <w:p>
            <w:pPr>
              <w:pStyle w:val="Compact"/>
              <w:jc w:val="left"/>
            </w:pPr>
            <w:r>
              <w:t xml:space="preserve">εν ημιν</w:t>
            </w:r>
          </w:p>
        </w:tc>
        <w:tc>
          <w:tcPr/>
          <w:p>
            <w:pPr>
              <w:pStyle w:val="Compact"/>
              <w:jc w:val="left"/>
            </w:pPr>
            <w:r>
              <w:rPr>
                <w:bCs/>
                <w:b/>
              </w:rPr>
              <w:t xml:space="preserve">K</w:t>
            </w:r>
            <w:r>
              <w:rPr>
                <w:vertAlign w:val="superscript"/>
                <w:bCs/>
                <w:b/>
              </w:rPr>
              <w:t xml:space="preserve">x</w:t>
            </w:r>
            <w:r>
              <w:t xml:space="preserve">(D)lat</w:t>
            </w:r>
          </w:p>
        </w:tc>
      </w:tr>
      <w:tr>
        <w:tc>
          <w:tcPr/>
          <w:p>
            <w:pPr>
              <w:pStyle w:val="Compact"/>
              <w:jc w:val="left"/>
            </w:pPr>
            <w:r>
              <w:t xml:space="preserve">Dzieje Apostolskie 19,3 —</w:t>
            </w:r>
          </w:p>
        </w:tc>
        <w:tc>
          <w:tcPr/>
          <w:p>
            <w:pPr>
              <w:pStyle w:val="Compact"/>
              <w:jc w:val="left"/>
            </w:pPr>
            <w:r>
              <w:t xml:space="preserve">ειπεν τε</w:t>
            </w:r>
          </w:p>
        </w:tc>
        <w:tc>
          <w:tcPr/>
          <w:p>
            <w:pPr>
              <w:pStyle w:val="Compact"/>
              <w:jc w:val="left"/>
            </w:pPr>
            <w:r>
              <w:rPr>
                <w:bCs/>
                <w:b/>
              </w:rPr>
              <w:t xml:space="preserve">K</w:t>
            </w:r>
            <w:r>
              <w:rPr>
                <w:vertAlign w:val="superscript"/>
                <w:bCs/>
                <w:b/>
              </w:rPr>
              <w:t xml:space="preserve">r</w:t>
            </w:r>
            <w:r>
              <w:t xml:space="preserve"> </w:t>
            </w:r>
            <w:r>
              <w:t xml:space="preserve">B(D) (</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są starożytne)</w:t>
            </w:r>
          </w:p>
        </w:tc>
      </w:tr>
      <w:tr>
        <w:tc>
          <w:tcPr/>
          <w:p>
            <w:pPr>
              <w:pStyle w:val="Compact"/>
            </w:pPr>
          </w:p>
        </w:tc>
        <w:tc>
          <w:tcPr/>
          <w:p>
            <w:pPr>
              <w:pStyle w:val="Compact"/>
              <w:jc w:val="left"/>
            </w:pPr>
            <w:r>
              <w:t xml:space="preserve">ο δε ειπεν</w:t>
            </w:r>
          </w:p>
        </w:tc>
        <w:tc>
          <w:tcPr/>
          <w:p>
            <w:pPr>
              <w:pStyle w:val="Compact"/>
              <w:jc w:val="left"/>
            </w:pPr>
            <w:r>
              <w:t xml:space="preserve">ℵA(P</w:t>
            </w:r>
            <w:r>
              <w:rPr>
                <w:vertAlign w:val="superscript"/>
              </w:rPr>
              <w:t xml:space="preserve">38</w:t>
            </w:r>
            <w:r>
              <w:t xml:space="preserve">)bo</w:t>
            </w:r>
          </w:p>
        </w:tc>
      </w:tr>
      <w:tr>
        <w:tc>
          <w:tcPr/>
          <w:p>
            <w:pPr>
              <w:pStyle w:val="Compact"/>
            </w:pPr>
          </w:p>
        </w:tc>
        <w:tc>
          <w:tcPr/>
          <w:p>
            <w:pPr>
              <w:pStyle w:val="Compact"/>
              <w:jc w:val="left"/>
            </w:pPr>
            <w:r>
              <w:t xml:space="preserve">ειπεν τε προς αυτους</w:t>
            </w:r>
          </w:p>
        </w:tc>
        <w:tc>
          <w:tcPr/>
          <w:p>
            <w:pPr>
              <w:pStyle w:val="Compact"/>
              <w:jc w:val="left"/>
            </w:pPr>
            <w:r>
              <w:rPr>
                <w:bCs/>
                <w:b/>
              </w:rPr>
              <w:t xml:space="preserve">K</w:t>
            </w:r>
            <w:r>
              <w:rPr>
                <w:vertAlign w:val="superscript"/>
                <w:bCs/>
                <w:b/>
              </w:rPr>
              <w:t xml:space="preserve">x</w:t>
            </w:r>
            <w:r>
              <w:t xml:space="preserve"> </w:t>
            </w:r>
            <w:r>
              <w:t xml:space="preserve">sy</w:t>
            </w:r>
            <w:r>
              <w:rPr>
                <w:vertAlign w:val="superscript"/>
              </w:rPr>
              <w:t xml:space="preserve">p</w:t>
            </w:r>
            <w:r>
              <w:t xml:space="preserve">,sa</w:t>
            </w:r>
          </w:p>
        </w:tc>
      </w:tr>
      <w:tr>
        <w:tc>
          <w:tcPr/>
          <w:p>
            <w:pPr>
              <w:pStyle w:val="Compact"/>
              <w:jc w:val="left"/>
            </w:pPr>
            <w:r>
              <w:t xml:space="preserve">Dzieje Apostolskie 21,8 —</w:t>
            </w:r>
          </w:p>
        </w:tc>
        <w:tc>
          <w:tcPr/>
          <w:p>
            <w:pPr>
              <w:pStyle w:val="Compact"/>
              <w:jc w:val="left"/>
            </w:pPr>
            <w:r>
              <w:t xml:space="preserve">ηλθομεν</w:t>
            </w:r>
          </w:p>
        </w:tc>
        <w:tc>
          <w:tcPr/>
          <w:p>
            <w:pPr>
              <w:pStyle w:val="Compact"/>
              <w:jc w:val="left"/>
            </w:pPr>
            <w:r>
              <w:rPr>
                <w:bCs/>
                <w:b/>
              </w:rPr>
              <w:t xml:space="preserve">K</w:t>
            </w:r>
            <w:r>
              <w:rPr>
                <w:vertAlign w:val="superscript"/>
                <w:bCs/>
                <w:b/>
              </w:rPr>
              <w:t xml:space="preserve">r</w:t>
            </w:r>
            <w:r>
              <w:t xml:space="preserve"> </w:t>
            </w:r>
            <w:r>
              <w:t xml:space="preserve">ℵAC(B)lat,syr,cop (</w:t>
            </w:r>
            <w:r>
              <w:rPr>
                <w:bCs/>
                <w:b/>
              </w:rPr>
              <w:t xml:space="preserve">K</w:t>
            </w:r>
            <w:r>
              <w:rPr>
                <w:vertAlign w:val="superscript"/>
                <w:bCs/>
                <w:b/>
              </w:rPr>
              <w:t xml:space="preserve">r</w:t>
            </w:r>
            <w:r>
              <w:t xml:space="preserve"> </w:t>
            </w:r>
            <w:r>
              <w:t xml:space="preserve">jest starszy niż</w:t>
            </w:r>
            <w:r>
              <w:t xml:space="preserve"> </w:t>
            </w:r>
            <w:r>
              <w:rPr>
                <w:bCs/>
                <w:b/>
              </w:rPr>
              <w:t xml:space="preserve">K</w:t>
            </w:r>
            <w:r>
              <w:rPr>
                <w:vertAlign w:val="superscript"/>
                <w:bCs/>
                <w:b/>
              </w:rPr>
              <w:t xml:space="preserve">x</w:t>
            </w:r>
            <w:r>
              <w:t xml:space="preserve">, bardzo starożytny)</w:t>
            </w:r>
          </w:p>
        </w:tc>
      </w:tr>
      <w:tr>
        <w:tc>
          <w:tcPr/>
          <w:p>
            <w:pPr>
              <w:pStyle w:val="Compact"/>
            </w:pPr>
          </w:p>
        </w:tc>
        <w:tc>
          <w:tcPr/>
          <w:p>
            <w:pPr>
              <w:pStyle w:val="Compact"/>
              <w:jc w:val="left"/>
            </w:pPr>
            <w:r>
              <w:t xml:space="preserve">οι περι τον παυλον ηλθον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Dzieje Apostolskie 23,20 —</w:t>
            </w:r>
          </w:p>
        </w:tc>
        <w:tc>
          <w:tcPr/>
          <w:p>
            <w:pPr>
              <w:pStyle w:val="Compact"/>
              <w:jc w:val="left"/>
            </w:pPr>
            <w:r>
              <w:t xml:space="preserve">μελλοντες</w:t>
            </w:r>
          </w:p>
        </w:tc>
        <w:tc>
          <w:tcPr/>
          <w:p>
            <w:pPr>
              <w:pStyle w:val="Compact"/>
              <w:jc w:val="left"/>
            </w:pPr>
            <w:r>
              <w:t xml:space="preserve">(33,1%)</w:t>
            </w:r>
            <w:r>
              <w:t xml:space="preserve"> </w:t>
            </w:r>
            <w:r>
              <w:rPr>
                <w:bCs/>
                <w:b/>
              </w:rPr>
              <w:t xml:space="preserve">K</w:t>
            </w:r>
            <w:r>
              <w:rPr>
                <w:vertAlign w:val="superscript"/>
                <w:bCs/>
                <w:b/>
              </w:rPr>
              <w:t xml:space="preserve">r</w:t>
            </w:r>
            <w:r>
              <w:t xml:space="preserve"> </w:t>
            </w:r>
            <w:r>
              <w:t xml:space="preserve">lat,syr,sa (</w:t>
            </w:r>
            <w:r>
              <w:rPr>
                <w:bCs/>
                <w:b/>
              </w:rPr>
              <w:t xml:space="preserve">K</w:t>
            </w:r>
            <w:r>
              <w:rPr>
                <w:vertAlign w:val="superscript"/>
                <w:bCs/>
                <w:b/>
              </w:rPr>
              <w:t xml:space="preserve">r</w:t>
            </w:r>
            <w:r>
              <w:t xml:space="preserve"> </w:t>
            </w:r>
            <w:r>
              <w:t xml:space="preserve">jest niezależny i bardzo starożytny, nie istnieje</w:t>
            </w:r>
            <w:r>
              <w:t xml:space="preserve"> </w:t>
            </w:r>
            <w:r>
              <w:rPr>
                <w:bCs/>
                <w:b/>
              </w:rPr>
              <w:t xml:space="preserve">K</w:t>
            </w:r>
            <w:r>
              <w:rPr>
                <w:vertAlign w:val="superscript"/>
                <w:bCs/>
                <w:b/>
              </w:rPr>
              <w:t xml:space="preserve">x</w:t>
            </w:r>
            <w:r>
              <w:t xml:space="preserve">)</w:t>
            </w:r>
          </w:p>
        </w:tc>
      </w:tr>
      <w:tr>
        <w:tc>
          <w:tcPr/>
          <w:p>
            <w:pPr>
              <w:pStyle w:val="Compact"/>
            </w:pPr>
          </w:p>
        </w:tc>
        <w:tc>
          <w:tcPr/>
          <w:p>
            <w:pPr>
              <w:pStyle w:val="Compact"/>
              <w:jc w:val="left"/>
            </w:pPr>
            <w:r>
              <w:t xml:space="preserve">μελλοντα</w:t>
            </w:r>
          </w:p>
        </w:tc>
        <w:tc>
          <w:tcPr/>
          <w:p>
            <w:pPr>
              <w:pStyle w:val="Compact"/>
              <w:jc w:val="left"/>
            </w:pPr>
            <w:r>
              <w:t xml:space="preserve">(27,2%) {HF,RP}</w:t>
            </w:r>
          </w:p>
        </w:tc>
      </w:tr>
      <w:tr>
        <w:tc>
          <w:tcPr/>
          <w:p>
            <w:pPr>
              <w:pStyle w:val="Compact"/>
            </w:pPr>
          </w:p>
        </w:tc>
        <w:tc>
          <w:tcPr/>
          <w:p>
            <w:pPr>
              <w:pStyle w:val="Compact"/>
              <w:jc w:val="left"/>
            </w:pPr>
            <w:r>
              <w:t xml:space="preserve">μελλοντων</w:t>
            </w:r>
          </w:p>
        </w:tc>
        <w:tc>
          <w:tcPr/>
          <w:p>
            <w:pPr>
              <w:pStyle w:val="Compact"/>
              <w:jc w:val="left"/>
            </w:pPr>
            <w:r>
              <w:t xml:space="preserve">(17,4%)</w:t>
            </w:r>
          </w:p>
        </w:tc>
      </w:tr>
      <w:tr>
        <w:tc>
          <w:tcPr/>
          <w:p>
            <w:pPr>
              <w:pStyle w:val="Compact"/>
            </w:pPr>
          </w:p>
        </w:tc>
        <w:tc>
          <w:tcPr/>
          <w:p>
            <w:pPr>
              <w:pStyle w:val="Compact"/>
              <w:jc w:val="left"/>
            </w:pPr>
            <w:r>
              <w:t xml:space="preserve">μελλων</w:t>
            </w:r>
          </w:p>
        </w:tc>
        <w:tc>
          <w:tcPr/>
          <w:p>
            <w:pPr>
              <w:pStyle w:val="Compact"/>
              <w:jc w:val="left"/>
            </w:pPr>
            <w:r>
              <w:t xml:space="preserve">(9,2%) AB,bo</w:t>
            </w:r>
          </w:p>
        </w:tc>
      </w:tr>
      <w:tr>
        <w:tc>
          <w:tcPr/>
          <w:p>
            <w:pPr>
              <w:pStyle w:val="Compact"/>
            </w:pPr>
          </w:p>
        </w:tc>
        <w:tc>
          <w:tcPr/>
          <w:p>
            <w:pPr>
              <w:pStyle w:val="Compact"/>
              <w:jc w:val="left"/>
            </w:pPr>
            <w:r>
              <w:t xml:space="preserve">μελλον</w:t>
            </w:r>
          </w:p>
        </w:tc>
        <w:tc>
          <w:tcPr/>
          <w:p>
            <w:pPr>
              <w:pStyle w:val="Compact"/>
              <w:jc w:val="left"/>
            </w:pPr>
            <w:r>
              <w:t xml:space="preserve">(7,5%) {NU}ℵ</w:t>
            </w:r>
          </w:p>
        </w:tc>
      </w:tr>
      <w:tr>
        <w:tc>
          <w:tcPr/>
          <w:p>
            <w:pPr>
              <w:pStyle w:val="Compact"/>
            </w:pPr>
          </w:p>
        </w:tc>
        <w:tc>
          <w:tcPr/>
          <w:p>
            <w:pPr>
              <w:pStyle w:val="Compact"/>
              <w:jc w:val="left"/>
            </w:pPr>
            <w:r>
              <w:t xml:space="preserve">μελλοντας</w:t>
            </w:r>
          </w:p>
        </w:tc>
        <w:tc>
          <w:tcPr/>
          <w:p>
            <w:pPr>
              <w:pStyle w:val="Compact"/>
              <w:jc w:val="left"/>
            </w:pPr>
            <w:r>
              <w:t xml:space="preserve">(5,4%)</w:t>
            </w:r>
          </w:p>
        </w:tc>
      </w:tr>
      <w:tr>
        <w:tc>
          <w:tcPr/>
          <w:p>
            <w:pPr>
              <w:pStyle w:val="Compact"/>
              <w:jc w:val="left"/>
            </w:pPr>
            <w:r>
              <w:t xml:space="preserve">List do Rzymian 5,1 —</w:t>
            </w:r>
          </w:p>
        </w:tc>
        <w:tc>
          <w:tcPr/>
          <w:p>
            <w:pPr>
              <w:pStyle w:val="Compact"/>
              <w:jc w:val="left"/>
            </w:pPr>
            <w:r>
              <w:t xml:space="preserve">εχωμεν</w:t>
            </w:r>
          </w:p>
        </w:tc>
        <w:tc>
          <w:tcPr/>
          <w:p>
            <w:pPr>
              <w:pStyle w:val="Compact"/>
              <w:jc w:val="left"/>
            </w:pPr>
            <w:r>
              <w:t xml:space="preserve">(43%)</w:t>
            </w:r>
            <w:r>
              <w:t xml:space="preserve"> </w:t>
            </w:r>
            <w:r>
              <w:rPr>
                <w:bCs/>
                <w:b/>
              </w:rPr>
              <w:t xml:space="preserve">K</w:t>
            </w:r>
            <w:r>
              <w:rPr>
                <w:vertAlign w:val="superscript"/>
                <w:bCs/>
                <w:b/>
              </w:rPr>
              <w:t xml:space="preserve">r</w:t>
            </w:r>
            <w:r>
              <w:t xml:space="preserve"> </w:t>
            </w:r>
            <w:r>
              <w:rPr>
                <w:bCs/>
                <w:b/>
              </w:rPr>
              <w:t xml:space="preserve">K</w:t>
            </w:r>
            <w:r>
              <w:rPr>
                <w:vertAlign w:val="superscript"/>
                <w:bCs/>
                <w:b/>
              </w:rPr>
              <w:t xml:space="preserve">x(1/3)</w:t>
            </w:r>
            <w:r>
              <w:t xml:space="preserve"> </w:t>
            </w:r>
            <w:r>
              <w:t xml:space="preserve">ℵABCD,lat (czy część</w:t>
            </w:r>
            <w:r>
              <w:t xml:space="preserve"> </w:t>
            </w:r>
            <w:r>
              <w:rPr>
                <w:bCs/>
                <w:b/>
              </w:rPr>
              <w:t xml:space="preserve">K</w:t>
            </w:r>
            <w:r>
              <w:rPr>
                <w:vertAlign w:val="superscript"/>
                <w:bCs/>
                <w:b/>
              </w:rPr>
              <w:t xml:space="preserve">x</w:t>
            </w:r>
            <w:r>
              <w:t xml:space="preserve"> </w:t>
            </w:r>
            <w:r>
              <w:t xml:space="preserve">upodobniła się do</w:t>
            </w:r>
            <w:r>
              <w:t xml:space="preserve"> </w:t>
            </w:r>
            <w:r>
              <w:rPr>
                <w:bCs/>
                <w:b/>
              </w:rPr>
              <w:t xml:space="preserve">K</w:t>
            </w:r>
            <w:r>
              <w:rPr>
                <w:vertAlign w:val="superscript"/>
                <w:bCs/>
                <w:b/>
              </w:rPr>
              <w:t xml:space="preserve">r</w:t>
            </w:r>
            <w:r>
              <w:t xml:space="preserve">?)</w:t>
            </w:r>
          </w:p>
        </w:tc>
      </w:tr>
      <w:tr>
        <w:tc>
          <w:tcPr/>
          <w:p>
            <w:pPr>
              <w:pStyle w:val="Compact"/>
            </w:pPr>
          </w:p>
        </w:tc>
        <w:tc>
          <w:tcPr/>
          <w:p>
            <w:pPr>
              <w:pStyle w:val="Compact"/>
              <w:jc w:val="left"/>
            </w:pPr>
            <w:r>
              <w:t xml:space="preserve">εχομεν</w:t>
            </w:r>
          </w:p>
        </w:tc>
        <w:tc>
          <w:tcPr/>
          <w:p>
            <w:pPr>
              <w:pStyle w:val="Compact"/>
              <w:jc w:val="left"/>
            </w:pPr>
            <w:r>
              <w:t xml:space="preserve">(57%)</w:t>
            </w:r>
            <w:r>
              <w:t xml:space="preserve"> </w:t>
            </w:r>
            <w:r>
              <w:rPr>
                <w:bCs/>
                <w:b/>
              </w:rPr>
              <w:t xml:space="preserve">K</w:t>
            </w:r>
            <w:r>
              <w:rPr>
                <w:vertAlign w:val="superscript"/>
                <w:bCs/>
                <w:b/>
              </w:rPr>
              <w:t xml:space="preserve">x(2/3)</w:t>
            </w:r>
          </w:p>
        </w:tc>
      </w:tr>
      <w:tr>
        <w:tc>
          <w:tcPr/>
          <w:p>
            <w:pPr>
              <w:pStyle w:val="Compact"/>
              <w:jc w:val="left"/>
            </w:pPr>
            <w:r>
              <w:t xml:space="preserve">List do Rzymian 16,6 —</w:t>
            </w:r>
          </w:p>
        </w:tc>
        <w:tc>
          <w:tcPr/>
          <w:p>
            <w:pPr>
              <w:pStyle w:val="Compact"/>
              <w:jc w:val="left"/>
            </w:pPr>
            <w:r>
              <w:t xml:space="preserve">εις υμας</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46</w:t>
            </w:r>
            <w:r>
              <w:t xml:space="preserve"> </w:t>
            </w:r>
            <w:r>
              <w:t xml:space="preserve">ℵABC (</w:t>
            </w:r>
            <w:r>
              <w:rPr>
                <w:bCs/>
                <w:b/>
              </w:rPr>
              <w:t xml:space="preserve">K</w:t>
            </w:r>
            <w:r>
              <w:rPr>
                <w:vertAlign w:val="superscript"/>
                <w:bCs/>
                <w:b/>
              </w:rPr>
              <w:t xml:space="preserve">r</w:t>
            </w:r>
            <w:r>
              <w:t xml:space="preserve"> </w:t>
            </w:r>
            <w:r>
              <w:t xml:space="preserve">jest niezależny i bardzo starożytny, II/III wiek)</w:t>
            </w:r>
          </w:p>
        </w:tc>
      </w:tr>
      <w:tr>
        <w:tc>
          <w:tcPr/>
          <w:p>
            <w:pPr>
              <w:pStyle w:val="Compact"/>
            </w:pPr>
          </w:p>
        </w:tc>
        <w:tc>
          <w:tcPr/>
          <w:p>
            <w:pPr>
              <w:pStyle w:val="Compact"/>
              <w:jc w:val="left"/>
            </w:pPr>
            <w:r>
              <w:t xml:space="preserve">εις ημας</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εν υμιν</w:t>
            </w:r>
          </w:p>
        </w:tc>
        <w:tc>
          <w:tcPr/>
          <w:p>
            <w:pPr>
              <w:pStyle w:val="Compact"/>
              <w:jc w:val="left"/>
            </w:pPr>
            <w:r>
              <w:t xml:space="preserve">D</w:t>
            </w:r>
          </w:p>
        </w:tc>
      </w:tr>
      <w:tr>
        <w:tc>
          <w:tcPr/>
          <w:p>
            <w:pPr>
              <w:pStyle w:val="Compact"/>
              <w:jc w:val="left"/>
            </w:pPr>
            <w:r>
              <w:t xml:space="preserve">2 List do Koryntian 1,15 —</w:t>
            </w:r>
          </w:p>
        </w:tc>
        <w:tc>
          <w:tcPr/>
          <w:p>
            <w:pPr>
              <w:pStyle w:val="Compact"/>
              <w:jc w:val="left"/>
            </w:pPr>
            <w:r>
              <w:t xml:space="preserve">προς υμας ελθειν το προτερον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προς υμας ελθειν</w:t>
            </w:r>
          </w:p>
        </w:tc>
        <w:tc>
          <w:tcPr/>
          <w:p>
            <w:pPr>
              <w:pStyle w:val="Compact"/>
              <w:jc w:val="left"/>
            </w:pPr>
            <w:r>
              <w:t xml:space="preserve">ℵ</w:t>
            </w:r>
          </w:p>
        </w:tc>
      </w:tr>
      <w:tr>
        <w:tc>
          <w:tcPr/>
          <w:p>
            <w:pPr>
              <w:pStyle w:val="Compact"/>
            </w:pPr>
          </w:p>
        </w:tc>
        <w:tc>
          <w:tcPr/>
          <w:p>
            <w:pPr>
              <w:pStyle w:val="Compact"/>
              <w:jc w:val="left"/>
            </w:pPr>
            <w:r>
              <w:t xml:space="preserve">προτερον προς υμας ελθειν</w:t>
            </w:r>
          </w:p>
        </w:tc>
        <w:tc>
          <w:tcPr/>
          <w:p>
            <w:pPr>
              <w:pStyle w:val="Compact"/>
              <w:jc w:val="left"/>
            </w:pPr>
            <w:r>
              <w:t xml:space="preserve">ABC</w:t>
            </w:r>
          </w:p>
        </w:tc>
      </w:tr>
      <w:tr>
        <w:tc>
          <w:tcPr/>
          <w:p>
            <w:pPr>
              <w:pStyle w:val="Compact"/>
            </w:pPr>
          </w:p>
        </w:tc>
        <w:tc>
          <w:tcPr/>
          <w:p>
            <w:pPr>
              <w:pStyle w:val="Compact"/>
              <w:jc w:val="left"/>
            </w:pPr>
            <w:r>
              <w:t xml:space="preserve">προτερον ελθειν</w:t>
            </w:r>
          </w:p>
        </w:tc>
        <w:tc>
          <w:tcPr/>
          <w:p>
            <w:pPr>
              <w:pStyle w:val="Compact"/>
              <w:jc w:val="left"/>
            </w:pPr>
            <w:r>
              <w:t xml:space="preserve">D,lat</w:t>
            </w:r>
          </w:p>
        </w:tc>
      </w:tr>
      <w:tr>
        <w:tc>
          <w:tcPr/>
          <w:p>
            <w:pPr>
              <w:pStyle w:val="Compact"/>
            </w:pPr>
          </w:p>
        </w:tc>
        <w:tc>
          <w:tcPr/>
          <w:p>
            <w:pPr>
              <w:pStyle w:val="Compact"/>
              <w:jc w:val="left"/>
            </w:pPr>
            <w:r>
              <w:t xml:space="preserve">προς υμας</w:t>
            </w:r>
          </w:p>
        </w:tc>
        <w:tc>
          <w:tcPr/>
          <w:p>
            <w:pPr>
              <w:pStyle w:val="Compact"/>
            </w:pPr>
          </w:p>
        </w:tc>
      </w:tr>
      <w:tr>
        <w:tc>
          <w:tcPr/>
          <w:p>
            <w:pPr>
              <w:pStyle w:val="Compact"/>
            </w:pPr>
          </w:p>
        </w:tc>
        <w:tc>
          <w:tcPr/>
          <w:p>
            <w:pPr>
              <w:pStyle w:val="Compact"/>
              <w:jc w:val="left"/>
            </w:pPr>
            <w:r>
              <w:t xml:space="preserve">ελθειν προς υμας το προτερον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2 List do Koryntian 2,17 —</w:t>
            </w:r>
          </w:p>
        </w:tc>
        <w:tc>
          <w:tcPr/>
          <w:p>
            <w:pPr>
              <w:pStyle w:val="Compact"/>
              <w:jc w:val="left"/>
            </w:pPr>
            <w:r>
              <w:t xml:space="preserve">λοιποι</w:t>
            </w:r>
          </w:p>
        </w:tc>
        <w:tc>
          <w:tcPr/>
          <w:p>
            <w:pPr>
              <w:pStyle w:val="Compact"/>
              <w:jc w:val="left"/>
            </w:pPr>
            <w:r>
              <w:rPr>
                <w:bCs/>
                <w:b/>
              </w:rPr>
              <w:t xml:space="preserve">K</w:t>
            </w:r>
            <w:r>
              <w:rPr>
                <w:vertAlign w:val="superscript"/>
                <w:bCs/>
                <w:b/>
              </w:rPr>
              <w:t xml:space="preserve">r</w:t>
            </w:r>
            <w:r>
              <w:t xml:space="preserve"> </w:t>
            </w:r>
            <w:r>
              <w:rPr>
                <w:bCs/>
                <w:b/>
              </w:rPr>
              <w:t xml:space="preserve">K</w:t>
            </w:r>
            <w:r>
              <w:rPr>
                <w:vertAlign w:val="superscript"/>
                <w:bCs/>
                <w:b/>
              </w:rPr>
              <w:t xml:space="preserve">x(pt)</w:t>
            </w:r>
            <w:r>
              <w:t xml:space="preserve"> </w:t>
            </w:r>
            <w:r>
              <w:t xml:space="preserve">P</w:t>
            </w:r>
            <w:r>
              <w:rPr>
                <w:vertAlign w:val="superscript"/>
              </w:rPr>
              <w:t xml:space="preserve">46</w:t>
            </w:r>
            <w:r>
              <w:t xml:space="preserve">D,syr (</w:t>
            </w:r>
            <w:r>
              <w:rPr>
                <w:bCs/>
                <w:b/>
              </w:rPr>
              <w:t xml:space="preserve">K</w:t>
            </w:r>
            <w:r>
              <w:rPr>
                <w:vertAlign w:val="superscript"/>
                <w:bCs/>
                <w:b/>
              </w:rPr>
              <w:t xml:space="preserve">r</w:t>
            </w:r>
            <w:r>
              <w:t xml:space="preserve"> </w:t>
            </w:r>
            <w:r>
              <w:t xml:space="preserve">jest bardzo starożytny, II/III wiek)</w:t>
            </w:r>
          </w:p>
        </w:tc>
      </w:tr>
      <w:tr>
        <w:tc>
          <w:tcPr/>
          <w:p>
            <w:pPr>
              <w:pStyle w:val="Compact"/>
            </w:pPr>
          </w:p>
        </w:tc>
        <w:tc>
          <w:tcPr/>
          <w:p>
            <w:pPr>
              <w:pStyle w:val="Compact"/>
              <w:jc w:val="left"/>
            </w:pPr>
            <w:r>
              <w:t xml:space="preserve">πολλοι</w:t>
            </w:r>
          </w:p>
        </w:tc>
        <w:tc>
          <w:tcPr/>
          <w:p>
            <w:pPr>
              <w:pStyle w:val="Compact"/>
              <w:jc w:val="left"/>
            </w:pPr>
            <w:r>
              <w:rPr>
                <w:bCs/>
                <w:b/>
              </w:rPr>
              <w:t xml:space="preserve">K</w:t>
            </w:r>
            <w:r>
              <w:rPr>
                <w:vertAlign w:val="superscript"/>
                <w:bCs/>
                <w:b/>
              </w:rPr>
              <w:t xml:space="preserve">x(pt)</w:t>
            </w:r>
            <w:r>
              <w:t xml:space="preserve"> </w:t>
            </w:r>
            <w:r>
              <w:t xml:space="preserve">ℵABC,lat,cop</w:t>
            </w:r>
          </w:p>
        </w:tc>
      </w:tr>
      <w:tr>
        <w:tc>
          <w:tcPr/>
          <w:p>
            <w:pPr>
              <w:pStyle w:val="Compact"/>
              <w:jc w:val="left"/>
            </w:pPr>
            <w:r>
              <w:t xml:space="preserve">List Jakuba 1,23 —</w:t>
            </w:r>
          </w:p>
        </w:tc>
        <w:tc>
          <w:tcPr/>
          <w:p>
            <w:pPr>
              <w:pStyle w:val="Compact"/>
              <w:jc w:val="left"/>
            </w:pPr>
            <w:r>
              <w:t xml:space="preserve">νομου</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r>
              <w:rPr>
                <w:rStyle w:val="FootnoteReference"/>
              </w:rPr>
              <w:footnoteReference w:id="220"/>
            </w:r>
          </w:p>
        </w:tc>
      </w:tr>
      <w:tr>
        <w:tc>
          <w:tcPr/>
          <w:p>
            <w:pPr>
              <w:pStyle w:val="Compact"/>
            </w:pPr>
          </w:p>
        </w:tc>
        <w:tc>
          <w:tcPr/>
          <w:p>
            <w:pPr>
              <w:pStyle w:val="Compact"/>
              <w:jc w:val="left"/>
            </w:pPr>
            <w:r>
              <w:t xml:space="preserve">λογου</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2,3 —</w:t>
            </w:r>
          </w:p>
        </w:tc>
        <w:tc>
          <w:tcPr/>
          <w:p>
            <w:pPr>
              <w:pStyle w:val="Compact"/>
              <w:jc w:val="left"/>
            </w:pPr>
            <w:r>
              <w:t xml:space="preserve">την λαμπραν εσθητα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την εσθητα την λαμπραν</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2,4 —</w:t>
            </w:r>
          </w:p>
        </w:tc>
        <w:tc>
          <w:tcPr/>
          <w:p>
            <w:pPr>
              <w:pStyle w:val="Compact"/>
              <w:jc w:val="left"/>
            </w:pPr>
            <w:r>
              <w:t xml:space="preserve">— ου</w:t>
            </w:r>
          </w:p>
        </w:tc>
        <w:tc>
          <w:tcPr/>
          <w:p>
            <w:pPr>
              <w:pStyle w:val="Compact"/>
              <w:jc w:val="left"/>
            </w:pPr>
            <w:r>
              <w:rPr>
                <w:bCs/>
                <w:b/>
              </w:rPr>
              <w:t xml:space="preserve">K</w:t>
            </w:r>
            <w:r>
              <w:rPr>
                <w:vertAlign w:val="superscript"/>
                <w:bCs/>
                <w:b/>
              </w:rPr>
              <w:t xml:space="preserve">r</w:t>
            </w:r>
            <w:r>
              <w:t xml:space="preserve"> </w:t>
            </w:r>
            <w:r>
              <w:t xml:space="preserve">ℵABC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και ου</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List Jakuba 2,8 —</w:t>
            </w:r>
          </w:p>
        </w:tc>
        <w:tc>
          <w:tcPr/>
          <w:p>
            <w:pPr>
              <w:pStyle w:val="Compact"/>
              <w:jc w:val="left"/>
            </w:pPr>
            <w:r>
              <w:t xml:space="preserve">σεαυτον</w:t>
            </w:r>
          </w:p>
        </w:tc>
        <w:tc>
          <w:tcPr/>
          <w:p>
            <w:pPr>
              <w:pStyle w:val="Compact"/>
              <w:jc w:val="left"/>
            </w:pPr>
            <w:r>
              <w:rPr>
                <w:bCs/>
                <w:b/>
              </w:rPr>
              <w:t xml:space="preserve">K</w:t>
            </w:r>
            <w:r>
              <w:rPr>
                <w:vertAlign w:val="superscript"/>
                <w:bCs/>
                <w:b/>
              </w:rPr>
              <w:t xml:space="preserve">r</w:t>
            </w:r>
            <w:r>
              <w:t xml:space="preserve"> </w:t>
            </w:r>
            <w:r>
              <w:t xml:space="preserve">ℵABC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εαυτον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List Jakuba 2,14 —</w:t>
            </w:r>
          </w:p>
        </w:tc>
        <w:tc>
          <w:tcPr/>
          <w:p>
            <w:pPr>
              <w:pStyle w:val="Compact"/>
              <w:jc w:val="left"/>
            </w:pPr>
            <w:r>
              <w:t xml:space="preserve">εχει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εχη</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3,2 —</w:t>
            </w:r>
          </w:p>
        </w:tc>
        <w:tc>
          <w:tcPr/>
          <w:p>
            <w:pPr>
              <w:pStyle w:val="Compact"/>
              <w:jc w:val="left"/>
            </w:pPr>
            <w:r>
              <w:t xml:space="preserve">δυναμενος</w:t>
            </w:r>
          </w:p>
        </w:tc>
        <w:tc>
          <w:tcPr/>
          <w:p>
            <w:pPr>
              <w:pStyle w:val="Compact"/>
              <w:jc w:val="left"/>
            </w:pPr>
            <w:r>
              <w:rPr>
                <w:bCs/>
                <w:b/>
              </w:rPr>
              <w:t xml:space="preserve">K</w:t>
            </w:r>
            <w:r>
              <w:rPr>
                <w:vertAlign w:val="superscript"/>
                <w:bCs/>
                <w:b/>
              </w:rPr>
              <w:t xml:space="preserve">r</w:t>
            </w:r>
            <w:r>
              <w:t xml:space="preserve"> </w:t>
            </w:r>
            <w:r>
              <w:t xml:space="preserve">ℵ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δυνατος</w:t>
            </w:r>
          </w:p>
        </w:tc>
        <w:tc>
          <w:tcPr/>
          <w:p>
            <w:pPr>
              <w:pStyle w:val="Compact"/>
              <w:jc w:val="left"/>
            </w:pPr>
            <w:r>
              <w:rPr>
                <w:bCs/>
                <w:b/>
              </w:rPr>
              <w:t xml:space="preserve">K</w:t>
            </w:r>
            <w:r>
              <w:rPr>
                <w:vertAlign w:val="superscript"/>
                <w:bCs/>
                <w:b/>
              </w:rPr>
              <w:t xml:space="preserve">x</w:t>
            </w:r>
            <w:r>
              <w:t xml:space="preserve"> </w:t>
            </w:r>
            <w:r>
              <w:t xml:space="preserve">AB</w:t>
            </w:r>
          </w:p>
        </w:tc>
      </w:tr>
      <w:tr>
        <w:tc>
          <w:tcPr/>
          <w:p>
            <w:pPr>
              <w:pStyle w:val="Compact"/>
              <w:jc w:val="left"/>
            </w:pPr>
            <w:r>
              <w:t xml:space="preserve">List Jakuba 3,4 —</w:t>
            </w:r>
          </w:p>
        </w:tc>
        <w:tc>
          <w:tcPr/>
          <w:p>
            <w:pPr>
              <w:pStyle w:val="Compact"/>
              <w:jc w:val="left"/>
            </w:pPr>
            <w:r>
              <w:t xml:space="preserve">ιθυνοντος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 rzadka pisownia klasyczna)</w:t>
            </w:r>
          </w:p>
        </w:tc>
      </w:tr>
      <w:tr>
        <w:tc>
          <w:tcPr/>
          <w:p>
            <w:pPr>
              <w:pStyle w:val="Compact"/>
            </w:pPr>
          </w:p>
        </w:tc>
        <w:tc>
          <w:tcPr/>
          <w:p>
            <w:pPr>
              <w:pStyle w:val="Compact"/>
              <w:jc w:val="left"/>
            </w:pPr>
            <w:r>
              <w:t xml:space="preserve">ευθυνοντος</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4,11 —</w:t>
            </w:r>
          </w:p>
        </w:tc>
        <w:tc>
          <w:tcPr/>
          <w:p>
            <w:pPr>
              <w:pStyle w:val="Compact"/>
              <w:jc w:val="left"/>
            </w:pPr>
            <w:r>
              <w:t xml:space="preserve">ο γαρ</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ο —</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List Jakuba 4,14 —</w:t>
            </w:r>
          </w:p>
        </w:tc>
        <w:tc>
          <w:tcPr/>
          <w:p>
            <w:pPr>
              <w:pStyle w:val="Compact"/>
              <w:jc w:val="left"/>
            </w:pPr>
            <w:r>
              <w:t xml:space="preserve">ημων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υμων</w:t>
            </w:r>
          </w:p>
        </w:tc>
        <w:tc>
          <w:tcPr/>
          <w:p>
            <w:pPr>
              <w:pStyle w:val="Compact"/>
              <w:jc w:val="left"/>
            </w:pPr>
            <w:r>
              <w:rPr>
                <w:bCs/>
                <w:b/>
              </w:rPr>
              <w:t xml:space="preserve">K</w:t>
            </w:r>
            <w:r>
              <w:rPr>
                <w:vertAlign w:val="superscript"/>
                <w:bCs/>
                <w:b/>
              </w:rPr>
              <w:t xml:space="preserve">x</w:t>
            </w:r>
            <w:r>
              <w:t xml:space="preserve"> </w:t>
            </w:r>
            <w:r>
              <w:t xml:space="preserve">ℵA(P</w:t>
            </w:r>
            <w:r>
              <w:rPr>
                <w:vertAlign w:val="superscript"/>
              </w:rPr>
              <w:t xml:space="preserve">100</w:t>
            </w:r>
            <w:r>
              <w:t xml:space="preserve">B)</w:t>
            </w:r>
          </w:p>
        </w:tc>
      </w:tr>
      <w:tr>
        <w:tc>
          <w:tcPr/>
          <w:p>
            <w:pPr>
              <w:pStyle w:val="Compact"/>
              <w:jc w:val="left"/>
            </w:pPr>
            <w:r>
              <w:t xml:space="preserve">List Jakuba 4,14 —</w:t>
            </w:r>
          </w:p>
        </w:tc>
        <w:tc>
          <w:tcPr/>
          <w:p>
            <w:pPr>
              <w:pStyle w:val="Compact"/>
              <w:jc w:val="left"/>
            </w:pPr>
            <w:r>
              <w:t xml:space="preserve">επειτα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επειτα και</w:t>
            </w:r>
          </w:p>
        </w:tc>
        <w:tc>
          <w:tcPr/>
          <w:p>
            <w:pPr>
              <w:pStyle w:val="Compact"/>
              <w:jc w:val="left"/>
            </w:pPr>
            <w:r>
              <w:t xml:space="preserve">ℵAB</w:t>
            </w:r>
          </w:p>
        </w:tc>
      </w:tr>
      <w:tr>
        <w:tc>
          <w:tcPr/>
          <w:p>
            <w:pPr>
              <w:pStyle w:val="Compact"/>
            </w:pPr>
          </w:p>
        </w:tc>
        <w:tc>
          <w:tcPr/>
          <w:p>
            <w:pPr>
              <w:pStyle w:val="Compact"/>
              <w:jc w:val="left"/>
            </w:pPr>
            <w:r>
              <w:t xml:space="preserve">επειτα δε και</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1 List Piotra 3,16 —</w:t>
            </w:r>
          </w:p>
        </w:tc>
        <w:tc>
          <w:tcPr/>
          <w:p>
            <w:pPr>
              <w:pStyle w:val="Compact"/>
              <w:jc w:val="left"/>
            </w:pPr>
            <w:r>
              <w:t xml:space="preserve">καταλαλουσιν</w:t>
            </w:r>
          </w:p>
        </w:tc>
        <w:tc>
          <w:tcPr/>
          <w:p>
            <w:pPr>
              <w:pStyle w:val="Compact"/>
              <w:jc w:val="left"/>
            </w:pPr>
            <w:r>
              <w:rPr>
                <w:bCs/>
                <w:b/>
              </w:rPr>
              <w:t xml:space="preserve">K</w:t>
            </w:r>
            <w:r>
              <w:rPr>
                <w:vertAlign w:val="superscript"/>
                <w:bCs/>
                <w:b/>
              </w:rPr>
              <w:t xml:space="preserve">r</w:t>
            </w:r>
            <w:r>
              <w:t xml:space="preserve"> </w:t>
            </w:r>
            <w:r>
              <w:t xml:space="preserve">ℵAC,sy</w:t>
            </w:r>
            <w:r>
              <w:rPr>
                <w:vertAlign w:val="superscript"/>
              </w:rPr>
              <w:t xml:space="preserve">p</w:t>
            </w:r>
            <w:r>
              <w:t xml:space="preserve">,bo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καταλαλωσιν</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καταλαλεισθε</w:t>
            </w:r>
          </w:p>
        </w:tc>
        <w:tc>
          <w:tcPr/>
          <w:p>
            <w:pPr>
              <w:pStyle w:val="Compact"/>
              <w:jc w:val="left"/>
            </w:pPr>
            <w:r>
              <w:t xml:space="preserve">P</w:t>
            </w:r>
            <w:r>
              <w:rPr>
                <w:vertAlign w:val="superscript"/>
              </w:rPr>
              <w:t xml:space="preserve">72</w:t>
            </w:r>
            <w:r>
              <w:t xml:space="preserve">B,sa</w:t>
            </w:r>
          </w:p>
        </w:tc>
      </w:tr>
      <w:tr>
        <w:tc>
          <w:tcPr/>
          <w:p>
            <w:pPr>
              <w:pStyle w:val="Compact"/>
              <w:jc w:val="left"/>
            </w:pPr>
            <w:r>
              <w:t xml:space="preserve">1 List Piotra 4,3 —</w:t>
            </w:r>
          </w:p>
        </w:tc>
        <w:tc>
          <w:tcPr/>
          <w:p>
            <w:pPr>
              <w:pStyle w:val="Compact"/>
              <w:jc w:val="left"/>
            </w:pPr>
            <w:r>
              <w:t xml:space="preserve">υμιν</w:t>
            </w:r>
          </w:p>
        </w:tc>
        <w:tc>
          <w:tcPr/>
          <w:p>
            <w:pPr>
              <w:pStyle w:val="Compact"/>
              <w:jc w:val="left"/>
            </w:pPr>
            <w:r>
              <w:rPr>
                <w:bCs/>
                <w:b/>
              </w:rPr>
              <w:t xml:space="preserve">K</w:t>
            </w:r>
            <w:r>
              <w:rPr>
                <w:vertAlign w:val="superscript"/>
                <w:bCs/>
                <w:b/>
              </w:rPr>
              <w:t xml:space="preserve">r</w:t>
            </w:r>
            <w:r>
              <w:t xml:space="preserve"> </w:t>
            </w:r>
            <w:r>
              <w:t xml:space="preserve">ℵbo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ημιν</w:t>
            </w:r>
          </w:p>
        </w:tc>
        <w:tc>
          <w:tcPr/>
          <w:p>
            <w:pPr>
              <w:pStyle w:val="Compact"/>
              <w:jc w:val="left"/>
            </w:pPr>
            <w:r>
              <w:rPr>
                <w:bCs/>
                <w:b/>
              </w:rPr>
              <w:t xml:space="preserve">K</w:t>
            </w:r>
            <w:r>
              <w:rPr>
                <w:vertAlign w:val="superscript"/>
                <w:bCs/>
                <w:b/>
              </w:rPr>
              <w:t xml:space="preserve">x</w:t>
            </w:r>
            <w:r>
              <w:t xml:space="preserve"> </w:t>
            </w:r>
            <w:r>
              <w:t xml:space="preserve">C</w:t>
            </w:r>
          </w:p>
        </w:tc>
      </w:tr>
      <w:tr>
        <w:tc>
          <w:tcPr/>
          <w:p>
            <w:pPr>
              <w:pStyle w:val="Compact"/>
            </w:pPr>
          </w:p>
        </w:tc>
        <w:tc>
          <w:tcPr/>
          <w:p>
            <w:pPr>
              <w:pStyle w:val="Compact"/>
              <w:jc w:val="left"/>
            </w:pPr>
            <w:r>
              <w:t xml:space="preserve">(pominięcie)</w:t>
            </w:r>
          </w:p>
        </w:tc>
        <w:tc>
          <w:tcPr/>
          <w:p>
            <w:pPr>
              <w:pStyle w:val="Compact"/>
              <w:jc w:val="left"/>
            </w:pPr>
            <w:r>
              <w:t xml:space="preserve">P</w:t>
            </w:r>
            <w:r>
              <w:rPr>
                <w:vertAlign w:val="superscript"/>
              </w:rPr>
              <w:t xml:space="preserve">72</w:t>
            </w:r>
            <w:r>
              <w:t xml:space="preserve">AB,lat,syr,sa</w:t>
            </w:r>
          </w:p>
        </w:tc>
      </w:tr>
      <w:tr>
        <w:tc>
          <w:tcPr/>
          <w:p>
            <w:pPr>
              <w:pStyle w:val="Compact"/>
              <w:jc w:val="left"/>
            </w:pPr>
            <w:r>
              <w:t xml:space="preserve">2 List Piotra 2,17 —</w:t>
            </w:r>
          </w:p>
        </w:tc>
        <w:tc>
          <w:tcPr/>
          <w:p>
            <w:pPr>
              <w:pStyle w:val="Compact"/>
              <w:jc w:val="left"/>
            </w:pPr>
            <w:r>
              <w:t xml:space="preserve">εις αιωνας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εις αιωνα</w:t>
            </w:r>
          </w:p>
        </w:tc>
        <w:tc>
          <w:tcPr/>
          <w:p>
            <w:pPr>
              <w:pStyle w:val="Compact"/>
              <w:jc w:val="left"/>
            </w:pPr>
            <w:r>
              <w:rPr>
                <w:bCs/>
                <w:b/>
              </w:rPr>
              <w:t xml:space="preserve">K</w:t>
            </w:r>
            <w:r>
              <w:rPr>
                <w:vertAlign w:val="superscript"/>
                <w:bCs/>
                <w:b/>
              </w:rPr>
              <w:t xml:space="preserve">x</w:t>
            </w:r>
            <w:r>
              <w:t xml:space="preserve"> </w:t>
            </w:r>
            <w:r>
              <w:t xml:space="preserve">AC</w:t>
            </w:r>
          </w:p>
        </w:tc>
      </w:tr>
      <w:tr>
        <w:tc>
          <w:tcPr/>
          <w:p>
            <w:pPr>
              <w:pStyle w:val="Compact"/>
            </w:pPr>
          </w:p>
        </w:tc>
        <w:tc>
          <w:tcPr/>
          <w:p>
            <w:pPr>
              <w:pStyle w:val="Compact"/>
              <w:jc w:val="left"/>
            </w:pPr>
            <w:r>
              <w:t xml:space="preserve">(pominięcie)</w:t>
            </w:r>
          </w:p>
        </w:tc>
        <w:tc>
          <w:tcPr/>
          <w:p>
            <w:pPr>
              <w:pStyle w:val="Compact"/>
              <w:jc w:val="left"/>
            </w:pPr>
            <w:r>
              <w:t xml:space="preserve">P</w:t>
            </w:r>
            <w:r>
              <w:rPr>
                <w:vertAlign w:val="superscript"/>
              </w:rPr>
              <w:t xml:space="preserve">72</w:t>
            </w:r>
            <w:r>
              <w:t xml:space="preserve"> </w:t>
            </w:r>
            <w:r>
              <w:t xml:space="preserve">ℵB,lat,syr,cop</w:t>
            </w:r>
          </w:p>
        </w:tc>
      </w:tr>
      <w:tr>
        <w:tc>
          <w:tcPr/>
          <w:p>
            <w:pPr>
              <w:pStyle w:val="Compact"/>
              <w:jc w:val="left"/>
            </w:pPr>
            <w:r>
              <w:t xml:space="preserve">3 List Jana 12 —</w:t>
            </w:r>
          </w:p>
        </w:tc>
        <w:tc>
          <w:tcPr/>
          <w:p>
            <w:pPr>
              <w:pStyle w:val="Compact"/>
              <w:jc w:val="left"/>
            </w:pPr>
            <w:r>
              <w:t xml:space="preserve">οιδαμεν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οιδατε</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οιδας</w:t>
            </w:r>
          </w:p>
        </w:tc>
        <w:tc>
          <w:tcPr/>
          <w:p>
            <w:pPr>
              <w:pStyle w:val="Compact"/>
              <w:jc w:val="left"/>
            </w:pPr>
            <w:r>
              <w:t xml:space="preserve">ℵABC</w:t>
            </w:r>
          </w:p>
        </w:tc>
      </w:tr>
    </w:tbl>
    <w:p>
      <w:pPr>
        <w:pStyle w:val="BodyText"/>
      </w:pPr>
      <w:r>
        <w:t xml:space="preserve">Jakie zatem wnioski możemy wyciągnąć z tych dowodów?</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a oba są starożytne i sięgają co najmniej IV wieku.</w:t>
      </w:r>
      <w:r>
        <w:rPr>
          <w:rStyle w:val="FootnoteReference"/>
        </w:rPr>
        <w:footnoteReference w:id="221"/>
      </w:r>
      <w:r>
        <w:t xml:space="preserve"> </w:t>
      </w:r>
      <w:r>
        <w:t xml:space="preserve">Kilka przykładów można by interpretować w ten sposób, że</w:t>
      </w:r>
      <w:r>
        <w:t xml:space="preserve"> </w:t>
      </w:r>
      <w:r>
        <w:rPr>
          <w:bCs/>
          <w:b/>
        </w:rPr>
        <w:t xml:space="preserve">K</w:t>
      </w:r>
      <w:r>
        <w:rPr>
          <w:vertAlign w:val="superscript"/>
          <w:bCs/>
          <w:b/>
        </w:rPr>
        <w:t xml:space="preserve">r</w:t>
      </w:r>
      <w:r>
        <w:t xml:space="preserve"> </w:t>
      </w:r>
      <w:r>
        <w:t xml:space="preserve">jest starszy od</w:t>
      </w:r>
      <w:r>
        <w:t xml:space="preserve"> </w:t>
      </w:r>
      <w:r>
        <w:rPr>
          <w:bCs/>
          <w:b/>
        </w:rPr>
        <w:t xml:space="preserve">K</w:t>
      </w:r>
      <w:r>
        <w:rPr>
          <w:vertAlign w:val="superscript"/>
          <w:bCs/>
          <w:b/>
        </w:rPr>
        <w:t xml:space="preserve">x</w:t>
      </w:r>
      <w:r>
        <w:t xml:space="preserve"> </w:t>
      </w:r>
      <w:r>
        <w:t xml:space="preserve">i sięga III, a nawet II wieku, pozostawię jednak tę możliwość na dalszym planie i przyjrzę się kolejnym dowodom. Poniższe przykłady opierają się na</w:t>
      </w:r>
      <w:r>
        <w:t xml:space="preserve"> </w:t>
      </w:r>
      <w:r>
        <w:rPr>
          <w:iCs/>
          <w:i/>
        </w:rPr>
        <w:t xml:space="preserve">Text und Textwert</w:t>
      </w:r>
      <w:r>
        <w:t xml:space="preserve"> </w:t>
      </w:r>
      <w:r>
        <w:t xml:space="preserve">i wydaniu Ewangelii Łukasza przygotowanym przez IGNTP.</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Ewangelia Łukasza 1,55 —</w:t>
            </w:r>
          </w:p>
        </w:tc>
        <w:tc>
          <w:tcPr/>
          <w:p>
            <w:pPr>
              <w:pStyle w:val="Compact"/>
              <w:jc w:val="left"/>
            </w:pPr>
            <w:r>
              <w:t xml:space="preserve">εως αιωνος</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εις τον αιωνα</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1,63 —</w:t>
            </w:r>
          </w:p>
        </w:tc>
        <w:tc>
          <w:tcPr/>
          <w:p>
            <w:pPr>
              <w:pStyle w:val="Compact"/>
              <w:jc w:val="left"/>
            </w:pPr>
            <w:r>
              <w:t xml:space="preserve">εσται</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εστιν</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3,12 —</w:t>
            </w:r>
          </w:p>
        </w:tc>
        <w:tc>
          <w:tcPr/>
          <w:p>
            <w:pPr>
              <w:pStyle w:val="Compact"/>
              <w:jc w:val="left"/>
            </w:pPr>
            <w:r>
              <w:t xml:space="preserve">υπ αυτου και</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 —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4,7 —</w:t>
            </w:r>
          </w:p>
        </w:tc>
        <w:tc>
          <w:tcPr/>
          <w:p>
            <w:pPr>
              <w:pStyle w:val="Compact"/>
              <w:jc w:val="left"/>
            </w:pPr>
            <w:r>
              <w:t xml:space="preserve">σοι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σου</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4,42 —</w:t>
            </w:r>
          </w:p>
        </w:tc>
        <w:tc>
          <w:tcPr/>
          <w:p>
            <w:pPr>
              <w:pStyle w:val="Compact"/>
              <w:jc w:val="left"/>
            </w:pPr>
            <w:r>
              <w:t xml:space="preserve">εζητουν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επεζητουν</w:t>
            </w:r>
          </w:p>
        </w:tc>
        <w:tc>
          <w:tcPr/>
          <w:p>
            <w:pPr>
              <w:pStyle w:val="Compact"/>
              <w:jc w:val="left"/>
            </w:pPr>
            <w:r>
              <w:rPr>
                <w:bCs/>
                <w:b/>
              </w:rPr>
              <w:t xml:space="preserve">K</w:t>
            </w:r>
            <w:r>
              <w:rPr>
                <w:vertAlign w:val="superscript"/>
                <w:bCs/>
                <w:b/>
              </w:rPr>
              <w:t xml:space="preserve">x</w:t>
            </w:r>
            <w:r>
              <w:t xml:space="preserve"> </w:t>
            </w:r>
            <w:r>
              <w:t xml:space="preserve">ℵABCD</w:t>
            </w:r>
          </w:p>
        </w:tc>
      </w:tr>
      <w:tr>
        <w:tc>
          <w:tcPr/>
          <w:p>
            <w:pPr>
              <w:pStyle w:val="Compact"/>
              <w:jc w:val="left"/>
            </w:pPr>
            <w:r>
              <w:t xml:space="preserve">Ewangelia Łukasza 5,1 —</w:t>
            </w:r>
          </w:p>
        </w:tc>
        <w:tc>
          <w:tcPr/>
          <w:p>
            <w:pPr>
              <w:pStyle w:val="Compact"/>
              <w:jc w:val="left"/>
            </w:pPr>
            <w:r>
              <w:t xml:space="preserve">περι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παρα</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ℵABC</w:t>
            </w:r>
          </w:p>
        </w:tc>
      </w:tr>
      <w:tr>
        <w:tc>
          <w:tcPr/>
          <w:p>
            <w:pPr>
              <w:pStyle w:val="Compact"/>
              <w:jc w:val="left"/>
            </w:pPr>
            <w:r>
              <w:t xml:space="preserve">Ewangelia Łukasza 5,19 —</w:t>
            </w:r>
          </w:p>
        </w:tc>
        <w:tc>
          <w:tcPr/>
          <w:p>
            <w:pPr>
              <w:pStyle w:val="Compact"/>
              <w:jc w:val="left"/>
            </w:pPr>
            <w:r>
              <w:t xml:space="preserve">ευροντες δια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ευροντες —</w:t>
            </w:r>
          </w:p>
        </w:tc>
        <w:tc>
          <w:tcPr/>
          <w:p>
            <w:pPr>
              <w:pStyle w:val="Compact"/>
              <w:jc w:val="left"/>
            </w:pPr>
            <w:r>
              <w:rPr>
                <w:bCs/>
                <w:b/>
              </w:rPr>
              <w:t xml:space="preserve">K</w:t>
            </w:r>
            <w:r>
              <w:rPr>
                <w:vertAlign w:val="superscript"/>
                <w:bCs/>
                <w:b/>
              </w:rPr>
              <w:t xml:space="preserve">x</w:t>
            </w:r>
            <w:r>
              <w:t xml:space="preserve"> </w:t>
            </w:r>
            <w:r>
              <w:t xml:space="preserve">ℵABCD</w:t>
            </w:r>
          </w:p>
        </w:tc>
      </w:tr>
      <w:tr>
        <w:tc>
          <w:tcPr/>
          <w:p>
            <w:pPr>
              <w:pStyle w:val="Compact"/>
              <w:jc w:val="left"/>
            </w:pPr>
            <w:r>
              <w:t xml:space="preserve">Ewangelia Łukasza 5,19 —</w:t>
            </w:r>
          </w:p>
        </w:tc>
        <w:tc>
          <w:tcPr/>
          <w:p>
            <w:pPr>
              <w:pStyle w:val="Compact"/>
              <w:jc w:val="left"/>
            </w:pPr>
            <w:r>
              <w:t xml:space="preserve">πως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ποιας</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6,7 —</w:t>
            </w:r>
          </w:p>
        </w:tc>
        <w:tc>
          <w:tcPr/>
          <w:p>
            <w:pPr>
              <w:pStyle w:val="Compact"/>
              <w:jc w:val="left"/>
            </w:pPr>
            <w:r>
              <w:t xml:space="preserve">— τω</w:t>
            </w:r>
          </w:p>
        </w:tc>
        <w:tc>
          <w:tcPr/>
          <w:p>
            <w:pPr>
              <w:pStyle w:val="Compact"/>
              <w:jc w:val="left"/>
            </w:pPr>
            <w:r>
              <w:rPr>
                <w:bCs/>
                <w:b/>
              </w:rPr>
              <w:t xml:space="preserve">K</w:t>
            </w:r>
            <w:r>
              <w:rPr>
                <w:vertAlign w:val="superscript"/>
                <w:bCs/>
                <w:b/>
              </w:rPr>
              <w:t xml:space="preserve">r</w:t>
            </w:r>
            <w:r>
              <w:t xml:space="preserve"> </w:t>
            </w:r>
            <w:r>
              <w:t xml:space="preserve">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εν τω</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6,10 —</w:t>
            </w:r>
          </w:p>
        </w:tc>
        <w:tc>
          <w:tcPr/>
          <w:p>
            <w:pPr>
              <w:pStyle w:val="Compact"/>
              <w:jc w:val="left"/>
            </w:pPr>
            <w:r>
              <w:t xml:space="preserve">ουτως και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6,26 —</w:t>
            </w:r>
          </w:p>
        </w:tc>
        <w:tc>
          <w:tcPr/>
          <w:p>
            <w:pPr>
              <w:pStyle w:val="Compact"/>
              <w:jc w:val="left"/>
            </w:pPr>
            <w:r>
              <w:t xml:space="preserve">καλως ειπωσιν υμας</w:t>
            </w:r>
          </w:p>
        </w:tc>
        <w:tc>
          <w:tcPr/>
          <w:p>
            <w:pPr>
              <w:pStyle w:val="Compact"/>
              <w:jc w:val="left"/>
            </w:pPr>
            <w:r>
              <w:rPr>
                <w:bCs/>
                <w:b/>
              </w:rPr>
              <w:t xml:space="preserve">K</w:t>
            </w:r>
            <w:r>
              <w:rPr>
                <w:vertAlign w:val="superscript"/>
                <w:bCs/>
                <w:b/>
              </w:rPr>
              <w:t xml:space="preserve">r</w:t>
            </w:r>
            <w:r>
              <w:t xml:space="preserve"> </w:t>
            </w:r>
            <w:r>
              <w:t xml:space="preserve">ℵA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καλως υμας ειπωσιν</w:t>
            </w:r>
          </w:p>
        </w:tc>
        <w:tc>
          <w:tcPr/>
          <w:p>
            <w:pPr>
              <w:pStyle w:val="Compact"/>
              <w:jc w:val="left"/>
            </w:pPr>
            <w:r>
              <w:rPr>
                <w:bCs/>
                <w:b/>
              </w:rPr>
              <w:t xml:space="preserve">K</w:t>
            </w:r>
            <w:r>
              <w:rPr>
                <w:vertAlign w:val="superscript"/>
                <w:bCs/>
                <w:b/>
              </w:rPr>
              <w:t xml:space="preserve">x</w:t>
            </w:r>
            <w:r>
              <w:t xml:space="preserve">D</w:t>
            </w:r>
          </w:p>
        </w:tc>
      </w:tr>
      <w:tr>
        <w:tc>
          <w:tcPr/>
          <w:p>
            <w:pPr>
              <w:pStyle w:val="Compact"/>
            </w:pPr>
          </w:p>
        </w:tc>
        <w:tc>
          <w:tcPr/>
          <w:p>
            <w:pPr>
              <w:pStyle w:val="Compact"/>
              <w:jc w:val="left"/>
            </w:pPr>
            <w:r>
              <w:t xml:space="preserve">υμας καλως ειπωσιν</w:t>
            </w:r>
          </w:p>
        </w:tc>
        <w:tc>
          <w:tcPr/>
          <w:p>
            <w:pPr>
              <w:pStyle w:val="Compact"/>
              <w:jc w:val="left"/>
            </w:pPr>
            <w:r>
              <w:t xml:space="preserve">P</w:t>
            </w:r>
            <w:r>
              <w:rPr>
                <w:vertAlign w:val="superscript"/>
              </w:rPr>
              <w:t xml:space="preserve">75</w:t>
            </w:r>
            <w:r>
              <w:t xml:space="preserve">B</w:t>
            </w:r>
          </w:p>
        </w:tc>
      </w:tr>
      <w:tr>
        <w:tc>
          <w:tcPr/>
          <w:p>
            <w:pPr>
              <w:pStyle w:val="Compact"/>
              <w:jc w:val="left"/>
            </w:pPr>
            <w:r>
              <w:t xml:space="preserve">Ewangelia Łukasza 6,26 —</w:t>
            </w:r>
          </w:p>
        </w:tc>
        <w:tc>
          <w:tcPr/>
          <w:p>
            <w:pPr>
              <w:pStyle w:val="Compact"/>
              <w:jc w:val="left"/>
            </w:pPr>
            <w:r>
              <w:t xml:space="preserve">παντες οι</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AB(ℵ)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 οι</w:t>
            </w:r>
          </w:p>
        </w:tc>
        <w:tc>
          <w:tcPr/>
          <w:p>
            <w:pPr>
              <w:pStyle w:val="Compact"/>
              <w:jc w:val="left"/>
            </w:pPr>
            <w:r>
              <w:rPr>
                <w:bCs/>
                <w:b/>
              </w:rPr>
              <w:t xml:space="preserve">K</w:t>
            </w:r>
            <w:r>
              <w:rPr>
                <w:vertAlign w:val="superscript"/>
                <w:bCs/>
                <w:b/>
              </w:rPr>
              <w:t xml:space="preserve">x</w:t>
            </w:r>
            <w:r>
              <w:t xml:space="preserve"> </w:t>
            </w:r>
            <w:r>
              <w:t xml:space="preserve">D,syr</w:t>
            </w:r>
          </w:p>
        </w:tc>
      </w:tr>
      <w:tr>
        <w:tc>
          <w:tcPr/>
          <w:p>
            <w:pPr>
              <w:pStyle w:val="Compact"/>
              <w:jc w:val="left"/>
            </w:pPr>
            <w:r>
              <w:t xml:space="preserve">Ewangelia Łukasza 6,49 —</w:t>
            </w:r>
          </w:p>
        </w:tc>
        <w:tc>
          <w:tcPr/>
          <w:p>
            <w:pPr>
              <w:pStyle w:val="Compact"/>
              <w:jc w:val="left"/>
            </w:pPr>
            <w:r>
              <w:t xml:space="preserve">την οικιαν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 οικιαν</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8,15 —</w:t>
            </w:r>
          </w:p>
        </w:tc>
        <w:tc>
          <w:tcPr/>
          <w:p>
            <w:pPr>
              <w:pStyle w:val="Compact"/>
              <w:jc w:val="left"/>
            </w:pPr>
            <w:r>
              <w:t xml:space="preserve">ταυτα λεγων εφωνει ο εχων ωτα ακουειν ακουετω</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(pominięcie)</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8,24 —</w:t>
            </w:r>
          </w:p>
        </w:tc>
        <w:tc>
          <w:tcPr/>
          <w:p>
            <w:pPr>
              <w:pStyle w:val="Compact"/>
              <w:jc w:val="left"/>
            </w:pPr>
            <w:r>
              <w:t xml:space="preserve">και προσελθοντες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προσελθοντες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9,27 —</w:t>
            </w:r>
          </w:p>
        </w:tc>
        <w:tc>
          <w:tcPr/>
          <w:p>
            <w:pPr>
              <w:pStyle w:val="Compact"/>
              <w:jc w:val="left"/>
            </w:pPr>
            <w:r>
              <w:t xml:space="preserve">εστηκοτων</w:t>
            </w:r>
          </w:p>
        </w:tc>
        <w:tc>
          <w:tcPr/>
          <w:p>
            <w:pPr>
              <w:pStyle w:val="Compact"/>
              <w:jc w:val="left"/>
            </w:pPr>
            <w:r>
              <w:rPr>
                <w:bCs/>
                <w:b/>
              </w:rPr>
              <w:t xml:space="preserve">K</w:t>
            </w:r>
            <w:r>
              <w:rPr>
                <w:vertAlign w:val="superscript"/>
                <w:bCs/>
                <w:b/>
              </w:rPr>
              <w:t xml:space="preserve">r</w:t>
            </w:r>
            <w:r>
              <w:t xml:space="preserve"> </w:t>
            </w:r>
            <w:r>
              <w:t xml:space="preserve">ℵB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εστωτων</w:t>
            </w:r>
          </w:p>
        </w:tc>
        <w:tc>
          <w:tcPr/>
          <w:p>
            <w:pPr>
              <w:pStyle w:val="Compact"/>
              <w:jc w:val="left"/>
            </w:pPr>
            <w:r>
              <w:rPr>
                <w:bCs/>
                <w:b/>
              </w:rPr>
              <w:t xml:space="preserve">K</w:t>
            </w:r>
            <w:r>
              <w:rPr>
                <w:vertAlign w:val="superscript"/>
                <w:bCs/>
                <w:b/>
              </w:rPr>
              <w:t xml:space="preserve">x</w:t>
            </w:r>
            <w:r>
              <w:t xml:space="preserve"> </w:t>
            </w:r>
            <w:r>
              <w:t xml:space="preserve">ACD</w:t>
            </w:r>
          </w:p>
        </w:tc>
      </w:tr>
      <w:tr>
        <w:tc>
          <w:tcPr/>
          <w:p>
            <w:pPr>
              <w:pStyle w:val="Compact"/>
              <w:jc w:val="left"/>
            </w:pPr>
            <w:r>
              <w:t xml:space="preserve">Ewangelia Łukasza 9,56 —</w:t>
            </w:r>
          </w:p>
        </w:tc>
        <w:tc>
          <w:tcPr/>
          <w:p>
            <w:pPr>
              <w:pStyle w:val="Compact"/>
              <w:jc w:val="left"/>
            </w:pPr>
            <w:r>
              <w:t xml:space="preserve">(obecność wersetu)</w:t>
            </w:r>
          </w:p>
        </w:tc>
        <w:tc>
          <w:tcPr/>
          <w:p>
            <w:pPr>
              <w:pStyle w:val="Compact"/>
              <w:jc w:val="left"/>
            </w:pPr>
            <w:r>
              <w:rPr>
                <w:bCs/>
                <w:b/>
              </w:rPr>
              <w:t xml:space="preserve">K</w:t>
            </w:r>
            <w:r>
              <w:rPr>
                <w:vertAlign w:val="superscript"/>
                <w:bCs/>
                <w:b/>
              </w:rPr>
              <w:t xml:space="preserve">r</w:t>
            </w:r>
            <w:r>
              <w:t xml:space="preserve"> </w:t>
            </w:r>
            <w:r>
              <w:rPr>
                <w:bCs/>
                <w:b/>
              </w:rPr>
              <w:t xml:space="preserve">K</w:t>
            </w:r>
            <w:r>
              <w:rPr>
                <w:vertAlign w:val="superscript"/>
                <w:bCs/>
                <w:b/>
              </w:rPr>
              <w:t xml:space="preserve">x</w:t>
            </w:r>
            <w:r>
              <w:t xml:space="preserve"> </w:t>
            </w:r>
            <w:r>
              <w:t xml:space="preserve">lat,syr,Diat,Marcion (</w:t>
            </w:r>
            <w:r>
              <w:rPr>
                <w:bCs/>
                <w:b/>
              </w:rPr>
              <w:t xml:space="preserve">K</w:t>
            </w:r>
            <w:r>
              <w:rPr>
                <w:vertAlign w:val="superscript"/>
                <w:bCs/>
                <w:b/>
              </w:rPr>
              <w:t xml:space="preserve">r</w:t>
            </w:r>
            <w:r>
              <w:t xml:space="preserve"> </w:t>
            </w:r>
            <w:r>
              <w:t xml:space="preserve">i</w:t>
            </w:r>
            <w:r>
              <w:t xml:space="preserve"> </w:t>
            </w:r>
            <w:r>
              <w:rPr>
                <w:bCs/>
                <w:b/>
              </w:rPr>
              <w:t xml:space="preserve">K</w:t>
            </w:r>
            <w:r>
              <w:rPr>
                <w:vertAlign w:val="superscript"/>
                <w:bCs/>
                <w:b/>
              </w:rPr>
              <w:t xml:space="preserve">x</w:t>
            </w:r>
            <w:r>
              <w:t xml:space="preserve"> </w:t>
            </w:r>
            <w:r>
              <w:t xml:space="preserve">pochodzą z II wieku)</w:t>
            </w:r>
          </w:p>
        </w:tc>
      </w:tr>
      <w:tr>
        <w:tc>
          <w:tcPr/>
          <w:p>
            <w:pPr>
              <w:pStyle w:val="Compact"/>
            </w:pPr>
          </w:p>
        </w:tc>
        <w:tc>
          <w:tcPr/>
          <w:p>
            <w:pPr>
              <w:pStyle w:val="Compact"/>
              <w:jc w:val="left"/>
            </w:pPr>
            <w:r>
              <w:t xml:space="preserve">(pominięcie wersetu)</w:t>
            </w:r>
          </w:p>
        </w:tc>
        <w:tc>
          <w:tcPr/>
          <w:p>
            <w:pPr>
              <w:pStyle w:val="Compact"/>
              <w:jc w:val="left"/>
            </w:pPr>
            <w:r>
              <w:t xml:space="preserve">P</w:t>
            </w:r>
            <w:r>
              <w:rPr>
                <w:vertAlign w:val="superscript"/>
              </w:rPr>
              <w:t xml:space="preserve">45,75</w:t>
            </w:r>
            <w:r>
              <w:t xml:space="preserve"> </w:t>
            </w:r>
            <w:r>
              <w:t xml:space="preserve">ℵABCDW,cop</w:t>
            </w:r>
          </w:p>
        </w:tc>
      </w:tr>
      <w:tr>
        <w:tc>
          <w:tcPr/>
          <w:p>
            <w:pPr>
              <w:pStyle w:val="Compact"/>
              <w:jc w:val="left"/>
            </w:pPr>
            <w:r>
              <w:t xml:space="preserve">Ewangelia Łukasza 10,4 —</w:t>
            </w:r>
          </w:p>
        </w:tc>
        <w:tc>
          <w:tcPr/>
          <w:p>
            <w:pPr>
              <w:pStyle w:val="Compact"/>
              <w:jc w:val="left"/>
            </w:pPr>
            <w:r>
              <w:t xml:space="preserve">πηραν μη</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πηραν μηδε</w:t>
            </w:r>
          </w:p>
        </w:tc>
        <w:tc>
          <w:tcPr/>
          <w:p>
            <w:pPr>
              <w:pStyle w:val="Compact"/>
              <w:jc w:val="left"/>
            </w:pPr>
            <w:r>
              <w:rPr>
                <w:bCs/>
                <w:b/>
              </w:rPr>
              <w:t xml:space="preserve">K</w:t>
            </w:r>
            <w:r>
              <w:rPr>
                <w:vertAlign w:val="superscript"/>
                <w:bCs/>
                <w:b/>
              </w:rPr>
              <w:t xml:space="preserve">x</w:t>
            </w:r>
            <w:r>
              <w:t xml:space="preserve"> </w:t>
            </w:r>
            <w:r>
              <w:t xml:space="preserve">AC</w:t>
            </w:r>
          </w:p>
        </w:tc>
      </w:tr>
      <w:tr>
        <w:tc>
          <w:tcPr/>
          <w:p>
            <w:pPr>
              <w:pStyle w:val="Compact"/>
              <w:jc w:val="left"/>
            </w:pPr>
            <w:r>
              <w:t xml:space="preserve">Ewangelia Łukasza 10,6 —</w:t>
            </w:r>
          </w:p>
        </w:tc>
        <w:tc>
          <w:tcPr/>
          <w:p>
            <w:pPr>
              <w:pStyle w:val="Compact"/>
              <w:jc w:val="left"/>
            </w:pPr>
            <w:r>
              <w:t xml:space="preserve">εαν μεν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εαν —</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ℵABCD</w:t>
            </w:r>
          </w:p>
        </w:tc>
      </w:tr>
      <w:tr>
        <w:tc>
          <w:tcPr/>
          <w:p>
            <w:pPr>
              <w:pStyle w:val="Compact"/>
              <w:jc w:val="left"/>
            </w:pPr>
            <w:r>
              <w:t xml:space="preserve">Ewangelia Łukasza 10,39 —</w:t>
            </w:r>
          </w:p>
        </w:tc>
        <w:tc>
          <w:tcPr/>
          <w:p>
            <w:pPr>
              <w:pStyle w:val="Compact"/>
              <w:jc w:val="left"/>
            </w:pPr>
            <w:r>
              <w:t xml:space="preserve">των λογων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τον λογον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45,75</w:t>
            </w:r>
            <w:r>
              <w:t xml:space="preserve"> </w:t>
            </w:r>
            <w:r>
              <w:t xml:space="preserve">ℵABC</w:t>
            </w:r>
          </w:p>
        </w:tc>
      </w:tr>
      <w:tr>
        <w:tc>
          <w:tcPr/>
          <w:p>
            <w:pPr>
              <w:pStyle w:val="Compact"/>
              <w:jc w:val="left"/>
            </w:pPr>
            <w:r>
              <w:t xml:space="preserve">Ewangelia Łukasza 10,41 —</w:t>
            </w:r>
          </w:p>
        </w:tc>
        <w:tc>
          <w:tcPr/>
          <w:p>
            <w:pPr>
              <w:pStyle w:val="Compact"/>
              <w:jc w:val="left"/>
            </w:pPr>
            <w:r>
              <w:t xml:space="preserve">ο Ιησους ειπεν αυτη</w:t>
            </w:r>
          </w:p>
        </w:tc>
        <w:tc>
          <w:tcPr/>
          <w:p>
            <w:pPr>
              <w:pStyle w:val="Compact"/>
              <w:jc w:val="left"/>
            </w:pPr>
            <w:r>
              <w:rPr>
                <w:bCs/>
                <w:b/>
              </w:rPr>
              <w:t xml:space="preserve">K</w:t>
            </w:r>
            <w:r>
              <w:rPr>
                <w:vertAlign w:val="superscript"/>
                <w:bCs/>
                <w:b/>
              </w:rPr>
              <w:t xml:space="preserve">r</w:t>
            </w:r>
            <w:r>
              <w:t xml:space="preserve"> </w:t>
            </w:r>
            <w:r>
              <w:t xml:space="preserve">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ο Kυριος ειπεν αυτη</w:t>
            </w:r>
          </w:p>
        </w:tc>
        <w:tc>
          <w:tcPr/>
          <w:p>
            <w:pPr>
              <w:pStyle w:val="Compact"/>
              <w:jc w:val="left"/>
            </w:pPr>
            <w:r>
              <w:t xml:space="preserve">P</w:t>
            </w:r>
            <w:r>
              <w:rPr>
                <w:vertAlign w:val="superscript"/>
              </w:rPr>
              <w:t xml:space="preserve">45</w:t>
            </w:r>
            <w:r>
              <w:t xml:space="preserve"> </w:t>
            </w:r>
            <w:r>
              <w:t xml:space="preserve">(szyk wyrazów pochodzi z III wieku)</w:t>
            </w:r>
          </w:p>
        </w:tc>
      </w:tr>
      <w:tr>
        <w:tc>
          <w:tcPr/>
          <w:p>
            <w:pPr>
              <w:pStyle w:val="Compact"/>
            </w:pPr>
          </w:p>
        </w:tc>
        <w:tc>
          <w:tcPr/>
          <w:p>
            <w:pPr>
              <w:pStyle w:val="Compact"/>
              <w:jc w:val="left"/>
            </w:pPr>
            <w:r>
              <w:t xml:space="preserve">ειπεν αυτη ο Ιησους</w:t>
            </w:r>
          </w:p>
        </w:tc>
        <w:tc>
          <w:tcPr/>
          <w:p>
            <w:pPr>
              <w:pStyle w:val="Compact"/>
              <w:jc w:val="left"/>
            </w:pPr>
            <w:r>
              <w:rPr>
                <w:bCs/>
                <w:b/>
              </w:rPr>
              <w:t xml:space="preserve">K</w:t>
            </w:r>
            <w:r>
              <w:rPr>
                <w:vertAlign w:val="superscript"/>
                <w:bCs/>
                <w:b/>
              </w:rPr>
              <w:t xml:space="preserve">x</w:t>
            </w:r>
            <w:r>
              <w:t xml:space="preserve"> </w:t>
            </w:r>
            <w:r>
              <w:t xml:space="preserve">ACW,syr,bo</w:t>
            </w:r>
          </w:p>
        </w:tc>
      </w:tr>
      <w:tr>
        <w:tc>
          <w:tcPr/>
          <w:p>
            <w:pPr>
              <w:pStyle w:val="Compact"/>
            </w:pPr>
          </w:p>
        </w:tc>
        <w:tc>
          <w:tcPr/>
          <w:p>
            <w:pPr>
              <w:pStyle w:val="Compact"/>
              <w:jc w:val="left"/>
            </w:pPr>
            <w:r>
              <w:t xml:space="preserve">ειπεν αυτη ο Kυριος</w:t>
            </w:r>
          </w:p>
        </w:tc>
        <w:tc>
          <w:tcPr/>
          <w:p>
            <w:pPr>
              <w:pStyle w:val="Compact"/>
              <w:jc w:val="left"/>
            </w:pPr>
            <w:r>
              <w:t xml:space="preserve">P</w:t>
            </w:r>
            <w:r>
              <w:rPr>
                <w:vertAlign w:val="superscript"/>
              </w:rPr>
              <w:t xml:space="preserve">75</w:t>
            </w:r>
            <w:r>
              <w:t xml:space="preserve"> </w:t>
            </w:r>
            <w:r>
              <w:t xml:space="preserve">ℵB,lat,sa</w:t>
            </w:r>
          </w:p>
        </w:tc>
      </w:tr>
      <w:tr>
        <w:tc>
          <w:tcPr/>
          <w:p>
            <w:pPr>
              <w:pStyle w:val="Compact"/>
              <w:jc w:val="left"/>
            </w:pPr>
            <w:r>
              <w:t xml:space="preserve">Ewangelia Łukasza 11,34 —</w:t>
            </w:r>
          </w:p>
        </w:tc>
        <w:tc>
          <w:tcPr/>
          <w:p>
            <w:pPr>
              <w:pStyle w:val="Compact"/>
              <w:jc w:val="left"/>
            </w:pPr>
            <w:r>
              <w:t xml:space="preserve">— ολον</w:t>
            </w:r>
          </w:p>
        </w:tc>
        <w:tc>
          <w:tcPr/>
          <w:p>
            <w:pPr>
              <w:pStyle w:val="Compact"/>
              <w:jc w:val="left"/>
            </w:pPr>
            <w:r>
              <w:rPr>
                <w:bCs/>
                <w:b/>
              </w:rPr>
              <w:t xml:space="preserve">K</w:t>
            </w:r>
            <w:r>
              <w:rPr>
                <w:vertAlign w:val="superscript"/>
                <w:bCs/>
                <w:b/>
              </w:rPr>
              <w:t xml:space="preserve">r</w:t>
            </w:r>
            <w:r>
              <w:t xml:space="preserve"> </w:t>
            </w:r>
            <w:r>
              <w:t xml:space="preserve">CD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και ολον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45,75</w:t>
            </w:r>
            <w:r>
              <w:t xml:space="preserve"> </w:t>
            </w:r>
            <w:r>
              <w:t xml:space="preserve">ℵAB</w:t>
            </w:r>
          </w:p>
        </w:tc>
      </w:tr>
      <w:tr>
        <w:tc>
          <w:tcPr/>
          <w:p>
            <w:pPr>
              <w:pStyle w:val="Compact"/>
              <w:jc w:val="left"/>
            </w:pPr>
            <w:r>
              <w:t xml:space="preserve">Ewangelia Łukasza 11,53 —</w:t>
            </w:r>
          </w:p>
        </w:tc>
        <w:tc>
          <w:tcPr/>
          <w:p>
            <w:pPr>
              <w:pStyle w:val="Compact"/>
              <w:jc w:val="left"/>
            </w:pPr>
            <w:r>
              <w:t xml:space="preserve">συνεχειν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ενεχειν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w:t>
            </w:r>
          </w:p>
        </w:tc>
      </w:tr>
      <w:tr>
        <w:tc>
          <w:tcPr/>
          <w:p>
            <w:pPr>
              <w:pStyle w:val="Compact"/>
            </w:pPr>
          </w:p>
        </w:tc>
        <w:tc>
          <w:tcPr/>
          <w:p>
            <w:pPr>
              <w:pStyle w:val="Compact"/>
              <w:jc w:val="left"/>
            </w:pPr>
            <w:r>
              <w:t xml:space="preserve">εχειν</w:t>
            </w:r>
          </w:p>
        </w:tc>
        <w:tc>
          <w:tcPr/>
          <w:p>
            <w:pPr>
              <w:pStyle w:val="Compact"/>
              <w:jc w:val="left"/>
            </w:pPr>
            <w:r>
              <w:t xml:space="preserve">P</w:t>
            </w:r>
            <w:r>
              <w:rPr>
                <w:vertAlign w:val="superscript"/>
              </w:rPr>
              <w:t xml:space="preserve">45</w:t>
            </w:r>
            <w:r>
              <w:t xml:space="preserve">D</w:t>
            </w:r>
          </w:p>
        </w:tc>
      </w:tr>
      <w:tr>
        <w:tc>
          <w:tcPr/>
          <w:p>
            <w:pPr>
              <w:pStyle w:val="Compact"/>
            </w:pPr>
          </w:p>
        </w:tc>
        <w:tc>
          <w:tcPr/>
          <w:p>
            <w:pPr>
              <w:pStyle w:val="Compact"/>
              <w:jc w:val="left"/>
            </w:pPr>
            <w:r>
              <w:t xml:space="preserve">επεχειν</w:t>
            </w:r>
          </w:p>
        </w:tc>
        <w:tc>
          <w:tcPr/>
          <w:p>
            <w:pPr>
              <w:pStyle w:val="Compact"/>
              <w:jc w:val="left"/>
            </w:pPr>
            <w:r>
              <w:t xml:space="preserve">C</w:t>
            </w:r>
          </w:p>
        </w:tc>
      </w:tr>
      <w:tr>
        <w:tc>
          <w:tcPr/>
          <w:p>
            <w:pPr>
              <w:pStyle w:val="Compact"/>
              <w:jc w:val="left"/>
            </w:pPr>
            <w:r>
              <w:t xml:space="preserve">Ewangelia Łukasza 12,22 —</w:t>
            </w:r>
          </w:p>
        </w:tc>
        <w:tc>
          <w:tcPr/>
          <w:p>
            <w:pPr>
              <w:pStyle w:val="Compact"/>
              <w:jc w:val="left"/>
            </w:pPr>
            <w:r>
              <w:t xml:space="preserve">λεγω υμιν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ℵBD,lat (</w:t>
            </w:r>
            <w:r>
              <w:rPr>
                <w:bCs/>
                <w:b/>
              </w:rPr>
              <w:t xml:space="preserve">K</w:t>
            </w:r>
            <w:r>
              <w:rPr>
                <w:vertAlign w:val="superscript"/>
                <w:bCs/>
                <w:b/>
              </w:rPr>
              <w:t xml:space="preserve">r</w:t>
            </w:r>
            <w:r>
              <w:t xml:space="preserve"> </w:t>
            </w:r>
            <w:r>
              <w:t xml:space="preserve">jest niezależny i pochodzi z II wieku)</w:t>
            </w:r>
          </w:p>
        </w:tc>
      </w:tr>
      <w:tr>
        <w:tc>
          <w:tcPr/>
          <w:p>
            <w:pPr>
              <w:pStyle w:val="Compact"/>
            </w:pPr>
          </w:p>
        </w:tc>
        <w:tc>
          <w:tcPr/>
          <w:p>
            <w:pPr>
              <w:pStyle w:val="Compact"/>
              <w:jc w:val="left"/>
            </w:pPr>
            <w:r>
              <w:t xml:space="preserve">υμιν λεγω</w:t>
            </w:r>
          </w:p>
        </w:tc>
        <w:tc>
          <w:tcPr/>
          <w:p>
            <w:pPr>
              <w:pStyle w:val="Compact"/>
              <w:jc w:val="left"/>
            </w:pPr>
            <w:r>
              <w:rPr>
                <w:bCs/>
                <w:b/>
              </w:rPr>
              <w:t xml:space="preserve">K</w:t>
            </w:r>
            <w:r>
              <w:rPr>
                <w:vertAlign w:val="superscript"/>
                <w:bCs/>
                <w:b/>
              </w:rPr>
              <w:t xml:space="preserve">x</w:t>
            </w:r>
            <w:r>
              <w:t xml:space="preserve"> </w:t>
            </w:r>
            <w:r>
              <w:t xml:space="preserve">AW</w:t>
            </w:r>
          </w:p>
        </w:tc>
      </w:tr>
      <w:tr>
        <w:tc>
          <w:tcPr/>
          <w:p>
            <w:pPr>
              <w:pStyle w:val="Compact"/>
              <w:jc w:val="left"/>
            </w:pPr>
            <w:r>
              <w:t xml:space="preserve">Ewangelia Łukasza 12,56 —</w:t>
            </w:r>
          </w:p>
        </w:tc>
        <w:tc>
          <w:tcPr/>
          <w:p>
            <w:pPr>
              <w:pStyle w:val="Compact"/>
              <w:jc w:val="left"/>
            </w:pPr>
            <w:r>
              <w:t xml:space="preserve">του ουρανου και της γης</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45,75</w:t>
            </w:r>
            <w:r>
              <w:t xml:space="preserve">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της γης και του ουρανου</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12,58 —</w:t>
            </w:r>
          </w:p>
        </w:tc>
        <w:tc>
          <w:tcPr/>
          <w:p>
            <w:pPr>
              <w:pStyle w:val="Compact"/>
              <w:jc w:val="left"/>
            </w:pPr>
            <w:r>
              <w:t xml:space="preserve">βαλη σε</w:t>
            </w:r>
          </w:p>
        </w:tc>
        <w:tc>
          <w:tcPr/>
          <w:p>
            <w:pPr>
              <w:pStyle w:val="Compact"/>
              <w:jc w:val="left"/>
            </w:pPr>
            <w:r>
              <w:rPr>
                <w:bCs/>
                <w:b/>
              </w:rPr>
              <w:t xml:space="preserve">K</w:t>
            </w:r>
            <w:r>
              <w:rPr>
                <w:vertAlign w:val="superscript"/>
                <w:bCs/>
                <w:b/>
              </w:rPr>
              <w:t xml:space="preserve">r</w:t>
            </w:r>
            <w:r>
              <w:t xml:space="preserve">(D) (</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σε βαλη</w:t>
            </w:r>
          </w:p>
        </w:tc>
        <w:tc>
          <w:tcPr/>
          <w:p>
            <w:pPr>
              <w:pStyle w:val="Compact"/>
              <w:jc w:val="left"/>
            </w:pPr>
            <w:r>
              <w:rPr>
                <w:bCs/>
                <w:b/>
              </w:rPr>
              <w:t xml:space="preserve">K</w:t>
            </w:r>
            <w:r>
              <w:rPr>
                <w:vertAlign w:val="superscript"/>
                <w:bCs/>
                <w:b/>
              </w:rPr>
              <w:t xml:space="preserve">x</w:t>
            </w:r>
            <w:r>
              <w:t xml:space="preserve"> </w:t>
            </w:r>
            <w:r>
              <w:t xml:space="preserve">A(P</w:t>
            </w:r>
            <w:r>
              <w:rPr>
                <w:vertAlign w:val="superscript"/>
              </w:rPr>
              <w:t xml:space="preserve">75</w:t>
            </w:r>
            <w:r>
              <w:t xml:space="preserve"> </w:t>
            </w:r>
            <w:r>
              <w:t xml:space="preserve">ℵB)</w:t>
            </w:r>
          </w:p>
        </w:tc>
      </w:tr>
      <w:tr>
        <w:tc>
          <w:tcPr/>
          <w:p>
            <w:pPr>
              <w:pStyle w:val="Compact"/>
              <w:jc w:val="left"/>
            </w:pPr>
            <w:r>
              <w:t xml:space="preserve">Ewangelia Łukasza 13,28 —</w:t>
            </w:r>
          </w:p>
        </w:tc>
        <w:tc>
          <w:tcPr/>
          <w:p>
            <w:pPr>
              <w:pStyle w:val="Compact"/>
              <w:jc w:val="left"/>
            </w:pPr>
            <w:r>
              <w:t xml:space="preserve">οψεσθε</w:t>
            </w:r>
          </w:p>
        </w:tc>
        <w:tc>
          <w:tcPr/>
          <w:p>
            <w:pPr>
              <w:pStyle w:val="Compact"/>
              <w:jc w:val="left"/>
            </w:pPr>
            <w:r>
              <w:rPr>
                <w:bCs/>
                <w:b/>
              </w:rPr>
              <w:t xml:space="preserve">K</w:t>
            </w:r>
            <w:r>
              <w:rPr>
                <w:vertAlign w:val="superscript"/>
                <w:bCs/>
                <w:b/>
              </w:rPr>
              <w:t xml:space="preserve">r</w:t>
            </w:r>
            <w:r>
              <w:t xml:space="preserve"> </w:t>
            </w:r>
            <w:r>
              <w:t xml:space="preserve">BD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οψησθε</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AW</w:t>
            </w:r>
          </w:p>
        </w:tc>
      </w:tr>
      <w:tr>
        <w:tc>
          <w:tcPr/>
          <w:p>
            <w:pPr>
              <w:pStyle w:val="Compact"/>
            </w:pPr>
          </w:p>
        </w:tc>
        <w:tc>
          <w:tcPr/>
          <w:p>
            <w:pPr>
              <w:pStyle w:val="Compact"/>
              <w:jc w:val="left"/>
            </w:pPr>
            <w:r>
              <w:t xml:space="preserve">ιδητε</w:t>
            </w:r>
          </w:p>
        </w:tc>
        <w:tc>
          <w:tcPr/>
          <w:p>
            <w:pPr>
              <w:pStyle w:val="Compact"/>
              <w:jc w:val="left"/>
            </w:pPr>
            <w:r>
              <w:t xml:space="preserve">ℵ</w:t>
            </w:r>
          </w:p>
        </w:tc>
      </w:tr>
      <w:tr>
        <w:tc>
          <w:tcPr/>
          <w:p>
            <w:pPr>
              <w:pStyle w:val="Compact"/>
              <w:jc w:val="left"/>
            </w:pPr>
            <w:r>
              <w:t xml:space="preserve">Ewangelia Łukasza 19,23 —</w:t>
            </w:r>
          </w:p>
        </w:tc>
        <w:tc>
          <w:tcPr/>
          <w:p>
            <w:pPr>
              <w:pStyle w:val="Compact"/>
              <w:jc w:val="left"/>
            </w:pPr>
            <w:r>
              <w:t xml:space="preserve">επι την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επι —</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21,6 —</w:t>
            </w:r>
          </w:p>
        </w:tc>
        <w:tc>
          <w:tcPr/>
          <w:p>
            <w:pPr>
              <w:pStyle w:val="Compact"/>
              <w:jc w:val="left"/>
            </w:pPr>
            <w:r>
              <w:t xml:space="preserve">επι λιθον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επι λιθω</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21,15 —</w:t>
            </w:r>
          </w:p>
        </w:tc>
        <w:tc>
          <w:tcPr/>
          <w:p>
            <w:pPr>
              <w:pStyle w:val="Compact"/>
              <w:jc w:val="left"/>
            </w:pPr>
            <w:r>
              <w:t xml:space="preserve">αντειπειν η αντιστηναι</w:t>
            </w:r>
          </w:p>
        </w:tc>
        <w:tc>
          <w:tcPr/>
          <w:p>
            <w:pPr>
              <w:pStyle w:val="Compact"/>
              <w:jc w:val="left"/>
            </w:pPr>
            <w:r>
              <w:rPr>
                <w:bCs/>
                <w:b/>
              </w:rPr>
              <w:t xml:space="preserve">K</w:t>
            </w:r>
            <w:r>
              <w:rPr>
                <w:vertAlign w:val="superscript"/>
                <w:bCs/>
                <w:b/>
              </w:rPr>
              <w:t xml:space="preserve">r</w:t>
            </w:r>
            <w:r>
              <w:t xml:space="preserve"> </w:t>
            </w:r>
            <w:r>
              <w:t xml:space="preserve">A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αντειπειν ουδε αντιστηναι</w:t>
            </w:r>
          </w:p>
        </w:tc>
        <w:tc>
          <w:tcPr/>
          <w:p>
            <w:pPr>
              <w:pStyle w:val="Compact"/>
              <w:jc w:val="left"/>
            </w:pPr>
            <w:r>
              <w:rPr>
                <w:bCs/>
                <w:b/>
              </w:rPr>
              <w:t xml:space="preserve">K</w:t>
            </w:r>
            <w:r>
              <w:rPr>
                <w:vertAlign w:val="superscript"/>
                <w:bCs/>
                <w:b/>
              </w:rPr>
              <w:t xml:space="preserve">x</w:t>
            </w:r>
            <w:r>
              <w:t xml:space="preserve"> </w:t>
            </w:r>
            <w:r>
              <w:t xml:space="preserve">W</w:t>
            </w:r>
          </w:p>
        </w:tc>
      </w:tr>
      <w:tr>
        <w:tc>
          <w:tcPr/>
          <w:p>
            <w:pPr>
              <w:pStyle w:val="Compact"/>
            </w:pPr>
          </w:p>
        </w:tc>
        <w:tc>
          <w:tcPr/>
          <w:p>
            <w:pPr>
              <w:pStyle w:val="Compact"/>
              <w:jc w:val="left"/>
            </w:pPr>
            <w:r>
              <w:t xml:space="preserve">— — αντιστηναι</w:t>
            </w:r>
          </w:p>
        </w:tc>
        <w:tc>
          <w:tcPr/>
          <w:p>
            <w:pPr>
              <w:pStyle w:val="Compact"/>
              <w:jc w:val="left"/>
            </w:pPr>
            <w:r>
              <w:t xml:space="preserve">D,it,syr</w:t>
            </w:r>
          </w:p>
        </w:tc>
      </w:tr>
      <w:tr>
        <w:tc>
          <w:tcPr/>
          <w:p>
            <w:pPr>
              <w:pStyle w:val="Compact"/>
            </w:pPr>
          </w:p>
        </w:tc>
        <w:tc>
          <w:tcPr/>
          <w:p>
            <w:pPr>
              <w:pStyle w:val="Compact"/>
              <w:jc w:val="left"/>
            </w:pPr>
            <w:r>
              <w:t xml:space="preserve">αντιστηναι η αντειπειν</w:t>
            </w:r>
          </w:p>
        </w:tc>
        <w:tc>
          <w:tcPr/>
          <w:p>
            <w:pPr>
              <w:pStyle w:val="Compact"/>
              <w:jc w:val="left"/>
            </w:pPr>
            <w:r>
              <w:t xml:space="preserve">ℵB,cop</w:t>
            </w:r>
          </w:p>
        </w:tc>
      </w:tr>
      <w:tr>
        <w:tc>
          <w:tcPr/>
          <w:p>
            <w:pPr>
              <w:pStyle w:val="Compact"/>
              <w:jc w:val="left"/>
            </w:pPr>
            <w:r>
              <w:t xml:space="preserve">Ewangelia Łukasza 22,12 —</w:t>
            </w:r>
          </w:p>
        </w:tc>
        <w:tc>
          <w:tcPr/>
          <w:p>
            <w:pPr>
              <w:pStyle w:val="Compact"/>
              <w:jc w:val="left"/>
            </w:pPr>
            <w:r>
              <w:t xml:space="preserve">αναγαιον</w:t>
            </w:r>
          </w:p>
        </w:tc>
        <w:tc>
          <w:tcPr/>
          <w:p>
            <w:pPr>
              <w:pStyle w:val="Compact"/>
              <w:jc w:val="left"/>
            </w:pPr>
            <w:r>
              <w:rPr>
                <w:bCs/>
                <w:b/>
              </w:rPr>
              <w:t xml:space="preserve">K</w:t>
            </w:r>
            <w:r>
              <w:rPr>
                <w:vertAlign w:val="superscript"/>
                <w:bCs/>
                <w:b/>
              </w:rPr>
              <w:t xml:space="preserve">r</w:t>
            </w:r>
            <w:r>
              <w:t xml:space="preserve"> </w:t>
            </w:r>
            <w:r>
              <w:t xml:space="preserve">ℵABD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αναγεον</w:t>
            </w:r>
          </w:p>
        </w:tc>
        <w:tc>
          <w:tcPr/>
          <w:p>
            <w:pPr>
              <w:pStyle w:val="Compact"/>
              <w:jc w:val="left"/>
            </w:pPr>
            <w:r>
              <w:t xml:space="preserve">CW</w:t>
            </w:r>
          </w:p>
        </w:tc>
      </w:tr>
      <w:tr>
        <w:tc>
          <w:tcPr/>
          <w:p>
            <w:pPr>
              <w:pStyle w:val="Compact"/>
            </w:pPr>
          </w:p>
        </w:tc>
        <w:tc>
          <w:tcPr/>
          <w:p>
            <w:pPr>
              <w:pStyle w:val="Compact"/>
              <w:jc w:val="left"/>
            </w:pPr>
            <w:r>
              <w:t xml:space="preserve">ανωγεον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Ewangelia Łukasza 22,66 —</w:t>
            </w:r>
          </w:p>
        </w:tc>
        <w:tc>
          <w:tcPr/>
          <w:p>
            <w:pPr>
              <w:pStyle w:val="Compact"/>
              <w:jc w:val="left"/>
            </w:pPr>
            <w:r>
              <w:t xml:space="preserve">απηγαγον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ανηγαγον</w:t>
            </w:r>
          </w:p>
        </w:tc>
        <w:tc>
          <w:tcPr/>
          <w:p>
            <w:pPr>
              <w:pStyle w:val="Compact"/>
              <w:jc w:val="left"/>
            </w:pPr>
            <w:r>
              <w:rPr>
                <w:bCs/>
                <w:b/>
              </w:rPr>
              <w:t xml:space="preserve">K</w:t>
            </w:r>
            <w:r>
              <w:rPr>
                <w:vertAlign w:val="superscript"/>
                <w:bCs/>
                <w:b/>
              </w:rPr>
              <w:t xml:space="preserve">x</w:t>
            </w:r>
            <w:r>
              <w:t xml:space="preserve"> </w:t>
            </w:r>
            <w:r>
              <w:t xml:space="preserve">AW</w:t>
            </w:r>
          </w:p>
        </w:tc>
      </w:tr>
      <w:tr>
        <w:tc>
          <w:tcPr/>
          <w:p>
            <w:pPr>
              <w:pStyle w:val="Compact"/>
              <w:jc w:val="left"/>
            </w:pPr>
            <w:r>
              <w:t xml:space="preserve">Ewangelia Łukasza 23,51 —</w:t>
            </w:r>
          </w:p>
        </w:tc>
        <w:tc>
          <w:tcPr/>
          <w:p>
            <w:pPr>
              <w:pStyle w:val="Compact"/>
              <w:jc w:val="left"/>
            </w:pPr>
            <w:r>
              <w:t xml:space="preserve">ος —</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ℵBCD,lat (</w:t>
            </w:r>
            <w:r>
              <w:rPr>
                <w:bCs/>
                <w:b/>
              </w:rPr>
              <w:t xml:space="preserve">K</w:t>
            </w:r>
            <w:r>
              <w:rPr>
                <w:vertAlign w:val="superscript"/>
                <w:bCs/>
                <w:b/>
              </w:rPr>
              <w:t xml:space="preserve">r</w:t>
            </w:r>
            <w:r>
              <w:t xml:space="preserve"> </w:t>
            </w:r>
            <w:r>
              <w:t xml:space="preserve">jest niezależny i pochodzi z II wieku)</w:t>
            </w:r>
          </w:p>
        </w:tc>
      </w:tr>
      <w:tr>
        <w:tc>
          <w:tcPr/>
          <w:p>
            <w:pPr>
              <w:pStyle w:val="Compact"/>
            </w:pPr>
          </w:p>
        </w:tc>
        <w:tc>
          <w:tcPr/>
          <w:p>
            <w:pPr>
              <w:pStyle w:val="Compact"/>
              <w:jc w:val="left"/>
            </w:pPr>
            <w:r>
              <w:t xml:space="preserve">ος και</w:t>
            </w:r>
          </w:p>
        </w:tc>
        <w:tc>
          <w:tcPr/>
          <w:p>
            <w:pPr>
              <w:pStyle w:val="Compact"/>
              <w:jc w:val="left"/>
            </w:pPr>
            <w:r>
              <w:rPr>
                <w:bCs/>
                <w:b/>
              </w:rPr>
              <w:t xml:space="preserve">K</w:t>
            </w:r>
            <w:r>
              <w:rPr>
                <w:vertAlign w:val="superscript"/>
                <w:bCs/>
                <w:b/>
              </w:rPr>
              <w:t xml:space="preserve">x</w:t>
            </w:r>
            <w:r>
              <w:t xml:space="preserve"> </w:t>
            </w:r>
            <w:r>
              <w:t xml:space="preserve">AW</w:t>
            </w:r>
          </w:p>
        </w:tc>
      </w:tr>
    </w:tbl>
    <w:p>
      <w:pPr>
        <w:pStyle w:val="BodyText"/>
      </w:pPr>
      <w:r>
        <w:t xml:space="preserve">Istnieje jeszcze wiele przykładów, w których</w:t>
      </w:r>
      <w:r>
        <w:t xml:space="preserve"> </w:t>
      </w:r>
      <w:r>
        <w:rPr>
          <w:bCs/>
          <w:b/>
        </w:rPr>
        <w:t xml:space="preserve">K</w:t>
      </w:r>
      <w:r>
        <w:rPr>
          <w:vertAlign w:val="superscript"/>
          <w:bCs/>
          <w:b/>
        </w:rPr>
        <w:t xml:space="preserve">r</w:t>
      </w:r>
      <w:r>
        <w:t xml:space="preserve"> </w:t>
      </w:r>
      <w:r>
        <w:t xml:space="preserve">występuje samotnie przeciwko całemu światu, co wykazuje jego niezależność, lecz „znużyłem się w czynieniu dobra” i uznałem, że podałem wystarczająco wiele, aby dowieść swojej tezy. Zauważ, że N-A</w:t>
      </w:r>
      <w:r>
        <w:rPr>
          <w:vertAlign w:val="superscript"/>
        </w:rPr>
        <w:t xml:space="preserve">27</w:t>
      </w:r>
      <w:r>
        <w:t xml:space="preserve"> </w:t>
      </w:r>
      <w:r>
        <w:t xml:space="preserve">wspomina tylko jedną trzecią tych przykładów z Ewangelii Łukasza — być pogardzanym oznacza być ignorowanym. Te dodatkowe dowody potwierdzają,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a oba są starożytne, z tym że teraz oba trzeba datować co najmniej na III wiek.</w:t>
      </w:r>
    </w:p>
    <w:p>
      <w:pPr>
        <w:pStyle w:val="BodyText"/>
      </w:pPr>
      <w:r>
        <w:t xml:space="preserve">Można zauważyć, że podałem przykłady z Ewangelii (Łukasza, Jana), Dziejów Apostolskich, Pawła (List do Rzymian, 2 List do Koryntian) i Listów Ogólnych (List Jakuba, 1 List Piotra, 2 List Piotra, 3 List Jana), ze szczególnym uwzględnieniem Ewangelii Łukasza, Dziejów Apostolskich i Listu Jakuba.</w:t>
      </w:r>
      <w:r>
        <w:rPr>
          <w:rStyle w:val="FootnoteReference"/>
        </w:rPr>
        <w:footnoteReference w:id="222"/>
      </w:r>
      <w:r>
        <w:t xml:space="preserve"> </w:t>
      </w:r>
      <w:r>
        <w:t xml:space="preserve">W całym Nowym Testamencie</w:t>
      </w:r>
      <w:r>
        <w:t xml:space="preserve"> </w:t>
      </w:r>
      <w:r>
        <w:rPr>
          <w:bCs/>
          <w:b/>
        </w:rPr>
        <w:t xml:space="preserve">K</w:t>
      </w:r>
      <w:r>
        <w:rPr>
          <w:vertAlign w:val="superscript"/>
          <w:bCs/>
          <w:b/>
        </w:rPr>
        <w:t xml:space="preserve">r</w:t>
      </w:r>
      <w:r>
        <w:t xml:space="preserve"> </w:t>
      </w:r>
      <w:r>
        <w:t xml:space="preserve">jest niezależny i starożytny. Skoro sięga III wieku, jest równie stary jak każdy inny typ tekstu. Dlatego</w:t>
      </w:r>
      <w:r>
        <w:t xml:space="preserve"> </w:t>
      </w:r>
      <w:r>
        <w:rPr>
          <w:bCs/>
          <w:b/>
        </w:rPr>
        <w:t xml:space="preserve">należy go traktować z szacunkiem, na jaki zasługuje!!</w:t>
      </w:r>
    </w:p>
    <w:p>
      <w:pPr>
        <w:pStyle w:val="BodyText"/>
      </w:pPr>
      <w:r>
        <w:t xml:space="preserve">Dwukrotnie cytowałem Maurice’a Robinsona i wykazałem, że dowody potwierdzają jego twierdzenia.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sięgają początku ery pergaminowej. Wysuwa on jednak jeszcze śmielsze twierdzenie:</w:t>
      </w:r>
    </w:p>
    <w:p>
      <w:pPr>
        <w:pStyle w:val="BlockText"/>
      </w:pPr>
      <w:r>
        <w:t xml:space="preserve">Ani kodeksy majuskułowe, ani minuskułowe nie wykazują żadnych oznak, aby jakakolwiek znana linia wywodziła się z równoległej znanej linii. Około dziesięciu linii przekazu będących „typami tekstu” pozostaje niezależnych i z konieczności musi sięgać punktu na długo przed ich odrębną stabilizacją — punktu, który wydaje się tkwić (jak sugerowali Colwell i Scrivener) głęboko w II wieku.</w:t>
      </w:r>
      <w:r>
        <w:rPr>
          <w:rStyle w:val="FootnoteReference"/>
        </w:rPr>
        <w:footnoteReference w:id="223"/>
      </w:r>
    </w:p>
    <w:p>
      <w:pPr>
        <w:pStyle w:val="FirstParagraph"/>
      </w:pPr>
      <w:r>
        <w:t xml:space="preserve">No, no, no, zbliżamy się całkiem mocno do Autografów! Obiektywne dowody z II wieku są nieco trudne do zdobycia. Mimo to przytoczone wyżej przykłady z Dziejów Apostolskich 21,8, Dziejów Apostolskich 23,20, Listu do Rzymian 5,1, Ewangelii Łukasza 9,56, Ewangelii Łukasza 12,22 i Ewangelii Łukasza 23,51 mogą umieszczać</w:t>
      </w:r>
      <w:r>
        <w:t xml:space="preserve"> </w:t>
      </w:r>
      <w:r>
        <w:rPr>
          <w:bCs/>
          <w:b/>
        </w:rPr>
        <w:t xml:space="preserve">K</w:t>
      </w:r>
      <w:r>
        <w:rPr>
          <w:vertAlign w:val="superscript"/>
          <w:bCs/>
          <w:b/>
        </w:rPr>
        <w:t xml:space="preserve">r</w:t>
      </w:r>
      <w:r>
        <w:t xml:space="preserve"> </w:t>
      </w:r>
      <w:r>
        <w:t xml:space="preserve">(i</w:t>
      </w:r>
      <w:r>
        <w:t xml:space="preserve"> </w:t>
      </w:r>
      <w:r>
        <w:rPr>
          <w:bCs/>
          <w:b/>
        </w:rPr>
        <w:t xml:space="preserve">K</w:t>
      </w:r>
      <w:r>
        <w:rPr>
          <w:vertAlign w:val="superscript"/>
          <w:bCs/>
          <w:b/>
        </w:rPr>
        <w:t xml:space="preserve">x</w:t>
      </w:r>
      <w:r>
        <w:t xml:space="preserve">) w II wieku. Celem tej części nie jest jednak obrona tej tezy. Na razie zadowalam się naleganiem, że</w:t>
      </w:r>
      <w:r>
        <w:t xml:space="preserve"> </w:t>
      </w:r>
      <w:r>
        <w:rPr>
          <w:bCs/>
          <w:b/>
        </w:rPr>
        <w:t xml:space="preserve">K</w:t>
      </w:r>
      <w:r>
        <w:rPr>
          <w:vertAlign w:val="superscript"/>
          <w:bCs/>
          <w:b/>
        </w:rPr>
        <w:t xml:space="preserve">r</w:t>
      </w:r>
      <w:r>
        <w:t xml:space="preserve"> </w:t>
      </w:r>
      <w:r>
        <w:t xml:space="preserve">musi sięgać III wieku, a zatem musi zostać zrehabilitowany w praktyce krytyki tekstu Nowego Testamentu.</w:t>
      </w:r>
    </w:p>
    <w:p>
      <w:pPr>
        <w:pStyle w:val="BodyText"/>
      </w:pPr>
      <w:r>
        <w:t xml:space="preserve">Podsumowując, twierdzę, że wykazałem, iż</w:t>
      </w:r>
      <w:r>
        <w:t xml:space="preserve"> </w:t>
      </w:r>
      <w:r>
        <w:rPr>
          <w:bCs/>
          <w:b/>
        </w:rPr>
        <w:t xml:space="preserve">K</w:t>
      </w:r>
      <w:r>
        <w:rPr>
          <w:vertAlign w:val="superscript"/>
          <w:bCs/>
          <w:b/>
        </w:rPr>
        <w:t xml:space="preserve">r</w:t>
      </w:r>
      <w:r>
        <w:t xml:space="preserve"> </w:t>
      </w:r>
      <w:r>
        <w:t xml:space="preserve">jest niezależny i starożytny, sięgający (co najmniej) III wieku. Istnieje jednak głęboko zakorzeniona pogarda/antypatia wobec tego symbolu,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w:t>
      </w:r>
    </w:p>
    <w:p>
      <w:pPr>
        <w:pStyle w:val="BodyText"/>
      </w:pPr>
      <w:r>
        <w:t xml:space="preserve">Skrytykowawszy datowanie</w:t>
      </w:r>
      <w:r>
        <w:t xml:space="preserve"> </w:t>
      </w:r>
      <w:r>
        <w:rPr>
          <w:bCs/>
          <w:b/>
        </w:rPr>
        <w:t xml:space="preserve">K</w:t>
      </w:r>
      <w:r>
        <w:rPr>
          <w:vertAlign w:val="superscript"/>
          <w:bCs/>
          <w:b/>
        </w:rPr>
        <w:t xml:space="preserve">r</w:t>
      </w:r>
      <w:r>
        <w:t xml:space="preserve"> </w:t>
      </w:r>
      <w:r>
        <w:t xml:space="preserve">przez von Sodena, pytam teraz: co doprowadziło go do tego wniosku i dlaczego jego wniosek został niemal powszechnie zaakceptowany przez środowisko akademickie? Odpowiadam: liczba manuskryptów typu</w:t>
      </w:r>
      <w:r>
        <w:t xml:space="preserve"> </w:t>
      </w:r>
      <w:r>
        <w:rPr>
          <w:bCs/>
          <w:b/>
        </w:rPr>
        <w:t xml:space="preserve">K</w:t>
      </w:r>
      <w:r>
        <w:rPr>
          <w:vertAlign w:val="superscript"/>
          <w:bCs/>
          <w:b/>
        </w:rPr>
        <w:t xml:space="preserve">r</w:t>
      </w:r>
      <w:r>
        <w:t xml:space="preserve"> </w:t>
      </w:r>
      <w:r>
        <w:t xml:space="preserve">po raz pierwszy staje się zauważalna właśnie w XII wieku, chociaż istnieje pewna ich liczba z XI wieku. Liczba ta rośnie w XIII wieku, a jeszcze bardziej w XIV, zwracając na siebie uwagę. Ci, którzy przyjęli już doktrynę Horta o późnym tekście „syryjskim”, nie widzieliby powodu, by kwestionować twierdzenie von Sodena, ani nie mieliby skłonności czy motywacji, aby „marnować” czas na jego sprawdzanie. Jeśli sam von Soden przyjął doktrynę Horta, dowody go zaślepiły.</w:t>
      </w:r>
    </w:p>
    <w:p>
      <w:pPr>
        <w:pStyle w:val="BodyText"/>
      </w:pPr>
      <w:r>
        <w:t xml:space="preserve">Osoby katalogujące manuskrypty Nowego Testamentu informują nas, że pod względem liczby zachowanych manuskryptów przodują XII i XIII wiek, a po nich, w tej kolejności, XIV, XI, XV, XVI i X wiek. Manuskryptów z XIII wieku jest ponad cztery razy więcej niż z X, lecz greka koine była oczywiście językiem żywym w większym stopniu w X wieku niż w XIII, a zatem istniał większy popyt, a więc i większa podaż. Innymi słowy, wiele setek naprawdę czystych manuskryptów z X wieku przepadło. Przetrwał większy odsetek naprawdę dobrych manuskryptów wytworzonych w XIV wieku niż tych wytworzonych w XI, i tak dalej. Dlatego wśród manuskryptów bizantyjskich występuje stopniowo rosnący poziom zgodności — odsetek zgodności jest wyższy w XIV wieku niż w X. Gdybyśmy jednak żyli w X wieku i przeprowadzili szeroki przegląd manuskryptów, znaleźlibyśmy niemal taki sam poziom zgodności (być może 98%). To samo dotyczyłoby sytuacji, gdybyśmy żyli w VIII, VI, IV lub II wieku. Innymi słowy,</w:t>
      </w:r>
      <w:r>
        <w:t xml:space="preserve"> </w:t>
      </w:r>
      <w:r>
        <w:rPr>
          <w:bCs/>
          <w:b/>
        </w:rPr>
        <w:t xml:space="preserve">ZACHOWANE MANUSKRYPTY Z PIERWSZYCH DZIESIĘCIU WIEKÓW NIE SĄ REPREZENTATYWNE DLA RZECZYWISTEGO STANU RZECZY W TAMTYM CZASIE.</w:t>
      </w:r>
    </w:p>
    <w:bookmarkEnd w:id="224"/>
    <w:bookmarkStart w:id="236" w:name="o-wzorcu-i-zależności"/>
    <w:p>
      <w:pPr>
        <w:pStyle w:val="Heading2"/>
      </w:pPr>
      <w:r>
        <w:t xml:space="preserve">O „wzorcu” i „zależności”</w:t>
      </w:r>
    </w:p>
    <w:p>
      <w:pPr>
        <w:pStyle w:val="FirstParagraph"/>
      </w:pPr>
      <w:r>
        <w:t xml:space="preserve">Gdy 100% znanych manuskryptów jest zgodnych, wzorzec i zależność między nimi są całkowite lub zupełne. Ponieważ</w:t>
      </w:r>
      <w:r>
        <w:t xml:space="preserve"> </w:t>
      </w:r>
      <w:r>
        <w:rPr>
          <w:bCs/>
          <w:b/>
        </w:rPr>
        <w:t xml:space="preserve">WSZYSTKIE</w:t>
      </w:r>
      <w:r>
        <w:t xml:space="preserve"> </w:t>
      </w:r>
      <w:r>
        <w:t xml:space="preserve">manuskrypty otrzymały wspólny wpływ od Oryginału, szczególnej uwagi wymagają rozbieżności.</w:t>
      </w:r>
    </w:p>
    <w:p>
      <w:pPr>
        <w:pStyle w:val="BodyText"/>
      </w:pPr>
      <w:r>
        <w:t xml:space="preserve">Gdy 100% znanych manuskryptów jest zgodnych, nie może istnieć żadna rozsądna wątpliwość co do oryginalnych sformułowań. Prawdopodobnie dotyczy to co najmniej 50% słów w Nowym Testamencie. W przypadku wielu dalszych słów nie zgadza się tylko jeden manuskrypt — nazywamy to odczytem „singularnym”. Zgadzam się z E.C. Colwellem, gdy oświadczył, że wszystkie odczyty singularne należy rygorystycznie wykluczyć z rozważań,</w:t>
      </w:r>
      <w:r>
        <w:rPr>
          <w:rStyle w:val="FootnoteReference"/>
        </w:rPr>
        <w:footnoteReference w:id="225"/>
      </w:r>
      <w:r>
        <w:t xml:space="preserve"> </w:t>
      </w:r>
      <w:r>
        <w:t xml:space="preserve">nawet jeśli dany odczyt nie jest oczywistym błędem. Po prostu nierozsądne jest wyobrażanie sobie, że jeden manuskrypt może mieć rację przeciwko 1700 manuskryptom w Ewangeliach albo przeciwko 700 u Pawła. Gdy wszystkie linie przekazu są zgodne, muszą odzwierciedlać Oryginał. Jeśli manuskrypt zawierający wariant singularny należy do linii przekazu, wariant ten nie może być poprawny (jest wewnętrzny dla tej linii).</w:t>
      </w:r>
    </w:p>
    <w:p>
      <w:pPr>
        <w:pStyle w:val="BodyText"/>
      </w:pPr>
      <w:r>
        <w:t xml:space="preserve">Manuskrypty, które są indywidualnie tak odmienne, że nie można ich pogrupować, nie należą do żadnej linii przekazu. Żaden zawarty w nich odczyt singularny nie może być poprawny. Liczba manuskryptów zawierających Nowy Testament jest tak ogromna, że każdy odmienny manuskrypt był po prostu czyjąś prywatną własnością, jest bez znaczenia dla historii przekazywania Tekstu.</w:t>
      </w:r>
    </w:p>
    <w:p>
      <w:pPr>
        <w:pStyle w:val="BodyText"/>
      </w:pPr>
      <w:r>
        <w:t xml:space="preserve">Gdy dwa lub więcej manuskryptów zgadza się w rozbieżności, należy zadać co najmniej trzy pytania: 1) Czy powstały w tym samym miejscu? 2) Czy jest to łatwy błąd przepisywania, który różni kopiści mogli popełnić niezależnie? 3) Czy należą do tej samej linii przekazu? Gdy dwa lub więcej manuskryptów ma wspólną pewną liczbę wariantów, prawdopodobnie istnieje jakaś zależność — dzielą pewnego rodzaju wspólny wpływ. Zakres takiego wpływu wymaga zbadania.</w:t>
      </w:r>
    </w:p>
    <w:p>
      <w:pPr>
        <w:pStyle w:val="BodyText"/>
      </w:pPr>
      <w:r>
        <w:t xml:space="preserve">Colwell uważał, że aby dwa manuskrypty zostały zaliczone do przedstawicieli tej samej rodziny, powinny zgadzać się w co najmniej 70% miejsc, w których występują różnice</w:t>
      </w:r>
      <w:r>
        <w:rPr>
          <w:rStyle w:val="FootnoteReference"/>
        </w:rPr>
        <w:footnoteReference w:id="226"/>
      </w:r>
      <w:r>
        <w:t xml:space="preserve"> </w:t>
      </w:r>
      <w:r>
        <w:t xml:space="preserve">(ja wymagałbym 80%). Ponieważ kodeksy Alef i B zgadzają się w mniej niż 70% przypadków, nie osiągają progu Colwella. Mimo to nie można zaprzeczyć, że te dwa manuskrypty doznały wspólnego skażenia, do którego w różnym stopniu dołączyły A, C, D i W. To wspólne skażenie musiało mieć jakieś źródło, gdzie? W dyscyplinie krytyki tekstu Nowego Testamentu to wspólne skażenie nazywa się „aleksandryjskim” typem tekstu. Ponieważ Aleksandria znajduje się w Egipcie, ten typ tekstu nazywany jest także „egipskim”.</w:t>
      </w:r>
    </w:p>
    <w:p>
      <w:pPr>
        <w:pStyle w:val="BodyText"/>
      </w:pPr>
      <w:r>
        <w:t xml:space="preserve">Każdy z sześciu wspomnianych wyżej kodeksów ma odrębny konglomerat wariantów, każdy z nich znacznie różni się od wszystkich pozostałych. Ponieważ każdy z nich nie ma ani rodziców, ani dzieci (o których byśmy wiedzieli), są indywidualnymi wytworami, sfabrykowanymi kopiami. Nie jesteśmy w stanie wiedzieć, co motywowało każdego z kopistów, którzy sporządzili te sfabrykowane kopie. Nasza niewiedza w tej kwestii nie zmienia jednak natury tych sfabrykowanych kopii.</w:t>
      </w:r>
    </w:p>
    <w:p>
      <w:pPr>
        <w:pStyle w:val="BodyText"/>
      </w:pPr>
      <w:r>
        <w:t xml:space="preserve">Po tym, jak rozpowszechniłem wcześniejszą wersję tego artykułu, dr Michael C. Loehrer przesłał mi kilka przemyśleń na temat powstawania „typu tekstu” bez archetypu:</w:t>
      </w:r>
    </w:p>
    <w:p>
      <w:pPr>
        <w:pStyle w:val="BlockText"/>
      </w:pPr>
      <w:r>
        <w:t xml:space="preserve">Chociaż nie możemy</w:t>
      </w:r>
      <w:r>
        <w:t xml:space="preserve"> </w:t>
      </w:r>
      <w:r>
        <w:rPr>
          <w:iCs/>
          <w:i/>
        </w:rPr>
        <w:t xml:space="preserve">wiedzieć</w:t>
      </w:r>
      <w:r>
        <w:t xml:space="preserve">, co motywowało kopistów do wprowadzania sfabrykowanych wariantów do tekstu, możemy wnioskować o ich motywacji na podstawie tego, gdzie żyli i w co wierzyli. Żyli w Egipcie i wyznawali wierzenia gnostyckie w świecie grecko-rzymskim. W ich świecie mieszanie wierzeń stanowiło przejaw wzajemnego szacunku i gotowości do wspierania pokoju, jednego z ich najwyższych ideałów. Żydzi i chrześcijanie wierzyli, że takie mieszanie rozcieńcza lub narusza prawdę absolutną. Egipscy gnostycy próbowali ulepszyć niedoskonały tekst. Żydzi i chrześcijanie wierzyli, że zaczynają od doskonałego tekstu. W konsekwencji Żydzi i chrześcijanie dążyli do sporządzania kopii wiernych swojemu egzemplarzowi. Egipscy gnostycy dążyli do ulepszenia swojego egzemplarza. Do powyższych wniosków prowadziło kilka linii rozumowania:</w:t>
      </w:r>
    </w:p>
    <w:p>
      <w:pPr>
        <w:numPr>
          <w:ilvl w:val="0"/>
          <w:numId w:val="1010"/>
        </w:numPr>
        <w:pStyle w:val="BlockText"/>
      </w:pPr>
      <w:r>
        <w:t xml:space="preserve">W Imperium Rzymskim nie istniały prawa autorskie, dlatego gdy tylko tekst został udostępniony publicznie, stawał się podatny na swobodne zmiany — każdy mógł go zmienić.</w:t>
      </w:r>
    </w:p>
    <w:p>
      <w:pPr>
        <w:numPr>
          <w:ilvl w:val="0"/>
          <w:numId w:val="1010"/>
        </w:numPr>
        <w:pStyle w:val="BlockText"/>
      </w:pPr>
      <w:r>
        <w:t xml:space="preserve">Gnostyccy kopiści wprowadzali celowe zmiany, ponieważ wierzyli, że ulepszają niedoskonały tekst (zakładali, że wszystkie teksty są niedoskonałe, ponieważ mają ludzkie pochodzenie).</w:t>
      </w:r>
    </w:p>
    <w:p>
      <w:pPr>
        <w:numPr>
          <w:ilvl w:val="0"/>
          <w:numId w:val="1010"/>
        </w:numPr>
        <w:pStyle w:val="BlockText"/>
      </w:pPr>
      <w:r>
        <w:t xml:space="preserve">Nie wierzyli, że boskie autorstwo i bezbłędność są możliwe w świecie materialnym (doskonałość istniała wyłącznie w świecie niematerialnym).</w:t>
      </w:r>
    </w:p>
    <w:p>
      <w:pPr>
        <w:numPr>
          <w:ilvl w:val="0"/>
          <w:numId w:val="1010"/>
        </w:numPr>
        <w:pStyle w:val="BlockText"/>
      </w:pPr>
      <w:r>
        <w:t xml:space="preserve">Wierzyli, że posiadają szczególną wiedzę, a zatem mają obowiązek podejmować próby ulepszania.</w:t>
      </w:r>
    </w:p>
    <w:p>
      <w:pPr>
        <w:numPr>
          <w:ilvl w:val="0"/>
          <w:numId w:val="1010"/>
        </w:numPr>
        <w:pStyle w:val="BlockText"/>
      </w:pPr>
      <w:r>
        <w:t xml:space="preserve">Wierzyli, że przewyższają (pod względem naukowym i religijnym) zwykłych ludzi, którzy przekazali im gorsze kopie.</w:t>
      </w:r>
    </w:p>
    <w:p>
      <w:pPr>
        <w:pStyle w:val="BlockText"/>
      </w:pPr>
      <w:r>
        <w:t xml:space="preserve">W ten sposób egipscy gnostycy, mający światopogląd zupełnie inny niż Żydzi i chrześcijanie, którzy wytworzyli oryginalny tekst, stworzyli luźny egipski typ tekstu bez archetypu.</w:t>
      </w:r>
    </w:p>
    <w:p>
      <w:pPr>
        <w:pStyle w:val="FirstParagraph"/>
      </w:pPr>
      <w:r>
        <w:t xml:space="preserve">(Powiedziałbym, że jego uwagi zasługują na rozważenie).</w:t>
      </w:r>
    </w:p>
    <w:p>
      <w:pPr>
        <w:pStyle w:val="BodyText"/>
      </w:pPr>
      <w:r>
        <w:t xml:space="preserve">Przed laty Colwell wykazał, że nie można zdefiniować archetypalnej formy tak zwanego „aleksandryjskiego” typu tekstu na podstawie głosowania należących do niego manuskryptów.</w:t>
      </w:r>
      <w:r>
        <w:rPr>
          <w:rStyle w:val="FootnoteReference"/>
        </w:rPr>
        <w:footnoteReference w:id="227"/>
      </w:r>
      <w:r>
        <w:t xml:space="preserve"> </w:t>
      </w:r>
      <w:r>
        <w:rPr>
          <w:bCs/>
          <w:b/>
        </w:rPr>
        <w:t xml:space="preserve">Typ tekstu bez archetypu jest fikcją.</w:t>
      </w:r>
      <w:r>
        <w:t xml:space="preserve"> </w:t>
      </w:r>
      <w:r>
        <w:t xml:space="preserve">Mimo to wspólne skażenie przypisywane Aleksandrii nie jest fikcją. Przed śmiercią Kurt Aland, ten wielki obrońca tekstu „egipskiego”, napisał, że w 200 roku n.e. obecność i wpływy gnostyków w Egipcie były tak wszechobecne, iż manuskryptom pochodzącym z Egiptu nie można było ufać!</w:t>
      </w:r>
      <w:r>
        <w:rPr>
          <w:rStyle w:val="FootnoteReference"/>
        </w:rPr>
        <w:footnoteReference w:id="228"/>
      </w:r>
      <w:r>
        <w:t xml:space="preserve"> </w:t>
      </w:r>
      <w:r>
        <w:t xml:space="preserve">Napisał również, że w tamtym czasie używanie greki w Egipcie zanikało.</w:t>
      </w:r>
      <w:r>
        <w:rPr>
          <w:rStyle w:val="FootnoteReference"/>
        </w:rPr>
        <w:footnoteReference w:id="229"/>
      </w:r>
      <w:r>
        <w:t xml:space="preserve"> </w:t>
      </w:r>
      <w:r>
        <w:t xml:space="preserve">(Na jakiej więc podstawie twierdził, że tekst „egipski” jest najlepszy?)</w:t>
      </w:r>
    </w:p>
    <w:p>
      <w:pPr>
        <w:pStyle w:val="BodyText"/>
      </w:pPr>
      <w:r>
        <w:t xml:space="preserve">Na podstawie dostępnych nam obiektywnych dowodów wydaje mi się, że wytwarzanie manuskryptów w Aleksandrii i jej okolicach nigdy nie było niczym więcej niż stojącym wirem na skraju wielkiej rzeki przekazu Nowego Testamentu. Zachowane manuskrypty, o których przypuszcza się, że tam powstały, są tak odmienne, iż nie kwalifikują się jako linia przekazu. Skoro znamy nazwy co najmniej jedenastu gnostyckich „denominacji” istniejących w Egipcie w 200 roku n.e., z pewnością nie brakowało wśród nich sfabrykowanych kopii. Wielki wiek sfabrykowanej kopii nie zmienia faktu, że jest ona sfabrykowaną kopią!</w:t>
      </w:r>
      <w:r>
        <w:t xml:space="preserve"> </w:t>
      </w:r>
      <w:r>
        <w:rPr>
          <w:bCs/>
          <w:b/>
        </w:rPr>
        <w:t xml:space="preserve">Sfabrykowana kopia jest bez znaczenia dla historii przekazywania Tekstu.</w:t>
      </w:r>
    </w:p>
    <w:p>
      <w:pPr>
        <w:pStyle w:val="BodyText"/>
      </w:pPr>
      <w:r>
        <w:t xml:space="preserve">Frederik Wisse skolacjonował i porównał 1386 manuskryptów w rozdziałach 1, 10 i 20 Ewangelii Łukasza (trzy pełne rozdziały), zredukował je do 37 grup (rodzin) oraz 89 „odmieńców” (manuskryptów tak indywidualnie odmiennych, że nie można ich pogrupować).</w:t>
      </w:r>
      <w:r>
        <w:rPr>
          <w:rStyle w:val="FootnoteReference"/>
        </w:rPr>
        <w:footnoteReference w:id="230"/>
      </w:r>
      <w:r>
        <w:t xml:space="preserve"> </w:t>
      </w:r>
      <w:r>
        <w:t xml:space="preserve">Tak się składa, że 36 z 37 mieści się w szerokiej bizantyjskiej rzece przekazu. W obrębie tych 36 znalazł 70 podgrup, uważał więc, że na podstawie profili może zdefiniować te relacje. Trzydziesta siódma grupa to „aleksandryjska”, do której przypisał dokładnie dziesięć manuskryptów dla tych trzech rozdziałów — 10 z 1386, dokładnie tyle, ile można by oczekiwać po stojącym wirze. Wisse posługiwał się wzorcem i zależnością.</w:t>
      </w:r>
    </w:p>
    <w:p>
      <w:pPr>
        <w:pStyle w:val="BodyText"/>
      </w:pPr>
      <w:r>
        <w:t xml:space="preserve">Herman C. Hoskier skolacjonował około 220 manuskryptów Objawienia Jana i na podstawie ich pokrewieństwa przypisał je do dziewięciu rodzin lub grup.</w:t>
      </w:r>
      <w:r>
        <w:rPr>
          <w:rStyle w:val="FootnoteReference"/>
        </w:rPr>
        <w:footnoteReference w:id="231"/>
      </w:r>
      <w:r>
        <w:t xml:space="preserve"> </w:t>
      </w:r>
      <w:r>
        <w:t xml:space="preserve">Na potrzeby poniższego omówienia przypiszę im litery od</w:t>
      </w:r>
      <w:r>
        <w:t xml:space="preserve"> </w:t>
      </w:r>
      <w:r>
        <w:rPr>
          <w:bCs/>
          <w:b/>
        </w:rPr>
        <w:t xml:space="preserve">a</w:t>
      </w:r>
      <w:r>
        <w:t xml:space="preserve"> </w:t>
      </w:r>
      <w:r>
        <w:t xml:space="preserve">do</w:t>
      </w:r>
      <w:r>
        <w:t xml:space="preserve"> </w:t>
      </w:r>
      <w:r>
        <w:rPr>
          <w:bCs/>
          <w:b/>
        </w:rPr>
        <w:t xml:space="preserve">i</w:t>
      </w:r>
      <w:r>
        <w:t xml:space="preserve">. Aparat krytyczny mojego greckiego Tekstu (Rodziny 35) Objawienia Jana, oparty na kolacjonowaniach Hoskiera, uwzględnia około 954 zestawów wariantów. Dokonałem pobieżnego zliczenia wszystkich wewnętrznych podziałów w dziewięciu rodzinach podanych w moim aparacie krytycznym (dla mojego obecnego celu precyzja nie jest konieczna). Wymieniam teraz rodziny w kolejności malejącej według liczby podziałów:</w:t>
      </w:r>
    </w:p>
    <w:p>
      <w:pPr>
        <w:pStyle w:val="BodyText"/>
      </w:pPr>
      <w:r>
        <w:rPr>
          <w:bCs/>
          <w:b/>
          <w:u w:val="single"/>
        </w:rPr>
        <w:t xml:space="preserve">e</w:t>
      </w:r>
      <w:r>
        <w:t xml:space="preserve"> </w:t>
      </w:r>
      <w:r>
        <w:t xml:space="preserve">— 495 </w:t>
      </w:r>
      <w:r>
        <w:rPr>
          <w:bCs/>
          <w:b/>
          <w:u w:val="single"/>
        </w:rPr>
        <w:t xml:space="preserve">i</w:t>
      </w:r>
      <w:r>
        <w:t xml:space="preserve"> </w:t>
      </w:r>
      <w:r>
        <w:t xml:space="preserve">— 424 </w:t>
      </w:r>
      <w:r>
        <w:rPr>
          <w:bCs/>
          <w:b/>
          <w:u w:val="single"/>
        </w:rPr>
        <w:t xml:space="preserve">h</w:t>
      </w:r>
      <w:r>
        <w:t xml:space="preserve"> </w:t>
      </w:r>
      <w:r>
        <w:t xml:space="preserve">— 412 </w:t>
      </w:r>
      <w:r>
        <w:rPr>
          <w:bCs/>
          <w:b/>
          <w:u w:val="single"/>
        </w:rPr>
        <w:t xml:space="preserve">a</w:t>
      </w:r>
      <w:r>
        <w:t xml:space="preserve"> </w:t>
      </w:r>
      <w:r>
        <w:t xml:space="preserve">— 268 </w:t>
      </w:r>
      <w:r>
        <w:rPr>
          <w:bCs/>
          <w:b/>
          <w:u w:val="single"/>
        </w:rPr>
        <w:t xml:space="preserve">g</w:t>
      </w:r>
      <w:r>
        <w:t xml:space="preserve"> </w:t>
      </w:r>
      <w:r>
        <w:t xml:space="preserve">— 191 </w:t>
      </w:r>
      <w:r>
        <w:rPr>
          <w:bCs/>
          <w:b/>
          <w:u w:val="single"/>
        </w:rPr>
        <w:t xml:space="preserve">d</w:t>
      </w:r>
      <w:r>
        <w:t xml:space="preserve"> </w:t>
      </w:r>
      <w:r>
        <w:t xml:space="preserve">— 163 </w:t>
      </w:r>
      <w:r>
        <w:rPr>
          <w:bCs/>
          <w:b/>
          <w:u w:val="single"/>
        </w:rPr>
        <w:t xml:space="preserve">b</w:t>
      </w:r>
      <w:r>
        <w:t xml:space="preserve"> </w:t>
      </w:r>
      <w:r>
        <w:t xml:space="preserve">— 135 </w:t>
      </w:r>
      <w:r>
        <w:rPr>
          <w:bCs/>
          <w:b/>
          <w:u w:val="single"/>
        </w:rPr>
        <w:t xml:space="preserve">f</w:t>
      </w:r>
      <w:r>
        <w:t xml:space="preserve"> </w:t>
      </w:r>
      <w:r>
        <w:t xml:space="preserve">— 104 </w:t>
      </w:r>
      <w:r>
        <w:rPr>
          <w:bCs/>
          <w:b/>
          <w:u w:val="single"/>
        </w:rPr>
        <w:t xml:space="preserve">c</w:t>
      </w:r>
      <w:r>
        <w:t xml:space="preserve"> </w:t>
      </w:r>
      <w:r>
        <w:t xml:space="preserve">— 20</w:t>
      </w:r>
    </w:p>
    <w:p>
      <w:pPr>
        <w:pStyle w:val="BodyText"/>
      </w:pPr>
      <w:r>
        <w:t xml:space="preserve">Łącznie jest ich 2212, co daje średnio 2,3 na zestaw wariantów! Co dziwne, pomimo całego tego zamieszania każda z grup ma wystarczająco wiele własnych cech, by umożliwić jej identyfikację. W pierwszych trzech podział występuje mniej więcej w połowie przypadków, najwyraźniej dokonywano wielu porównań i mieszań. Grupa</w:t>
      </w:r>
      <w:r>
        <w:t xml:space="preserve"> </w:t>
      </w:r>
      <w:r>
        <w:rPr>
          <w:bCs/>
          <w:b/>
          <w:u w:val="single"/>
        </w:rPr>
        <w:t xml:space="preserve">a</w:t>
      </w:r>
      <w:r>
        <w:t xml:space="preserve"> </w:t>
      </w:r>
      <w:r>
        <w:t xml:space="preserve">jest zdecydowanie największa, a Hoskier zidentyfikował w niej pięć podgrup, więc wysoka liczba nie powinna nas dziwić. Liczba dotycząca ostatniej grupy,</w:t>
      </w:r>
      <w:r>
        <w:t xml:space="preserve"> </w:t>
      </w:r>
      <w:r>
        <w:rPr>
          <w:bCs/>
          <w:b/>
          <w:u w:val="single"/>
        </w:rPr>
        <w:t xml:space="preserve">c</w:t>
      </w:r>
      <w:r>
        <w:t xml:space="preserve">, jest niezwykle mała w porównaniu z pozostałymi. Tak się składa, że</w:t>
      </w:r>
      <w:r>
        <w:t xml:space="preserve"> </w:t>
      </w:r>
      <w:r>
        <w:rPr>
          <w:bCs/>
          <w:b/>
          <w:u w:val="single"/>
        </w:rPr>
        <w:t xml:space="preserve">c</w:t>
      </w:r>
      <w:r>
        <w:t xml:space="preserve"> </w:t>
      </w:r>
      <w:r>
        <w:t xml:space="preserve">odpowiada mojej Rodzinie 35 i być może jest drugą co do wielkości grupą. Chcę zbadać pytanie: co wzorzec i zależność mówią nam o przedstawionych wyżej dowodach?</w:t>
      </w:r>
    </w:p>
    <w:p>
      <w:pPr>
        <w:pStyle w:val="BodyText"/>
      </w:pPr>
      <w:r>
        <w:t xml:space="preserve">Najpierw jednak chcę przeanalizować podziały w Rodzinie 35. Istnieje jedenaście liczb zapisanych słownie albo przedstawionych za pomocą odpowiednich liter, ponieważ są to dwa sposoby powiedzenia tego samego, nie stanowią wariantów i ich nie policzyłem. Dziewięć to alternatywne pisownie tego samego słowa, policzyłem je, ale nie są właściwymi wariantami (w ośmiu z nich różnica dotyczy jednej litery, a w pozostałym dyftongu). Pozostaje jedenaście właściwych wariantów, z których pięć dotyczy jednej litery, a trzy dyftongu, tylko jeden dotyczy więcej niż dwóch liter. Krótko mówiąc, Rodzina 35 jest bardzo stabilna (wewnętrznie spójna), znacznie bardziej niż którakolwiek z pozostałych grup. Właściwe warianty dotyczą zaledwie dziewiętnastu liter w całej księdze Objawienia Jana — zdumiewające!</w:t>
      </w:r>
    </w:p>
    <w:p>
      <w:pPr>
        <w:pStyle w:val="BodyText"/>
      </w:pPr>
      <w:r>
        <w:t xml:space="preserve">Co wzorzec i zależność mówią nam o przedstawionych wyżej dowodach? Zaczynam od następujących postulatów:</w:t>
      </w:r>
    </w:p>
    <w:p>
      <w:pPr>
        <w:numPr>
          <w:ilvl w:val="0"/>
          <w:numId w:val="1011"/>
        </w:numPr>
      </w:pPr>
      <w:r>
        <w:t xml:space="preserve">Gdy 100% znanych manuskryptów jest zgodnych, wzorzec i zależność między nimi są całkowite.</w:t>
      </w:r>
    </w:p>
    <w:p>
      <w:pPr>
        <w:numPr>
          <w:ilvl w:val="0"/>
          <w:numId w:val="1011"/>
        </w:numPr>
      </w:pPr>
      <w:r>
        <w:t xml:space="preserve">Wszystkie manuskrypty otrzymały wspólny wpływ od Oryginału.</w:t>
      </w:r>
    </w:p>
    <w:p>
      <w:pPr>
        <w:numPr>
          <w:ilvl w:val="0"/>
          <w:numId w:val="1011"/>
        </w:numPr>
      </w:pPr>
      <w:r>
        <w:t xml:space="preserve">Wszystkie odczyty singularne należy rygorystycznie wykluczyć z rozważań.</w:t>
      </w:r>
    </w:p>
    <w:p>
      <w:pPr>
        <w:numPr>
          <w:ilvl w:val="0"/>
          <w:numId w:val="1011"/>
        </w:numPr>
      </w:pPr>
      <w:r>
        <w:t xml:space="preserve">Każdy manuskrypt idiosynkratyczny był po prostu czyjąś prywatną własnością, sfabrykowaną kopią, jest bez znaczenia dla historii przekazywania Tekstu.</w:t>
      </w:r>
    </w:p>
    <w:p>
      <w:pPr>
        <w:numPr>
          <w:ilvl w:val="0"/>
          <w:numId w:val="1011"/>
        </w:numPr>
      </w:pPr>
      <w:r>
        <w:t xml:space="preserve">Fragmenty nie zawierają wystarczającej ilości tekstu, aby można je było sklasyfikować, i podobnie jak manuskrypty idiosynkratyczne są bez znaczenia dla historii przekazywania Tekstu.</w:t>
      </w:r>
      <w:r>
        <w:rPr>
          <w:rStyle w:val="FootnoteReference"/>
        </w:rPr>
        <w:footnoteReference w:id="232"/>
      </w:r>
    </w:p>
    <w:p>
      <w:pPr>
        <w:pStyle w:val="FirstParagraph"/>
      </w:pPr>
      <w:r>
        <w:t xml:space="preserve">Ponieważ wszystkie zachowane manuskrypty z pierwszych pięciu wieków (w Objawieniu Jana) są albo fragmentami, albo manuskryptami idiosynkratycznymi, ograniczę swoją analizę do linii przekazu.</w:t>
      </w:r>
    </w:p>
    <w:p>
      <w:pPr>
        <w:pStyle w:val="BodyText"/>
      </w:pPr>
      <w:r>
        <w:t xml:space="preserve">Na początek Hoskier posłużył się wzorcem i zależnością, aby zidentyfikować swoich dziewięć grup. Oczywiście jednak nie mogą one wszystkie reprezentować Oryginału, poza miejscami, w których wszystkie są zgodne. Czy mamy dziewięć niezależnych grup, czy też niektóre grupy można pogrupować? Przejrzałem swój aparat krytyczny i wypisałem wszystkie różne kombinacje między dziewięcioma grupami wraz z liczbą wystąpień każdej kombinacji (kombinacja dwóch lub więcej grup). Znalazłem</w:t>
      </w:r>
      <w:r>
        <w:t xml:space="preserve"> </w:t>
      </w:r>
      <w:r>
        <w:rPr>
          <w:bCs/>
          <w:b/>
        </w:rPr>
        <w:t xml:space="preserve">238</w:t>
      </w:r>
      <w:r>
        <w:t xml:space="preserve"> </w:t>
      </w:r>
      <w:r>
        <w:t xml:space="preserve">różnych kombinacji!! Liczyłem wyłącznie pełne grupy (bez podziałów), z tym wyjątkiem, że za pełną grupę uznawałem 2/3 lub więcej. Ze względu na nadmierną ilość zamieszania statystyki, które podaję, mogą być tylko przybliżone, ale są wystarczająco dobre, aby pozwolić na uzasadnione wnioski. Jednak 96 kombinacji występuje tylko raz, a 42 tylko dwa razy, wykluczyłem je zatem z poniższego zestawienia. Nadal pozostaje sto!</w:t>
      </w:r>
    </w:p>
    <w:p>
      <w:pPr>
        <w:pStyle w:val="BodyText"/>
      </w:pPr>
      <w:r>
        <w:t xml:space="preserve">Z przyjemnością zauważam, że niedawne wydanie</w:t>
      </w:r>
      <w:r>
        <w:t xml:space="preserve"> </w:t>
      </w:r>
      <w:r>
        <w:rPr>
          <w:iCs/>
          <w:i/>
        </w:rPr>
        <w:t xml:space="preserve">Text und Textwert</w:t>
      </w:r>
      <w:r>
        <w:t xml:space="preserve"> </w:t>
      </w:r>
      <w:r>
        <w:t xml:space="preserve">dla Objawienia Jana (2017) uznaje swój tekst kompluteński za niezależną linię przekazu, obok tak zwanych tekstów Koine i Andreasa. Ich kompluteński to moja Rodzina 35, odpowiada poniższej grupie</w:t>
      </w:r>
      <w:r>
        <w:t xml:space="preserve"> </w:t>
      </w:r>
      <w:r>
        <w:rPr>
          <w:bCs/>
          <w:b/>
          <w:u w:val="single"/>
        </w:rPr>
        <w:t xml:space="preserve">c</w:t>
      </w:r>
      <w:r>
        <w:t xml:space="preserve">. Ich Koine odpowiada poniższym grupom</w:t>
      </w:r>
      <w:r>
        <w:t xml:space="preserve"> </w:t>
      </w:r>
      <w:r>
        <w:rPr>
          <w:bCs/>
          <w:b/>
          <w:u w:val="single"/>
        </w:rPr>
        <w:t xml:space="preserve">a</w:t>
      </w:r>
      <w:r>
        <w:t xml:space="preserv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Ich Andreas odpowiada poniższym grupom</w:t>
      </w:r>
      <w:r>
        <w:t xml:space="preserve"> </w:t>
      </w:r>
      <w:r>
        <w:rPr>
          <w:bCs/>
          <w:b/>
          <w:u w:val="single"/>
        </w:rPr>
        <w:t xml:space="preserve">d</w:t>
      </w:r>
      <w:r>
        <w:t xml:space="preserve">,</w:t>
      </w:r>
      <w:r>
        <w:t xml:space="preserve"> </w:t>
      </w:r>
      <w:r>
        <w:rPr>
          <w:bCs/>
          <w:b/>
          <w:u w:val="single"/>
        </w:rPr>
        <w:t xml:space="preserve">e</w:t>
      </w:r>
      <w:r>
        <w:t xml:space="preserve">,</w:t>
      </w:r>
      <w:r>
        <w:t xml:space="preserve"> </w:t>
      </w:r>
      <w:r>
        <w:rPr>
          <w:bCs/>
          <w:b/>
          <w:u w:val="single"/>
        </w:rPr>
        <w:t xml:space="preserve">h</w:t>
      </w:r>
      <w:r>
        <w:t xml:space="preserve"> </w:t>
      </w:r>
      <w:r>
        <w:t xml:space="preserve">— to znaczy według mojej oceny. Jak widać poniżej, występuje tu wiele „rozwiązłości”, poszczególne grupy przemieszczają się, jedne bardziej niż inne. Najtrudniejszym przypadkiem jest</w:t>
      </w:r>
      <w:r>
        <w:t xml:space="preserve"> </w:t>
      </w:r>
      <w:r>
        <w:rPr>
          <w:bCs/>
          <w:b/>
          <w:u w:val="single"/>
        </w:rPr>
        <w:t xml:space="preserve">h</w:t>
      </w:r>
      <w:r>
        <w:t xml:space="preserve">, który przyłącza się do Koine niemal tak często jak do Andreasa.</w:t>
      </w:r>
    </w:p>
    <w:p>
      <w:pPr>
        <w:pStyle w:val="BodyText"/>
      </w:pPr>
      <w:r>
        <w:t xml:space="preserve">Na podstawie mojej analizy Hoskiera grupy mają następującą „wielkość”:</w:t>
      </w:r>
      <w:r>
        <w:t xml:space="preserve"> </w:t>
      </w:r>
      <w:r>
        <w:rPr>
          <w:bCs/>
          <w:b/>
          <w:u w:val="single"/>
        </w:rPr>
        <w:t xml:space="preserve">a</w:t>
      </w:r>
      <w:r>
        <w:t xml:space="preserve"> </w:t>
      </w:r>
      <w:r>
        <w:t xml:space="preserve">jest reprezentowana przez 65 manuskryptów,</w:t>
      </w:r>
      <w:r>
        <w:t xml:space="preserve"> </w:t>
      </w:r>
      <w:r>
        <w:rPr>
          <w:bCs/>
          <w:b/>
          <w:u w:val="single"/>
        </w:rPr>
        <w:t xml:space="preserve">b</w:t>
      </w:r>
      <w:r>
        <w:t xml:space="preserve"> </w:t>
      </w:r>
      <w:r>
        <w:t xml:space="preserve">przez 10,</w:t>
      </w:r>
      <w:r>
        <w:t xml:space="preserve"> </w:t>
      </w:r>
      <w:r>
        <w:rPr>
          <w:bCs/>
          <w:b/>
          <w:u w:val="single"/>
        </w:rPr>
        <w:t xml:space="preserve">c</w:t>
      </w:r>
      <w:r>
        <w:t xml:space="preserve"> </w:t>
      </w:r>
      <w:r>
        <w:t xml:space="preserve">przez 33,</w:t>
      </w:r>
      <w:r>
        <w:rPr>
          <w:rStyle w:val="FootnoteReference"/>
        </w:rPr>
        <w:footnoteReference w:id="233"/>
      </w:r>
      <w:r>
        <w:t xml:space="preserve"> </w:t>
      </w:r>
      <w:r>
        <w:rPr>
          <w:bCs/>
          <w:b/>
          <w:u w:val="single"/>
        </w:rPr>
        <w:t xml:space="preserve">d</w:t>
      </w:r>
      <w:r>
        <w:t xml:space="preserve"> </w:t>
      </w:r>
      <w:r>
        <w:t xml:space="preserve">przez 15,</w:t>
      </w:r>
      <w:r>
        <w:t xml:space="preserve"> </w:t>
      </w:r>
      <w:r>
        <w:rPr>
          <w:bCs/>
          <w:b/>
          <w:u w:val="single"/>
        </w:rPr>
        <w:t xml:space="preserve">e</w:t>
      </w:r>
      <w:r>
        <w:t xml:space="preserve"> </w:t>
      </w:r>
      <w:r>
        <w:t xml:space="preserve">przez 31,</w:t>
      </w:r>
      <w:r>
        <w:t xml:space="preserve"> </w:t>
      </w:r>
      <w:r>
        <w:rPr>
          <w:bCs/>
          <w:b/>
          <w:u w:val="single"/>
        </w:rPr>
        <w:t xml:space="preserve">f</w:t>
      </w:r>
      <w:r>
        <w:t xml:space="preserve"> </w:t>
      </w:r>
      <w:r>
        <w:t xml:space="preserve">przez 11,</w:t>
      </w:r>
      <w:r>
        <w:t xml:space="preserve"> </w:t>
      </w:r>
      <w:r>
        <w:rPr>
          <w:bCs/>
          <w:b/>
          <w:u w:val="single"/>
        </w:rPr>
        <w:t xml:space="preserve">g</w:t>
      </w:r>
      <w:r>
        <w:t xml:space="preserve"> </w:t>
      </w:r>
      <w:r>
        <w:t xml:space="preserve">przez 9,</w:t>
      </w:r>
      <w:r>
        <w:t xml:space="preserve"> </w:t>
      </w:r>
      <w:r>
        <w:rPr>
          <w:bCs/>
          <w:b/>
          <w:u w:val="single"/>
        </w:rPr>
        <w:t xml:space="preserve">h</w:t>
      </w:r>
      <w:r>
        <w:t xml:space="preserve"> </w:t>
      </w:r>
      <w:r>
        <w:t xml:space="preserve">przez 13,</w:t>
      </w:r>
      <w:r>
        <w:t xml:space="preserve"> </w:t>
      </w:r>
      <w:r>
        <w:rPr>
          <w:bCs/>
          <w:b/>
          <w:u w:val="single"/>
        </w:rPr>
        <w:t xml:space="preserve">i</w:t>
      </w:r>
      <w:r>
        <w:t xml:space="preserve"> </w:t>
      </w:r>
      <w:r>
        <w:t xml:space="preserve">przez 11. (Sama</w:t>
      </w:r>
      <w:r>
        <w:t xml:space="preserve"> </w:t>
      </w:r>
      <w:r>
        <w:rPr>
          <w:bCs/>
          <w:b/>
          <w:u w:val="single"/>
        </w:rPr>
        <w:t xml:space="preserve">a</w:t>
      </w:r>
      <w:r>
        <w:t xml:space="preserve"> </w:t>
      </w:r>
      <w:r>
        <w:t xml:space="preserve">jest większa niż połączone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w:t>
      </w:r>
      <w:r>
        <w:rPr>
          <w:bCs/>
          <w:b/>
          <w:u w:val="single"/>
        </w:rPr>
        <w:t xml:space="preserve">d</w:t>
      </w:r>
      <w:r>
        <w:t xml:space="preserve"> </w:t>
      </w:r>
      <w:r>
        <w:t xml:space="preserve">jest mniejsza niż</w:t>
      </w:r>
      <w:r>
        <w:t xml:space="preserve"> </w:t>
      </w:r>
      <w:r>
        <w:rPr>
          <w:bCs/>
          <w:b/>
          <w:u w:val="single"/>
        </w:rPr>
        <w:t xml:space="preserve">e</w:t>
      </w:r>
      <w:r>
        <w:t xml:space="preserve">, ale</w:t>
      </w:r>
      <w:r>
        <w:t xml:space="preserve"> </w:t>
      </w:r>
      <w:r>
        <w:rPr>
          <w:bCs/>
          <w:b/>
          <w:u w:val="single"/>
        </w:rPr>
        <w:t xml:space="preserve">e</w:t>
      </w:r>
      <w:r>
        <w:t xml:space="preserve"> </w:t>
      </w:r>
      <w:r>
        <w:t xml:space="preserve">jest zdecydowanie najbardziej rozdrobnioną grupą).</w:t>
      </w:r>
      <w:r>
        <w:rPr>
          <w:rStyle w:val="FootnoteReference"/>
        </w:rPr>
        <w:footnoteReference w:id="234"/>
      </w:r>
      <w:r>
        <w:t xml:space="preserve"> </w:t>
      </w:r>
      <w:r>
        <w:t xml:space="preserve">Ponieważ uważam</w:t>
      </w:r>
      <w:r>
        <w:t xml:space="preserve"> </w:t>
      </w:r>
      <w:r>
        <w:rPr>
          <w:bCs/>
          <w:b/>
          <w:u w:val="single"/>
        </w:rPr>
        <w:t xml:space="preserve">c</w:t>
      </w:r>
      <w:r>
        <w:t xml:space="preserve"> </w:t>
      </w:r>
      <w:r>
        <w:t xml:space="preserve">za wspólny mianownik, umieszczam ją jako pierwszą,</w:t>
      </w:r>
      <w:r>
        <w:t xml:space="preserve"> </w:t>
      </w:r>
      <w:r>
        <w:rPr>
          <w:bCs/>
          <w:b/>
          <w:u w:val="single"/>
        </w:rPr>
        <w:t xml:space="preserve">a</w:t>
      </w:r>
      <w:r>
        <w:t xml:space="preserve"> </w:t>
      </w:r>
      <w:r>
        <w:t xml:space="preserve">przewodzi Koine, a</w:t>
      </w:r>
      <w:r>
        <w:t xml:space="preserve"> </w:t>
      </w:r>
      <w:r>
        <w:rPr>
          <w:bCs/>
          <w:b/>
          <w:u w:val="single"/>
        </w:rPr>
        <w:t xml:space="preserve">d</w:t>
      </w:r>
      <w:r>
        <w:t xml:space="preserve"> </w:t>
      </w:r>
      <w:r>
        <w:t xml:space="preserve">Andreasowi. Wymienione są tylko kombinacje, każda grupa występuje również samodzielnie.</w:t>
      </w:r>
    </w:p>
    <w:tbl>
      <w:tblPr>
        <w:tblStyle w:val="Table"/>
        <w:tblW w:type="auto" w:w="0"/>
        <w:tblLook w:firstRow="0" w:lastRow="0" w:firstColumn="0" w:lastColumn="0" w:noHBand="0" w:noVBand="0" w:val="0000"/>
        <w:jc w:val="start"/>
      </w:tblPr>
      <w:tblGrid>
        <w:gridCol w:w="1980"/>
        <w:gridCol w:w="1980"/>
        <w:gridCol w:w="1980"/>
        <w:gridCol w:w="1980"/>
      </w:tblGrid>
      <w:tr>
        <w:tc>
          <w:tcPr/>
          <w:p>
            <w:pPr>
              <w:pStyle w:val="Compact"/>
              <w:jc w:val="left"/>
            </w:pPr>
            <w:r>
              <w:t xml:space="preserve">ca—10</w:t>
            </w:r>
          </w:p>
        </w:tc>
        <w:tc>
          <w:tcPr/>
          <w:p>
            <w:pPr>
              <w:pStyle w:val="Compact"/>
              <w:jc w:val="left"/>
            </w:pPr>
            <w:r>
              <w:t xml:space="preserve">cbdeg—5</w:t>
            </w:r>
          </w:p>
        </w:tc>
        <w:tc>
          <w:tcPr/>
          <w:p>
            <w:pPr>
              <w:pStyle w:val="Compact"/>
              <w:jc w:val="left"/>
            </w:pPr>
            <w:r>
              <w:t xml:space="preserve">ab—3</w:t>
            </w:r>
          </w:p>
        </w:tc>
        <w:tc>
          <w:tcPr/>
          <w:p>
            <w:pPr>
              <w:pStyle w:val="Compact"/>
              <w:jc w:val="left"/>
            </w:pPr>
            <w:r>
              <w:t xml:space="preserve">bd—9</w:t>
            </w:r>
          </w:p>
        </w:tc>
      </w:tr>
      <w:tr>
        <w:tc>
          <w:tcPr/>
          <w:p>
            <w:pPr>
              <w:pStyle w:val="Compact"/>
              <w:jc w:val="left"/>
            </w:pPr>
            <w:r>
              <w:t xml:space="preserve">cabdfgi—15</w:t>
            </w:r>
          </w:p>
        </w:tc>
        <w:tc>
          <w:tcPr/>
          <w:p>
            <w:pPr>
              <w:pStyle w:val="Compact"/>
              <w:jc w:val="left"/>
            </w:pPr>
            <w:r>
              <w:t xml:space="preserve">cbdegh—11</w:t>
            </w:r>
          </w:p>
        </w:tc>
        <w:tc>
          <w:tcPr/>
          <w:p>
            <w:pPr>
              <w:pStyle w:val="Compact"/>
              <w:jc w:val="left"/>
            </w:pPr>
            <w:r>
              <w:t xml:space="preserve">abdefghi—11</w:t>
            </w:r>
          </w:p>
        </w:tc>
        <w:tc>
          <w:tcPr/>
          <w:p>
            <w:pPr>
              <w:pStyle w:val="Compact"/>
              <w:jc w:val="left"/>
            </w:pPr>
            <w:r>
              <w:t xml:space="preserve">bde—12</w:t>
            </w:r>
          </w:p>
        </w:tc>
      </w:tr>
      <w:tr>
        <w:tc>
          <w:tcPr/>
          <w:p>
            <w:pPr>
              <w:pStyle w:val="Compact"/>
              <w:jc w:val="left"/>
            </w:pPr>
            <w:r>
              <w:t xml:space="preserve">cabdfi—3</w:t>
            </w:r>
          </w:p>
        </w:tc>
        <w:tc>
          <w:tcPr/>
          <w:p>
            <w:pPr>
              <w:pStyle w:val="Compact"/>
              <w:jc w:val="left"/>
            </w:pPr>
            <w:r>
              <w:t xml:space="preserve">cbdeh—6</w:t>
            </w:r>
          </w:p>
        </w:tc>
        <w:tc>
          <w:tcPr/>
          <w:p>
            <w:pPr>
              <w:pStyle w:val="Compact"/>
              <w:jc w:val="left"/>
            </w:pPr>
            <w:r>
              <w:t xml:space="preserve">abdfghi—10</w:t>
            </w:r>
          </w:p>
        </w:tc>
        <w:tc>
          <w:tcPr/>
          <w:p>
            <w:pPr>
              <w:pStyle w:val="Compact"/>
              <w:jc w:val="left"/>
            </w:pPr>
            <w:r>
              <w:t xml:space="preserve">bdeh—12</w:t>
            </w:r>
          </w:p>
        </w:tc>
      </w:tr>
      <w:tr>
        <w:tc>
          <w:tcPr/>
          <w:p>
            <w:pPr>
              <w:pStyle w:val="Compact"/>
              <w:jc w:val="left"/>
            </w:pPr>
            <w:r>
              <w:t xml:space="preserve">cabefgi—4</w:t>
            </w:r>
          </w:p>
        </w:tc>
        <w:tc>
          <w:tcPr/>
          <w:p>
            <w:pPr>
              <w:pStyle w:val="Compact"/>
              <w:jc w:val="left"/>
            </w:pPr>
            <w:r>
              <w:t xml:space="preserve">cbdfhi—3</w:t>
            </w:r>
          </w:p>
        </w:tc>
        <w:tc>
          <w:tcPr/>
          <w:p>
            <w:pPr>
              <w:pStyle w:val="Compact"/>
              <w:jc w:val="left"/>
            </w:pPr>
            <w:r>
              <w:t xml:space="preserve">abdfgi—4</w:t>
            </w:r>
          </w:p>
        </w:tc>
        <w:tc>
          <w:tcPr/>
          <w:p>
            <w:pPr>
              <w:pStyle w:val="Compact"/>
              <w:jc w:val="left"/>
            </w:pPr>
            <w:r>
              <w:t xml:space="preserve">bdf—4</w:t>
            </w:r>
          </w:p>
        </w:tc>
      </w:tr>
      <w:tr>
        <w:tc>
          <w:tcPr/>
          <w:p>
            <w:pPr>
              <w:pStyle w:val="Compact"/>
              <w:jc w:val="left"/>
            </w:pPr>
            <w:r>
              <w:t xml:space="preserve">cabf—5</w:t>
            </w:r>
          </w:p>
        </w:tc>
        <w:tc>
          <w:tcPr/>
          <w:p>
            <w:pPr>
              <w:pStyle w:val="Compact"/>
              <w:jc w:val="left"/>
            </w:pPr>
            <w:r>
              <w:t xml:space="preserve">cbefghi—3</w:t>
            </w:r>
          </w:p>
        </w:tc>
        <w:tc>
          <w:tcPr/>
          <w:p>
            <w:pPr>
              <w:pStyle w:val="Compact"/>
              <w:jc w:val="left"/>
            </w:pPr>
            <w:r>
              <w:t xml:space="preserve">abdfh—3</w:t>
            </w:r>
          </w:p>
        </w:tc>
        <w:tc>
          <w:tcPr/>
          <w:p>
            <w:pPr>
              <w:pStyle w:val="Compact"/>
              <w:jc w:val="left"/>
            </w:pPr>
            <w:r>
              <w:t xml:space="preserve">bdh—3</w:t>
            </w:r>
          </w:p>
        </w:tc>
      </w:tr>
      <w:tr>
        <w:tc>
          <w:tcPr/>
          <w:p>
            <w:pPr>
              <w:pStyle w:val="Compact"/>
              <w:jc w:val="left"/>
            </w:pPr>
            <w:r>
              <w:t xml:space="preserve">cabfg—8</w:t>
            </w:r>
          </w:p>
        </w:tc>
        <w:tc>
          <w:tcPr/>
          <w:p>
            <w:pPr>
              <w:pStyle w:val="Compact"/>
              <w:jc w:val="left"/>
            </w:pPr>
            <w:r>
              <w:t xml:space="preserve">cbegh—4</w:t>
            </w:r>
          </w:p>
        </w:tc>
        <w:tc>
          <w:tcPr/>
          <w:p>
            <w:pPr>
              <w:pStyle w:val="Compact"/>
              <w:jc w:val="left"/>
            </w:pPr>
            <w:r>
              <w:t xml:space="preserve">abefghi—4</w:t>
            </w:r>
          </w:p>
        </w:tc>
        <w:tc>
          <w:tcPr/>
          <w:p>
            <w:pPr>
              <w:pStyle w:val="Compact"/>
              <w:jc w:val="left"/>
            </w:pPr>
            <w:r>
              <w:t xml:space="preserve">be—7</w:t>
            </w:r>
          </w:p>
        </w:tc>
      </w:tr>
      <w:tr>
        <w:tc>
          <w:tcPr/>
          <w:p>
            <w:pPr>
              <w:pStyle w:val="Compact"/>
              <w:jc w:val="left"/>
            </w:pPr>
            <w:r>
              <w:t xml:space="preserve">cabfghi—28</w:t>
            </w:r>
          </w:p>
        </w:tc>
        <w:tc>
          <w:tcPr/>
          <w:p>
            <w:pPr>
              <w:pStyle w:val="Compact"/>
              <w:jc w:val="left"/>
            </w:pPr>
            <w:r>
              <w:t xml:space="preserve">cd—22</w:t>
            </w:r>
          </w:p>
        </w:tc>
        <w:tc>
          <w:tcPr/>
          <w:p>
            <w:pPr>
              <w:pStyle w:val="Compact"/>
              <w:jc w:val="left"/>
            </w:pPr>
            <w:r>
              <w:t xml:space="preserve">abefhi—3</w:t>
            </w:r>
          </w:p>
        </w:tc>
        <w:tc>
          <w:tcPr/>
          <w:p>
            <w:pPr>
              <w:pStyle w:val="Compact"/>
              <w:jc w:val="left"/>
            </w:pPr>
            <w:r>
              <w:t xml:space="preserve">beh—4</w:t>
            </w:r>
          </w:p>
        </w:tc>
      </w:tr>
      <w:tr>
        <w:tc>
          <w:tcPr/>
          <w:p>
            <w:pPr>
              <w:pStyle w:val="Compact"/>
              <w:jc w:val="left"/>
            </w:pPr>
            <w:r>
              <w:t xml:space="preserve">cabfgi—47</w:t>
            </w:r>
          </w:p>
        </w:tc>
        <w:tc>
          <w:tcPr/>
          <w:p>
            <w:pPr>
              <w:pStyle w:val="Compact"/>
              <w:jc w:val="left"/>
            </w:pPr>
            <w:r>
              <w:t xml:space="preserve">cde—49</w:t>
            </w:r>
          </w:p>
        </w:tc>
        <w:tc>
          <w:tcPr/>
          <w:p>
            <w:pPr>
              <w:pStyle w:val="Compact"/>
              <w:jc w:val="left"/>
            </w:pPr>
            <w:r>
              <w:t xml:space="preserve">abf—23</w:t>
            </w:r>
          </w:p>
        </w:tc>
        <w:tc>
          <w:tcPr/>
          <w:p>
            <w:pPr>
              <w:pStyle w:val="Compact"/>
              <w:jc w:val="left"/>
            </w:pPr>
            <w:r>
              <w:t xml:space="preserve">bf—4</w:t>
            </w:r>
          </w:p>
        </w:tc>
      </w:tr>
      <w:tr>
        <w:tc>
          <w:tcPr/>
          <w:p>
            <w:pPr>
              <w:pStyle w:val="Compact"/>
              <w:jc w:val="left"/>
            </w:pPr>
            <w:r>
              <w:t xml:space="preserve">cabfhi—7</w:t>
            </w:r>
          </w:p>
        </w:tc>
        <w:tc>
          <w:tcPr/>
          <w:p>
            <w:pPr>
              <w:pStyle w:val="Compact"/>
              <w:jc w:val="left"/>
            </w:pPr>
            <w:r>
              <w:t xml:space="preserve">cdef—13</w:t>
            </w:r>
          </w:p>
        </w:tc>
        <w:tc>
          <w:tcPr/>
          <w:p>
            <w:pPr>
              <w:pStyle w:val="Compact"/>
              <w:jc w:val="left"/>
            </w:pPr>
            <w:r>
              <w:t xml:space="preserve">abfg—15</w:t>
            </w:r>
          </w:p>
        </w:tc>
        <w:tc>
          <w:tcPr/>
          <w:p>
            <w:pPr>
              <w:pStyle w:val="Compact"/>
              <w:jc w:val="left"/>
            </w:pPr>
            <w:r>
              <w:t xml:space="preserve">bg—3</w:t>
            </w:r>
          </w:p>
        </w:tc>
      </w:tr>
      <w:tr>
        <w:tc>
          <w:tcPr/>
          <w:p>
            <w:pPr>
              <w:pStyle w:val="Compact"/>
              <w:jc w:val="left"/>
            </w:pPr>
            <w:r>
              <w:t xml:space="preserve">cabfi—13</w:t>
            </w:r>
          </w:p>
        </w:tc>
        <w:tc>
          <w:tcPr/>
          <w:p>
            <w:pPr>
              <w:pStyle w:val="Compact"/>
              <w:jc w:val="left"/>
            </w:pPr>
            <w:r>
              <w:t xml:space="preserve">cdefghi—3</w:t>
            </w:r>
          </w:p>
        </w:tc>
        <w:tc>
          <w:tcPr/>
          <w:p>
            <w:pPr>
              <w:pStyle w:val="Compact"/>
              <w:jc w:val="left"/>
            </w:pPr>
            <w:r>
              <w:t xml:space="preserve">abfgh—3</w:t>
            </w:r>
          </w:p>
        </w:tc>
        <w:tc>
          <w:tcPr/>
          <w:p>
            <w:pPr>
              <w:pStyle w:val="Compact"/>
              <w:jc w:val="left"/>
            </w:pPr>
            <w:r>
              <w:t xml:space="preserve">bh—5</w:t>
            </w:r>
          </w:p>
        </w:tc>
      </w:tr>
      <w:tr>
        <w:tc>
          <w:tcPr/>
          <w:p>
            <w:pPr>
              <w:pStyle w:val="Compact"/>
              <w:jc w:val="left"/>
            </w:pPr>
            <w:r>
              <w:t xml:space="preserve">cabghi—3</w:t>
            </w:r>
          </w:p>
        </w:tc>
        <w:tc>
          <w:tcPr/>
          <w:p>
            <w:pPr>
              <w:pStyle w:val="Compact"/>
              <w:jc w:val="left"/>
            </w:pPr>
            <w:r>
              <w:t xml:space="preserve">cdefhi—3</w:t>
            </w:r>
          </w:p>
        </w:tc>
        <w:tc>
          <w:tcPr/>
          <w:p>
            <w:pPr>
              <w:pStyle w:val="Compact"/>
              <w:jc w:val="left"/>
            </w:pPr>
            <w:r>
              <w:t xml:space="preserve">abfghi—20</w:t>
            </w:r>
          </w:p>
        </w:tc>
        <w:tc>
          <w:tcPr/>
          <w:p>
            <w:pPr>
              <w:pStyle w:val="Compact"/>
            </w:pPr>
          </w:p>
        </w:tc>
      </w:tr>
      <w:tr>
        <w:tc>
          <w:tcPr/>
          <w:p>
            <w:pPr>
              <w:pStyle w:val="Compact"/>
              <w:jc w:val="left"/>
            </w:pPr>
            <w:r>
              <w:t xml:space="preserve">cadfghi—4</w:t>
            </w:r>
          </w:p>
        </w:tc>
        <w:tc>
          <w:tcPr/>
          <w:p>
            <w:pPr>
              <w:pStyle w:val="Compact"/>
              <w:jc w:val="left"/>
            </w:pPr>
            <w:r>
              <w:t xml:space="preserve">cdeg—11</w:t>
            </w:r>
          </w:p>
        </w:tc>
        <w:tc>
          <w:tcPr/>
          <w:p>
            <w:pPr>
              <w:pStyle w:val="Compact"/>
              <w:jc w:val="left"/>
            </w:pPr>
            <w:r>
              <w:t xml:space="preserve">abfgi—33</w:t>
            </w:r>
          </w:p>
        </w:tc>
        <w:tc>
          <w:tcPr/>
          <w:p>
            <w:pPr>
              <w:pStyle w:val="Compact"/>
              <w:jc w:val="left"/>
            </w:pPr>
            <w:r>
              <w:t xml:space="preserve">de—52</w:t>
            </w:r>
          </w:p>
        </w:tc>
      </w:tr>
      <w:tr>
        <w:tc>
          <w:tcPr/>
          <w:p>
            <w:pPr>
              <w:pStyle w:val="Compact"/>
              <w:jc w:val="left"/>
            </w:pPr>
            <w:r>
              <w:t xml:space="preserve">cadfgi—5</w:t>
            </w:r>
          </w:p>
        </w:tc>
        <w:tc>
          <w:tcPr/>
          <w:p>
            <w:pPr>
              <w:pStyle w:val="Compact"/>
              <w:jc w:val="left"/>
            </w:pPr>
            <w:r>
              <w:t xml:space="preserve">cdegh—14</w:t>
            </w:r>
          </w:p>
        </w:tc>
        <w:tc>
          <w:tcPr/>
          <w:p>
            <w:pPr>
              <w:pStyle w:val="Compact"/>
              <w:jc w:val="left"/>
            </w:pPr>
            <w:r>
              <w:t xml:space="preserve">abfh—4</w:t>
            </w:r>
          </w:p>
        </w:tc>
        <w:tc>
          <w:tcPr/>
          <w:p>
            <w:pPr>
              <w:pStyle w:val="Compact"/>
              <w:jc w:val="left"/>
            </w:pPr>
            <w:r>
              <w:t xml:space="preserve">def—8</w:t>
            </w:r>
          </w:p>
        </w:tc>
      </w:tr>
      <w:tr>
        <w:tc>
          <w:tcPr/>
          <w:p>
            <w:pPr>
              <w:pStyle w:val="Compact"/>
              <w:jc w:val="left"/>
            </w:pPr>
            <w:r>
              <w:t xml:space="preserve">caf—9</w:t>
            </w:r>
          </w:p>
        </w:tc>
        <w:tc>
          <w:tcPr/>
          <w:p>
            <w:pPr>
              <w:pStyle w:val="Compact"/>
              <w:jc w:val="left"/>
            </w:pPr>
            <w:r>
              <w:t xml:space="preserve">cdeghi—4</w:t>
            </w:r>
          </w:p>
        </w:tc>
        <w:tc>
          <w:tcPr/>
          <w:p>
            <w:pPr>
              <w:pStyle w:val="Compact"/>
              <w:jc w:val="left"/>
            </w:pPr>
            <w:r>
              <w:t xml:space="preserve">abfhi—8</w:t>
            </w:r>
          </w:p>
        </w:tc>
        <w:tc>
          <w:tcPr/>
          <w:p>
            <w:pPr>
              <w:pStyle w:val="Compact"/>
              <w:jc w:val="left"/>
            </w:pPr>
            <w:r>
              <w:t xml:space="preserve">deg—5</w:t>
            </w:r>
          </w:p>
        </w:tc>
      </w:tr>
      <w:tr>
        <w:tc>
          <w:tcPr/>
          <w:p>
            <w:pPr>
              <w:pStyle w:val="Compact"/>
              <w:jc w:val="left"/>
            </w:pPr>
            <w:r>
              <w:t xml:space="preserve">cafg—6</w:t>
            </w:r>
          </w:p>
        </w:tc>
        <w:tc>
          <w:tcPr/>
          <w:p>
            <w:pPr>
              <w:pStyle w:val="Compact"/>
              <w:jc w:val="left"/>
            </w:pPr>
            <w:r>
              <w:t xml:space="preserve">cdeh—32</w:t>
            </w:r>
          </w:p>
        </w:tc>
        <w:tc>
          <w:tcPr/>
          <w:p>
            <w:pPr>
              <w:pStyle w:val="Compact"/>
              <w:jc w:val="left"/>
            </w:pPr>
            <w:r>
              <w:t xml:space="preserve">abfi—17</w:t>
            </w:r>
          </w:p>
        </w:tc>
        <w:tc>
          <w:tcPr/>
          <w:p>
            <w:pPr>
              <w:pStyle w:val="Compact"/>
              <w:jc w:val="left"/>
            </w:pPr>
            <w:r>
              <w:t xml:space="preserve">degh—8</w:t>
            </w:r>
          </w:p>
        </w:tc>
      </w:tr>
      <w:tr>
        <w:tc>
          <w:tcPr/>
          <w:p>
            <w:pPr>
              <w:pStyle w:val="Compact"/>
              <w:jc w:val="left"/>
            </w:pPr>
            <w:r>
              <w:t xml:space="preserve">cafgh—5</w:t>
            </w:r>
          </w:p>
        </w:tc>
        <w:tc>
          <w:tcPr/>
          <w:p>
            <w:pPr>
              <w:pStyle w:val="Compact"/>
              <w:jc w:val="left"/>
            </w:pPr>
            <w:r>
              <w:t xml:space="preserve">cdehi—7</w:t>
            </w:r>
          </w:p>
        </w:tc>
        <w:tc>
          <w:tcPr/>
          <w:p>
            <w:pPr>
              <w:pStyle w:val="Compact"/>
              <w:jc w:val="left"/>
            </w:pPr>
            <w:r>
              <w:t xml:space="preserve">abgh—3</w:t>
            </w:r>
          </w:p>
        </w:tc>
        <w:tc>
          <w:tcPr/>
          <w:p>
            <w:pPr>
              <w:pStyle w:val="Compact"/>
              <w:jc w:val="left"/>
            </w:pPr>
            <w:r>
              <w:t xml:space="preserve">deh—25</w:t>
            </w:r>
          </w:p>
        </w:tc>
      </w:tr>
      <w:tr>
        <w:tc>
          <w:tcPr/>
          <w:p>
            <w:pPr>
              <w:pStyle w:val="Compact"/>
              <w:jc w:val="left"/>
            </w:pPr>
            <w:r>
              <w:t xml:space="preserve">cafgi—24</w:t>
            </w:r>
          </w:p>
        </w:tc>
        <w:tc>
          <w:tcPr/>
          <w:p>
            <w:pPr>
              <w:pStyle w:val="Compact"/>
              <w:jc w:val="left"/>
            </w:pPr>
            <w:r>
              <w:t xml:space="preserve">cdg—3</w:t>
            </w:r>
          </w:p>
        </w:tc>
        <w:tc>
          <w:tcPr/>
          <w:p>
            <w:pPr>
              <w:pStyle w:val="Compact"/>
              <w:jc w:val="left"/>
            </w:pPr>
            <w:r>
              <w:t xml:space="preserve">af—19</w:t>
            </w:r>
          </w:p>
        </w:tc>
        <w:tc>
          <w:tcPr/>
          <w:p>
            <w:pPr>
              <w:pStyle w:val="Compact"/>
              <w:jc w:val="left"/>
            </w:pPr>
            <w:r>
              <w:t xml:space="preserve">dei—3</w:t>
            </w:r>
          </w:p>
        </w:tc>
      </w:tr>
      <w:tr>
        <w:tc>
          <w:tcPr/>
          <w:p>
            <w:pPr>
              <w:pStyle w:val="Compact"/>
              <w:jc w:val="left"/>
            </w:pPr>
            <w:r>
              <w:t xml:space="preserve">cafhi—3</w:t>
            </w:r>
          </w:p>
        </w:tc>
        <w:tc>
          <w:tcPr/>
          <w:p>
            <w:pPr>
              <w:pStyle w:val="Compact"/>
              <w:jc w:val="left"/>
            </w:pPr>
            <w:r>
              <w:t xml:space="preserve">cdh—7</w:t>
            </w:r>
          </w:p>
        </w:tc>
        <w:tc>
          <w:tcPr/>
          <w:p>
            <w:pPr>
              <w:pStyle w:val="Compact"/>
              <w:jc w:val="left"/>
            </w:pPr>
            <w:r>
              <w:t xml:space="preserve">afg—15</w:t>
            </w:r>
          </w:p>
        </w:tc>
        <w:tc>
          <w:tcPr/>
          <w:p>
            <w:pPr>
              <w:pStyle w:val="Compact"/>
              <w:jc w:val="left"/>
            </w:pPr>
            <w:r>
              <w:t xml:space="preserve">df—6</w:t>
            </w:r>
          </w:p>
        </w:tc>
      </w:tr>
      <w:tr>
        <w:tc>
          <w:tcPr/>
          <w:p>
            <w:pPr>
              <w:pStyle w:val="Compact"/>
              <w:jc w:val="left"/>
            </w:pPr>
            <w:r>
              <w:t xml:space="preserve">cafi—5</w:t>
            </w:r>
          </w:p>
        </w:tc>
        <w:tc>
          <w:tcPr/>
          <w:p>
            <w:pPr>
              <w:pStyle w:val="Compact"/>
              <w:jc w:val="left"/>
            </w:pPr>
            <w:r>
              <w:t xml:space="preserve">ce—10</w:t>
            </w:r>
          </w:p>
        </w:tc>
        <w:tc>
          <w:tcPr/>
          <w:p>
            <w:pPr>
              <w:pStyle w:val="Compact"/>
              <w:jc w:val="left"/>
            </w:pPr>
            <w:r>
              <w:t xml:space="preserve">afghi—9</w:t>
            </w:r>
          </w:p>
        </w:tc>
        <w:tc>
          <w:tcPr/>
          <w:p>
            <w:pPr>
              <w:pStyle w:val="Compact"/>
              <w:jc w:val="left"/>
            </w:pPr>
            <w:r>
              <w:t xml:space="preserve">dg—3</w:t>
            </w:r>
          </w:p>
        </w:tc>
      </w:tr>
      <w:tr>
        <w:tc>
          <w:tcPr/>
          <w:p>
            <w:pPr>
              <w:pStyle w:val="Compact"/>
              <w:jc w:val="left"/>
            </w:pPr>
            <w:r>
              <w:t xml:space="preserve">cag—4</w:t>
            </w:r>
          </w:p>
        </w:tc>
        <w:tc>
          <w:tcPr/>
          <w:p>
            <w:pPr>
              <w:pStyle w:val="Compact"/>
              <w:jc w:val="left"/>
            </w:pPr>
            <w:r>
              <w:t xml:space="preserve">cef—4</w:t>
            </w:r>
          </w:p>
        </w:tc>
        <w:tc>
          <w:tcPr/>
          <w:p>
            <w:pPr>
              <w:pStyle w:val="Compact"/>
              <w:jc w:val="left"/>
            </w:pPr>
            <w:r>
              <w:t xml:space="preserve">afgi—7</w:t>
            </w:r>
          </w:p>
        </w:tc>
        <w:tc>
          <w:tcPr/>
          <w:p>
            <w:pPr>
              <w:pStyle w:val="Compact"/>
              <w:jc w:val="left"/>
            </w:pPr>
            <w:r>
              <w:t xml:space="preserve">dh—19</w:t>
            </w:r>
          </w:p>
        </w:tc>
      </w:tr>
      <w:tr>
        <w:tc>
          <w:tcPr/>
          <w:p>
            <w:pPr>
              <w:pStyle w:val="Compact"/>
              <w:jc w:val="left"/>
            </w:pPr>
            <w:r>
              <w:t xml:space="preserve">caghi—6</w:t>
            </w:r>
          </w:p>
        </w:tc>
        <w:tc>
          <w:tcPr/>
          <w:p>
            <w:pPr>
              <w:pStyle w:val="Compact"/>
              <w:jc w:val="left"/>
            </w:pPr>
            <w:r>
              <w:t xml:space="preserve">ceg—3</w:t>
            </w:r>
          </w:p>
        </w:tc>
        <w:tc>
          <w:tcPr/>
          <w:p>
            <w:pPr>
              <w:pStyle w:val="Compact"/>
              <w:jc w:val="left"/>
            </w:pPr>
            <w:r>
              <w:t xml:space="preserve">afh—5</w:t>
            </w:r>
          </w:p>
        </w:tc>
        <w:tc>
          <w:tcPr/>
          <w:p>
            <w:pPr>
              <w:pStyle w:val="Compact"/>
            </w:pPr>
          </w:p>
        </w:tc>
      </w:tr>
      <w:tr>
        <w:tc>
          <w:tcPr/>
          <w:p>
            <w:pPr>
              <w:pStyle w:val="Compact"/>
              <w:jc w:val="left"/>
            </w:pPr>
            <w:r>
              <w:t xml:space="preserve">cb—5</w:t>
            </w:r>
          </w:p>
        </w:tc>
        <w:tc>
          <w:tcPr/>
          <w:p>
            <w:pPr>
              <w:pStyle w:val="Compact"/>
              <w:jc w:val="left"/>
            </w:pPr>
            <w:r>
              <w:t xml:space="preserve">ceh—5</w:t>
            </w:r>
          </w:p>
        </w:tc>
        <w:tc>
          <w:tcPr/>
          <w:p>
            <w:pPr>
              <w:pStyle w:val="Compact"/>
              <w:jc w:val="left"/>
            </w:pPr>
            <w:r>
              <w:t xml:space="preserve">afhi—3</w:t>
            </w:r>
          </w:p>
        </w:tc>
        <w:tc>
          <w:tcPr/>
          <w:p>
            <w:pPr>
              <w:pStyle w:val="Compact"/>
              <w:jc w:val="left"/>
            </w:pPr>
            <w:r>
              <w:t xml:space="preserve">eg—5</w:t>
            </w:r>
          </w:p>
        </w:tc>
      </w:tr>
      <w:tr>
        <w:tc>
          <w:tcPr/>
          <w:p>
            <w:pPr>
              <w:pStyle w:val="Compact"/>
              <w:jc w:val="left"/>
            </w:pPr>
            <w:r>
              <w:t xml:space="preserve">cbd—4</w:t>
            </w:r>
          </w:p>
        </w:tc>
        <w:tc>
          <w:tcPr/>
          <w:p>
            <w:pPr>
              <w:pStyle w:val="Compact"/>
              <w:jc w:val="left"/>
            </w:pPr>
            <w:r>
              <w:t xml:space="preserve">cf—4</w:t>
            </w:r>
          </w:p>
        </w:tc>
        <w:tc>
          <w:tcPr/>
          <w:p>
            <w:pPr>
              <w:pStyle w:val="Compact"/>
              <w:jc w:val="left"/>
            </w:pPr>
            <w:r>
              <w:t xml:space="preserve">afi—14</w:t>
            </w:r>
          </w:p>
        </w:tc>
        <w:tc>
          <w:tcPr/>
          <w:p>
            <w:pPr>
              <w:pStyle w:val="Compact"/>
              <w:jc w:val="left"/>
            </w:pPr>
            <w:r>
              <w:t xml:space="preserve">egh—3</w:t>
            </w:r>
          </w:p>
        </w:tc>
      </w:tr>
      <w:tr>
        <w:tc>
          <w:tcPr/>
          <w:p>
            <w:pPr>
              <w:pStyle w:val="Compact"/>
              <w:jc w:val="left"/>
            </w:pPr>
            <w:r>
              <w:t xml:space="preserve">cbde—15</w:t>
            </w:r>
          </w:p>
        </w:tc>
        <w:tc>
          <w:tcPr/>
          <w:p>
            <w:pPr>
              <w:pStyle w:val="Compact"/>
              <w:jc w:val="left"/>
            </w:pPr>
            <w:r>
              <w:t xml:space="preserve">cg—5</w:t>
            </w:r>
          </w:p>
        </w:tc>
        <w:tc>
          <w:tcPr/>
          <w:p>
            <w:pPr>
              <w:pStyle w:val="Compact"/>
              <w:jc w:val="left"/>
            </w:pPr>
            <w:r>
              <w:t xml:space="preserve">ag—19</w:t>
            </w:r>
          </w:p>
        </w:tc>
        <w:tc>
          <w:tcPr/>
          <w:p>
            <w:pPr>
              <w:pStyle w:val="Compact"/>
              <w:jc w:val="left"/>
            </w:pPr>
            <w:r>
              <w:t xml:space="preserve">eh—11</w:t>
            </w:r>
          </w:p>
        </w:tc>
      </w:tr>
      <w:tr>
        <w:tc>
          <w:tcPr/>
          <w:p>
            <w:pPr>
              <w:pStyle w:val="Compact"/>
              <w:jc w:val="left"/>
            </w:pPr>
            <w:r>
              <w:t xml:space="preserve">cbdefghi—3</w:t>
            </w:r>
          </w:p>
        </w:tc>
        <w:tc>
          <w:tcPr/>
          <w:p>
            <w:pPr>
              <w:pStyle w:val="Compact"/>
              <w:jc w:val="left"/>
            </w:pPr>
            <w:r>
              <w:t xml:space="preserve">ch—3</w:t>
            </w:r>
          </w:p>
        </w:tc>
        <w:tc>
          <w:tcPr/>
          <w:p>
            <w:pPr>
              <w:pStyle w:val="Compact"/>
              <w:jc w:val="left"/>
            </w:pPr>
            <w:r>
              <w:t xml:space="preserve">agh—5</w:t>
            </w:r>
          </w:p>
        </w:tc>
        <w:tc>
          <w:tcPr/>
          <w:p>
            <w:pPr>
              <w:pStyle w:val="Compact"/>
            </w:pPr>
          </w:p>
        </w:tc>
      </w:tr>
      <w:tr>
        <w:tc>
          <w:tcPr/>
          <w:p>
            <w:pPr>
              <w:pStyle w:val="Compact"/>
              <w:jc w:val="left"/>
            </w:pPr>
            <w:r>
              <w:t xml:space="preserve">cbdefhi—6</w:t>
            </w:r>
          </w:p>
        </w:tc>
        <w:tc>
          <w:tcPr/>
          <w:p>
            <w:pPr>
              <w:pStyle w:val="Compact"/>
            </w:pPr>
          </w:p>
        </w:tc>
        <w:tc>
          <w:tcPr/>
          <w:p>
            <w:pPr>
              <w:pStyle w:val="Compact"/>
              <w:jc w:val="left"/>
            </w:pPr>
            <w:r>
              <w:t xml:space="preserve">agi—3</w:t>
            </w:r>
          </w:p>
        </w:tc>
        <w:tc>
          <w:tcPr/>
          <w:p>
            <w:pPr>
              <w:pStyle w:val="Compact"/>
              <w:jc w:val="left"/>
            </w:pPr>
            <w:r>
              <w:t xml:space="preserve">gh—4</w:t>
            </w:r>
          </w:p>
        </w:tc>
      </w:tr>
    </w:tbl>
    <w:p>
      <w:pPr>
        <w:pStyle w:val="BodyText"/>
      </w:pPr>
      <w:r>
        <w:t xml:space="preserve">Proszę pamiętać, że nie wymieniłem kolejnych 138 kombinacji, które występują tylko raz lub dwa razy. Ilość „mieszania” jest oszałamiająca. Pomimo tego wszystkiego od co najmniej 80 lat w tej dyscyplinie standardowo podaje się następującą kaczkę dziennikarską: grupa kompluteńska jest kompozytem opartym na grupach Koine i Andreasa. Jak jednak ta koncepcja ma się do przedstawionych wyżej dowodów?</w:t>
      </w:r>
      <w:r>
        <w:t xml:space="preserve"> </w:t>
      </w:r>
      <w:r>
        <w:rPr>
          <w:bCs/>
          <w:b/>
          <w:u w:val="single"/>
        </w:rPr>
        <w:t xml:space="preserve">c</w:t>
      </w:r>
      <w:r>
        <w:t xml:space="preserve"> </w:t>
      </w:r>
      <w:r>
        <w:t xml:space="preserve">występuje w co najmniej 129 kombinacjach z innymi grupami, zupełnie niezależnie od przypadków, w których występuje sama. Niemal nigdy jednak nie jest całkowicie sama, zgadza się z nią garstka niespokrewnionych manuskryptów, lecz lista tych manuskryptów jest zawsze inna (gdyby lista była taka sama, manuskrypty te stanowiłyby część rodziny). Niewiarygodny zakres niespokrewnionych powiązań pozwala na dwa wnioski: 1) manuskrypty reprezentujące grupę można zidentyfikować i wyodrębnić, co daje nam empirycznie zdefiniowaną rodzinę, 2) ta empirycznie zdefiniowana rodzina</w:t>
      </w:r>
      <w:r>
        <w:t xml:space="preserve"> </w:t>
      </w:r>
      <w:r>
        <w:rPr>
          <w:bCs/>
          <w:b/>
        </w:rPr>
        <w:t xml:space="preserve">musi być niezależna</w:t>
      </w:r>
      <w:r>
        <w:t xml:space="preserve"> </w:t>
      </w:r>
      <w:r>
        <w:t xml:space="preserve">od wszystkich innych linii przekazu.</w:t>
      </w:r>
    </w:p>
    <w:p>
      <w:pPr>
        <w:pStyle w:val="BodyText"/>
      </w:pPr>
      <w:r>
        <w:t xml:space="preserve">Co zatem wzorzec i zależność mówią nam o dowodach? Działają na dwóch poziomach: wewnątrz grupy i między grupami. Wewnątrz grupy określają poziom spójności lub wewnętrznej koherencji wykazywanej przez tę grupę. Tak więc spośród dziewięciu grup w Objawieniu Jana</w:t>
      </w:r>
      <w:r>
        <w:t xml:space="preserve"> </w:t>
      </w:r>
      <w:r>
        <w:rPr>
          <w:bCs/>
          <w:b/>
          <w:u w:val="single"/>
        </w:rPr>
        <w:t xml:space="preserve">e</w:t>
      </w:r>
      <w:r>
        <w:t xml:space="preserve">,</w:t>
      </w:r>
      <w:r>
        <w:t xml:space="preserve"> </w:t>
      </w:r>
      <w:r>
        <w:rPr>
          <w:bCs/>
          <w:b/>
          <w:u w:val="single"/>
        </w:rPr>
        <w:t xml:space="preserve">i</w:t>
      </w:r>
      <w:r>
        <w:t xml:space="preserve"> </w:t>
      </w:r>
      <w:r>
        <w:t xml:space="preserve">i</w:t>
      </w:r>
      <w:r>
        <w:t xml:space="preserve"> </w:t>
      </w:r>
      <w:r>
        <w:rPr>
          <w:bCs/>
          <w:b/>
          <w:u w:val="single"/>
        </w:rPr>
        <w:t xml:space="preserve">h</w:t>
      </w:r>
      <w:r>
        <w:t xml:space="preserve"> </w:t>
      </w:r>
      <w:r>
        <w:t xml:space="preserve">wykazują największe wewnętrzne pomieszanie, co zmniejsza ich wiarygodność jako linii przekazu.</w:t>
      </w:r>
      <w:r>
        <w:t xml:space="preserve"> </w:t>
      </w:r>
      <w:r>
        <w:rPr>
          <w:bCs/>
          <w:b/>
          <w:u w:val="single"/>
        </w:rPr>
        <w:t xml:space="preserve">a</w:t>
      </w:r>
      <w:r>
        <w:t xml:space="preserve"> </w:t>
      </w:r>
      <w:r>
        <w:t xml:space="preserve">jest duża, ale ma pięć podgrup, bez podgrup jej liczba spada z 65 do 18 — pięć podgrup wraz z dalszym wewnętrznym pomieszaniem umniejsza jej wiarygodności jako linii przekazu. W przeciwieństwie do pozostałych</w:t>
      </w:r>
      <w:r>
        <w:t xml:space="preserve"> </w:t>
      </w:r>
      <w:r>
        <w:rPr>
          <w:bCs/>
          <w:b/>
          <w:u w:val="single"/>
        </w:rPr>
        <w:t xml:space="preserve">c</w:t>
      </w:r>
      <w:r>
        <w:t xml:space="preserve"> </w:t>
      </w:r>
      <w:r>
        <w:t xml:space="preserve">jest niezwykle stabilna, wewnętrznie konsekwentna lub spójna — wewnętrzny wzorzec i zależność są silne, co zwiększa wiarygodność tej grupy jako linii przekazu.</w:t>
      </w:r>
    </w:p>
    <w:p>
      <w:pPr>
        <w:pStyle w:val="BodyText"/>
      </w:pPr>
      <w:r>
        <w:t xml:space="preserve">A jak jest między grupami? To stosunkowo wysoki poziom wzorca i zależności pozwala nam pogrupować</w:t>
      </w:r>
      <w:r>
        <w:t xml:space="preserve"> </w:t>
      </w:r>
      <w:r>
        <w:rPr>
          <w:bCs/>
          <w:b/>
          <w:u w:val="single"/>
        </w:rPr>
        <w:t xml:space="preserve">a</w:t>
      </w:r>
      <w:r>
        <w:t xml:space="preserv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w:t>
      </w:r>
      <w:r>
        <w:t xml:space="preserve">i powiedzieć, że razem tworzą typ tekstu (nazwijmy go „Koine”). To samo dotyczy</w:t>
      </w:r>
      <w:r>
        <w:t xml:space="preserve"> </w:t>
      </w:r>
      <w:r>
        <w:rPr>
          <w:bCs/>
          <w:b/>
          <w:u w:val="single"/>
        </w:rPr>
        <w:t xml:space="preserve">d</w:t>
      </w:r>
      <w:r>
        <w:t xml:space="preserve">,</w:t>
      </w:r>
      <w:r>
        <w:t xml:space="preserve"> </w:t>
      </w:r>
      <w:r>
        <w:rPr>
          <w:bCs/>
          <w:b/>
          <w:u w:val="single"/>
        </w:rPr>
        <w:t xml:space="preserve">e</w:t>
      </w:r>
      <w:r>
        <w:t xml:space="preserve">,</w:t>
      </w:r>
      <w:r>
        <w:t xml:space="preserve"> </w:t>
      </w:r>
      <w:r>
        <w:rPr>
          <w:bCs/>
          <w:b/>
          <w:u w:val="single"/>
        </w:rPr>
        <w:t xml:space="preserve">h</w:t>
      </w:r>
      <w:r>
        <w:t xml:space="preserve"> </w:t>
      </w:r>
      <w:r>
        <w:t xml:space="preserve">(nazwijmy go „Andreas”). W przeciwieństwie do tych ośmiu</w:t>
      </w:r>
      <w:r>
        <w:t xml:space="preserve"> </w:t>
      </w:r>
      <w:r>
        <w:rPr>
          <w:bCs/>
          <w:b/>
          <w:u w:val="single"/>
        </w:rPr>
        <w:t xml:space="preserve">c</w:t>
      </w:r>
      <w:r>
        <w:t xml:space="preserve"> </w:t>
      </w:r>
      <w:r>
        <w:t xml:space="preserve">jest niezależna od nich wszystkich, na co wskazuje brak wzorca i zależności.</w:t>
      </w:r>
      <w:r>
        <w:t xml:space="preserve"> </w:t>
      </w:r>
      <w:r>
        <w:rPr>
          <w:bCs/>
          <w:b/>
          <w:u w:val="single"/>
        </w:rPr>
        <w:t xml:space="preserve">c</w:t>
      </w:r>
      <w:r>
        <w:t xml:space="preserve"> </w:t>
      </w:r>
      <w:r>
        <w:t xml:space="preserve">i „Koine” zgadzają się przeciwko „Andreasowi” ponad 100 razy, a</w:t>
      </w:r>
      <w:r>
        <w:t xml:space="preserve"> </w:t>
      </w:r>
      <w:r>
        <w:rPr>
          <w:bCs/>
          <w:b/>
          <w:u w:val="single"/>
        </w:rPr>
        <w:t xml:space="preserve">c</w:t>
      </w:r>
      <w:r>
        <w:t xml:space="preserve"> </w:t>
      </w:r>
      <w:r>
        <w:t xml:space="preserve">i „Andreas” również zgadzają się przeciwko „Koine” ponad 100 razy. Pełny skład „Koine” i „Andreasa” zgadza się przeciwko</w:t>
      </w:r>
      <w:r>
        <w:t xml:space="preserve"> </w:t>
      </w:r>
      <w:r>
        <w:rPr>
          <w:bCs/>
          <w:b/>
          <w:u w:val="single"/>
        </w:rPr>
        <w:t xml:space="preserve">c</w:t>
      </w:r>
      <w:r>
        <w:t xml:space="preserve"> </w:t>
      </w:r>
      <w:r>
        <w:t xml:space="preserve">jedenaście razy. Twierdzę, że najrozsądniejszym wyjaśnieniem stojących przed nami dowodów jest to, że</w:t>
      </w:r>
      <w:r>
        <w:t xml:space="preserve"> </w:t>
      </w:r>
      <w:r>
        <w:rPr>
          <w:bCs/>
          <w:b/>
          <w:u w:val="single"/>
        </w:rPr>
        <w:t xml:space="preserve">c</w:t>
      </w:r>
      <w:r>
        <w:t xml:space="preserve"> </w:t>
      </w:r>
      <w:r>
        <w:t xml:space="preserve">stanowi wspólny mianownik, jest rdzeniem przekazu, od którego wszyscy pozostali odeszli w różnym czasie i na różne sposoby.</w:t>
      </w:r>
    </w:p>
    <w:p>
      <w:pPr>
        <w:pStyle w:val="BodyText"/>
      </w:pPr>
      <w:r>
        <w:t xml:space="preserve">Co zatem mówią nam wzorzec i zależność? Pozwalają zidentyfikować grupy lub rodziny manuskryptów. Określają także poziom wewnętrznej spójności każdej grupy. Brak wzorca i zależności pozwala zidentyfikować niezależne linie przekazu. Wszystkie manuskrypty otrzymały wspólny wpływ od Oryginału, ale najwyraźniej niezależne linie przekazu nie mogą w jednakowym stopniu reprezentować Oryginału. Co zatem robimy, gdy stajemy w obliczu kilku takich linii? Albo, biorąc konkretny przypadek, jak możemy dokonać wyboru między „Koine”, „Andreasem” i „kompluteńskim” w Objawieniu Jana? Jeśli pójdziemy za dwoma przeciwko jednemu, uzyskamy tekst „większościowy” — według przybliżonego szacunku będzie on w co najmniej 90% kompluteński (ten rzadko występuje sam).</w:t>
      </w:r>
      <w:r>
        <w:rPr>
          <w:rStyle w:val="FootnoteReference"/>
        </w:rPr>
        <w:footnoteReference w:id="235"/>
      </w:r>
      <w:r>
        <w:t xml:space="preserve"> </w:t>
      </w:r>
      <w:r>
        <w:t xml:space="preserve">(Z mojego punktu widzenia byłby to bardzo dobry Tekst!)</w:t>
      </w:r>
    </w:p>
    <w:p>
      <w:pPr>
        <w:pStyle w:val="BodyText"/>
      </w:pPr>
      <w:r>
        <w:t xml:space="preserve">W całej księdze nie ma ani jednego wyraźnego trójstronnego podziału, a tylko jeden można uznać za dość bliski takiemu podziałowi (w 15,4). Co mówi nam brak trójstronnych podziałów? Mówi nam, że te trzy grupy nie są jednakowo niezależne. Mówi nam, że tekst kompluteński jest najbardziej niezależny z całej trójki — niezależny w odniesieniu do pozostałych dwóch! Skoro wszystkie trzy zależą od Oryginału, czy możemy ustalić, która z nich jest najbardziej zależna, a zatem najbliższa Oryginałowi? Jeśli dowody wskazują na tekst kompluteński jako wspólny mianownik, to pozostałe dwie grupy są od niego przynajmniej częściowo zależne, oznaczałoby to, że tekst kompluteński znajduje się między nimi a Oryginałem, a zatem jest najbliższy Oryginałowi.</w:t>
      </w:r>
    </w:p>
    <w:p>
      <w:pPr>
        <w:pStyle w:val="BodyText"/>
      </w:pPr>
      <w:r>
        <w:t xml:space="preserve">A co z nielicznymi miejscami, w których Koine i Andreas zgadzają się przeciwko tekstowi kompluteńskiemu, czy obeszły go i wróciły bezpośrednio do Oryginału? (Jak mogłoby to być możliwe?) Czy „wybierały według uznania”, konsultując egzemplarz inny niż kompluteński? Taki egzemplarz byłby węzłem znajdującym się ponad Koine i Andreasem, ponieważ oba następnie poszły własnymi drogami. (Przypuszczam, że to byłoby przynajmniej możliwe). Co jednak, jeśli tekst kompluteński poprawnie reprezentuje Oryginał? Wtedy stemma mogłoby wyglądać następująco:</w:t>
      </w:r>
    </w:p>
    <w:p>
      <w:pPr>
        <w:pStyle w:val="SourceCode"/>
      </w:pPr>
      <w:r>
        <w:rPr>
          <w:rStyle w:val="VerbatimChar"/>
        </w:rPr>
        <w:t xml:space="preserve">      O</w:t>
      </w:r>
      <w:r>
        <w:br/>
      </w:r>
      <w:r>
        <w:rPr>
          <w:rStyle w:val="VerbatimChar"/>
        </w:rPr>
        <w:t xml:space="preserve">      │</w:t>
      </w:r>
      <w:r>
        <w:br/>
      </w:r>
      <w:r>
        <w:rPr>
          <w:rStyle w:val="VerbatimChar"/>
        </w:rPr>
        <w:t xml:space="preserve">□ makro-C</w:t>
      </w:r>
      <w:r>
        <w:br/>
      </w:r>
      <w:r>
        <w:rPr>
          <w:rStyle w:val="VerbatimChar"/>
        </w:rPr>
        <w:t xml:space="preserve">├── c</w:t>
      </w:r>
      <w:r>
        <w:br/>
      </w:r>
      <w:r>
        <w:rPr>
          <w:rStyle w:val="VerbatimChar"/>
        </w:rPr>
        <w:t xml:space="preserve">└── ○ a, d</w:t>
      </w:r>
      <w:r>
        <w:br/>
      </w:r>
      <w:r>
        <w:rPr>
          <w:rStyle w:val="VerbatimChar"/>
        </w:rPr>
        <w:t xml:space="preserve">    ├── a</w:t>
      </w:r>
      <w:r>
        <w:br/>
      </w:r>
      <w:r>
        <w:rPr>
          <w:rStyle w:val="VerbatimChar"/>
        </w:rPr>
        <w:t xml:space="preserve">    └── d</w:t>
      </w:r>
    </w:p>
    <w:p>
      <w:pPr>
        <w:pStyle w:val="FirstParagraph"/>
      </w:pPr>
      <w:r>
        <w:t xml:space="preserve">Przypuszczam, że ostateczny wybór będzie zależał od czynników wykraczających poza wzorzec i zależność. Potrzebujemy jednak wzorca i zależności, aby zbliżyć się do ostatecznego wyboru.</w:t>
      </w:r>
    </w:p>
    <w:bookmarkEnd w:id="236"/>
    <w:bookmarkStart w:id="240" w:name="X8a5da6891cdce0262847cd4554d66dc99238c29"/>
    <w:p>
      <w:pPr>
        <w:pStyle w:val="Heading2"/>
      </w:pPr>
      <w:r>
        <w:t xml:space="preserve">Wczesne poświadczenie</w:t>
      </w:r>
      <w:r>
        <w:t xml:space="preserve"> </w:t>
      </w:r>
      <w:r>
        <w:rPr>
          <w:bCs/>
          <w:b/>
        </w:rPr>
        <w:t xml:space="preserve">f</w:t>
      </w:r>
      <w:r>
        <w:rPr>
          <w:vertAlign w:val="superscript"/>
          <w:bCs/>
          <w:b/>
        </w:rPr>
        <w:t xml:space="preserve">35</w:t>
      </w:r>
      <w:r>
        <w:t xml:space="preserve"> </w:t>
      </w:r>
      <w:r>
        <w:t xml:space="preserve">przez uncjały w Listach Ogólnych</w:t>
      </w:r>
    </w:p>
    <w:p>
      <w:pPr>
        <w:pStyle w:val="FirstParagraph"/>
      </w:pPr>
      <w:r>
        <w:t xml:space="preserve">Przyjmuję, że Klaus Wachtel w swojej książce</w:t>
      </w:r>
      <w:r>
        <w:t xml:space="preserve"> </w:t>
      </w:r>
      <w:r>
        <w:rPr>
          <w:iCs/>
          <w:i/>
        </w:rPr>
        <w:t xml:space="preserve">Der Byzantinische Text der Katholischen Briefe</w:t>
      </w:r>
      <w:r>
        <w:t xml:space="preserve"> </w:t>
      </w:r>
      <w:r>
        <w:t xml:space="preserve">(</w:t>
      </w:r>
      <w:r>
        <w:rPr>
          <w:iCs/>
          <w:i/>
        </w:rPr>
        <w:t xml:space="preserve">The Byzantine Text of the Catholic Letters</w:t>
      </w:r>
      <w:r>
        <w:t xml:space="preserve">) uznaje, iż bizantyjski</w:t>
      </w:r>
      <w:r>
        <w:t xml:space="preserve"> </w:t>
      </w:r>
      <w:r>
        <w:rPr>
          <w:u w:val="single"/>
        </w:rPr>
        <w:t xml:space="preserve">tekst</w:t>
      </w:r>
      <w:r>
        <w:t xml:space="preserve"> </w:t>
      </w:r>
      <w:r>
        <w:t xml:space="preserve">jest wczesny (chociaż na podstawie względów wewnętrznych często opowiada się przeciwko niemu), żegnając się tym samym z powszechną kaczką dziennikarską, jakoby tekst bizantyjski był późny. Uważam, że przedstawione poniżej dowody wykazują to samo w odniesieniu do</w:t>
      </w:r>
      <w:r>
        <w:t xml:space="preserve"> </w:t>
      </w:r>
      <w:r>
        <w:rPr>
          <w:u w:val="single"/>
        </w:rPr>
        <w:t xml:space="preserve">tekstu</w:t>
      </w:r>
      <w:r>
        <w:t xml:space="preserve"> </w:t>
      </w:r>
      <w:r>
        <w:rPr>
          <w:bCs/>
          <w:b/>
        </w:rPr>
        <w:t xml:space="preserve">f</w:t>
      </w:r>
      <w:r>
        <w:rPr>
          <w:vertAlign w:val="superscript"/>
          <w:bCs/>
          <w:b/>
        </w:rPr>
        <w:t xml:space="preserve">35</w:t>
      </w:r>
      <w:r>
        <w:t xml:space="preserve">.</w:t>
      </w:r>
    </w:p>
    <w:p>
      <w:pPr>
        <w:pStyle w:val="BodyText"/>
      </w:pPr>
      <w:r>
        <w:t xml:space="preserve">Przystępuję do zestawienia wyników wczesnych uncjałów (z V wieku i wcześniejszych), tak jak pojawiają się w aparacie krytycznym mojego greckiego tekstu siedmiu Listów Ogólnych, uzupełnionym jednak na podstawie serii</w:t>
      </w:r>
      <w:r>
        <w:t xml:space="preserve"> </w:t>
      </w:r>
      <w:r>
        <w:rPr>
          <w:iCs/>
          <w:i/>
        </w:rPr>
        <w:t xml:space="preserve">Editio Critica Maior</w:t>
      </w:r>
      <w:r>
        <w:t xml:space="preserve">.</w:t>
      </w:r>
      <w:r>
        <w:rPr>
          <w:rStyle w:val="FootnoteReference"/>
        </w:rPr>
        <w:footnoteReference w:id="237"/>
      </w:r>
      <w:r>
        <w:t xml:space="preserve"> </w:t>
      </w:r>
      <w:r>
        <w:t xml:space="preserve">Za punkt odniesienia przyjmuję</w:t>
      </w:r>
      <w:r>
        <w:t xml:space="preserve"> </w:t>
      </w:r>
      <w:r>
        <w:rPr>
          <w:bCs/>
          <w:b/>
        </w:rPr>
        <w:t xml:space="preserve">f</w:t>
      </w:r>
      <w:r>
        <w:rPr>
          <w:vertAlign w:val="superscript"/>
          <w:bCs/>
          <w:b/>
        </w:rPr>
        <w:t xml:space="preserve">35</w:t>
      </w:r>
      <w:r>
        <w:t xml:space="preserve">, ale uwzględniam tylko te zestawy wariantów, w których przynajmniej jeden z zachowanych wczesnych uncjałów (zachowanych w danym miejscu) występuje przeciwko</w:t>
      </w:r>
      <w:r>
        <w:t xml:space="preserve"> </w:t>
      </w:r>
      <w:r>
        <w:rPr>
          <w:bCs/>
          <w:b/>
        </w:rPr>
        <w:t xml:space="preserve">f</w:t>
      </w:r>
      <w:r>
        <w:rPr>
          <w:vertAlign w:val="superscript"/>
          <w:bCs/>
          <w:b/>
        </w:rPr>
        <w:t xml:space="preserve">35</w:t>
      </w:r>
      <w:r>
        <w:t xml:space="preserve"> </w:t>
      </w:r>
      <w:r>
        <w:t xml:space="preserve">(jest to konieczne, ponieważ większość słów ma jednomyślne poświadczenie).</w:t>
      </w:r>
    </w:p>
    <w:p>
      <w:pPr>
        <w:pStyle w:val="BodyText"/>
      </w:pPr>
      <w:r>
        <w:t xml:space="preserve">W moim aparacie krytycznym pojawia się trzynaście wczesnych uncjałów: P</w:t>
      </w:r>
      <w:r>
        <w:rPr>
          <w:vertAlign w:val="superscript"/>
        </w:rPr>
        <w:t xml:space="preserve">20,23,72,78,81,100</w:t>
      </w:r>
      <w:r>
        <w:t xml:space="preserve">, ℵ, A, B, C, 048, 0173, 0232. Jedynie P</w:t>
      </w:r>
      <w:r>
        <w:rPr>
          <w:vertAlign w:val="superscript"/>
        </w:rPr>
        <w:t xml:space="preserve">72</w:t>
      </w:r>
      <w:r>
        <w:t xml:space="preserve">, ℵ, A, B, C nie są fragmentami (048 składa się z różnych fragmentów, występujących tu i ówdzie). W kodeksie C brakuje zasadniczo rozdziałów 4 i 5 Listu Jakuba, 1 Listu Piotra i 1 Listu Jana (co ciekawe, tych samych dwóch rozdziałów we wszystkich trzech księgach), a także całego 2 Listu Jana. Oczywiście P</w:t>
      </w:r>
      <w:r>
        <w:rPr>
          <w:vertAlign w:val="superscript"/>
        </w:rPr>
        <w:t xml:space="preserve">72</w:t>
      </w:r>
      <w:r>
        <w:t xml:space="preserve"> </w:t>
      </w:r>
      <w:r>
        <w:t xml:space="preserve">zawiera tylko 1 i 2 List Piotra oraz List Judy. 0173 jest jedynym z nich, który nigdy nie staje po stronie</w:t>
      </w:r>
      <w:r>
        <w:t xml:space="preserve"> </w:t>
      </w:r>
      <w:r>
        <w:rPr>
          <w:bCs/>
          <w:b/>
        </w:rPr>
        <w:t xml:space="preserve">f</w:t>
      </w:r>
      <w:r>
        <w:rPr>
          <w:vertAlign w:val="superscript"/>
          <w:bCs/>
          <w:b/>
        </w:rPr>
        <w:t xml:space="preserve">35</w:t>
      </w:r>
      <w:r>
        <w:t xml:space="preserve">. Spośród 795 zestawów wariantów</w:t>
      </w:r>
      <w:r>
        <w:t xml:space="preserve"> </w:t>
      </w:r>
      <w:r>
        <w:rPr>
          <w:bCs/>
          <w:b/>
        </w:rPr>
        <w:t xml:space="preserve">f</w:t>
      </w:r>
      <w:r>
        <w:rPr>
          <w:vertAlign w:val="superscript"/>
          <w:bCs/>
          <w:b/>
        </w:rPr>
        <w:t xml:space="preserve">35</w:t>
      </w:r>
      <w:r>
        <w:t xml:space="preserve"> </w:t>
      </w:r>
      <w:r>
        <w:t xml:space="preserve">otrzymuje wyraźne wczesne poświadczenie w 77,9% przypadków (619 ÷ 795).</w:t>
      </w:r>
    </w:p>
    <w:p>
      <w:pPr>
        <w:pStyle w:val="BodyText"/>
      </w:pPr>
      <w:r>
        <w:t xml:space="preserve">Zanim wyciągnę wnioski, przedstawiam dowody (w zestawieniu ujęto wyłącznie kombinacje mające co najmniej jedno wystąpienie). Nawiasem mówiąc, ponieważ nie mam ani sekretarza, ani korektora, nie gwarantuję całkowitej dokładności, jednak pojedyncze przeoczenie tu czy tam nie zmieni ogólnego obrazu ani nie unieważni moich wniosków.</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pPr>
          </w:p>
        </w:tc>
        <w:tc>
          <w:tcPr/>
          <w:p>
            <w:pPr>
              <w:pStyle w:val="Compact"/>
              <w:jc w:val="right"/>
            </w:pPr>
            <w:r>
              <w:t xml:space="preserve">List Jakuba</w:t>
            </w:r>
          </w:p>
        </w:tc>
        <w:tc>
          <w:tcPr/>
          <w:p>
            <w:pPr>
              <w:pStyle w:val="Compact"/>
              <w:jc w:val="right"/>
            </w:pPr>
            <w:r>
              <w:t xml:space="preserve">1 List Piotra</w:t>
            </w:r>
          </w:p>
        </w:tc>
        <w:tc>
          <w:tcPr/>
          <w:p>
            <w:pPr>
              <w:pStyle w:val="Compact"/>
              <w:jc w:val="right"/>
            </w:pPr>
            <w:r>
              <w:t xml:space="preserve">2 List Piotra</w:t>
            </w:r>
          </w:p>
        </w:tc>
        <w:tc>
          <w:tcPr/>
          <w:p>
            <w:pPr>
              <w:pStyle w:val="Compact"/>
              <w:jc w:val="right"/>
            </w:pPr>
            <w:r>
              <w:t xml:space="preserve">1 List Jana</w:t>
            </w:r>
          </w:p>
        </w:tc>
        <w:tc>
          <w:tcPr/>
          <w:p>
            <w:pPr>
              <w:pStyle w:val="Compact"/>
              <w:jc w:val="right"/>
            </w:pPr>
            <w:r>
              <w:t xml:space="preserve">2 i 3 List Jana</w:t>
            </w:r>
          </w:p>
        </w:tc>
        <w:tc>
          <w:tcPr/>
          <w:p>
            <w:pPr>
              <w:pStyle w:val="Compact"/>
              <w:jc w:val="right"/>
            </w:pPr>
            <w:r>
              <w:t xml:space="preserve">List Judy</w:t>
            </w:r>
          </w:p>
        </w:tc>
        <w:tc>
          <w:tcPr/>
          <w:p>
            <w:pPr>
              <w:pStyle w:val="Compact"/>
              <w:jc w:val="right"/>
            </w:pPr>
            <w:r>
              <w:rPr>
                <w:bCs/>
                <w:b/>
              </w:rPr>
              <w:t xml:space="preserve">Łącznie</w:t>
            </w:r>
          </w:p>
        </w:tc>
      </w:tr>
      <w:tr>
        <w:tc>
          <w:tcPr/>
          <w:p>
            <w:pPr>
              <w:pStyle w:val="Compact"/>
              <w:jc w:val="left"/>
            </w:pPr>
            <w:r>
              <w:rPr>
                <w:bCs/>
                <w:b/>
              </w:rPr>
              <w:t xml:space="preserve">f</w:t>
            </w:r>
            <w:r>
              <w:rPr>
                <w:vertAlign w:val="superscript"/>
                <w:bCs/>
                <w:b/>
              </w:rPr>
              <w:t xml:space="preserve">35</w:t>
            </w:r>
            <w:r>
              <w:t xml:space="preserve"> </w:t>
            </w:r>
            <w:r>
              <w:t xml:space="preserve">sam</w:t>
            </w:r>
          </w:p>
        </w:tc>
        <w:tc>
          <w:tcPr/>
          <w:p>
            <w:pPr>
              <w:pStyle w:val="Compact"/>
              <w:jc w:val="right"/>
            </w:pPr>
            <w:r>
              <w:t xml:space="preserve">53</w:t>
            </w:r>
          </w:p>
        </w:tc>
        <w:tc>
          <w:tcPr/>
          <w:p>
            <w:pPr>
              <w:pStyle w:val="Compact"/>
              <w:jc w:val="right"/>
            </w:pPr>
            <w:r>
              <w:t xml:space="preserve">45</w:t>
            </w:r>
          </w:p>
        </w:tc>
        <w:tc>
          <w:tcPr/>
          <w:p>
            <w:pPr>
              <w:pStyle w:val="Compact"/>
              <w:jc w:val="right"/>
            </w:pPr>
            <w:r>
              <w:t xml:space="preserve">17</w:t>
            </w:r>
          </w:p>
        </w:tc>
        <w:tc>
          <w:tcPr/>
          <w:p>
            <w:pPr>
              <w:pStyle w:val="Compact"/>
              <w:jc w:val="right"/>
            </w:pPr>
            <w:r>
              <w:t xml:space="preserve">31</w:t>
            </w:r>
          </w:p>
        </w:tc>
        <w:tc>
          <w:tcPr/>
          <w:p>
            <w:pPr>
              <w:pStyle w:val="Compact"/>
              <w:jc w:val="right"/>
            </w:pPr>
            <w:r>
              <w:t xml:space="preserve">17</w:t>
            </w:r>
          </w:p>
        </w:tc>
        <w:tc>
          <w:tcPr/>
          <w:p>
            <w:pPr>
              <w:pStyle w:val="Compact"/>
              <w:jc w:val="right"/>
            </w:pPr>
            <w:r>
              <w:t xml:space="preserve">13</w:t>
            </w:r>
          </w:p>
        </w:tc>
        <w:tc>
          <w:tcPr/>
          <w:p>
            <w:pPr>
              <w:pStyle w:val="Compact"/>
              <w:jc w:val="right"/>
            </w:pPr>
            <w:r>
              <w:rPr>
                <w:bCs/>
                <w:b/>
              </w:rPr>
              <w:t xml:space="preserve">176</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p>
        </w:tc>
        <w:tc>
          <w:tcPr/>
          <w:p>
            <w:pPr>
              <w:pStyle w:val="Compact"/>
            </w:pPr>
          </w:p>
        </w:tc>
        <w:tc>
          <w:tcPr/>
          <w:p>
            <w:pPr>
              <w:pStyle w:val="Compact"/>
              <w:jc w:val="right"/>
            </w:pPr>
            <w:r>
              <w:t xml:space="preserve">7</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9</w:t>
            </w:r>
          </w:p>
        </w:tc>
        <w:tc>
          <w:tcPr/>
          <w:p>
            <w:pPr>
              <w:pStyle w:val="Compact"/>
              <w:jc w:val="right"/>
            </w:pPr>
            <w:r>
              <w:t xml:space="preserve">9</w:t>
            </w:r>
          </w:p>
        </w:tc>
        <w:tc>
          <w:tcPr/>
          <w:p>
            <w:pPr>
              <w:pStyle w:val="Compact"/>
              <w:jc w:val="right"/>
            </w:pPr>
            <w:r>
              <w:t xml:space="preserve">7</w:t>
            </w:r>
          </w:p>
        </w:tc>
        <w:tc>
          <w:tcPr/>
          <w:p>
            <w:pPr>
              <w:pStyle w:val="Compact"/>
              <w:jc w:val="right"/>
            </w:pPr>
            <w:r>
              <w:t xml:space="preserve">11</w:t>
            </w:r>
          </w:p>
        </w:tc>
        <w:tc>
          <w:tcPr/>
          <w:p>
            <w:pPr>
              <w:pStyle w:val="Compact"/>
              <w:jc w:val="right"/>
            </w:pPr>
            <w:r>
              <w:t xml:space="preserve">3</w:t>
            </w:r>
          </w:p>
        </w:tc>
        <w:tc>
          <w:tcPr/>
          <w:p>
            <w:pPr>
              <w:pStyle w:val="Compact"/>
              <w:jc w:val="right"/>
            </w:pPr>
            <w:r>
              <w:t xml:space="preserve">1</w:t>
            </w:r>
          </w:p>
        </w:tc>
        <w:tc>
          <w:tcPr/>
          <w:p>
            <w:pPr>
              <w:pStyle w:val="Compact"/>
              <w:jc w:val="right"/>
            </w:pPr>
            <w:r>
              <w:rPr>
                <w:bCs/>
                <w:b/>
              </w:rPr>
              <w:t xml:space="preserve">40</w:t>
            </w: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10</w:t>
            </w:r>
          </w:p>
        </w:tc>
        <w:tc>
          <w:tcPr/>
          <w:p>
            <w:pPr>
              <w:pStyle w:val="Compact"/>
              <w:jc w:val="right"/>
            </w:pPr>
            <w:r>
              <w:t xml:space="preserve">8</w:t>
            </w:r>
          </w:p>
        </w:tc>
        <w:tc>
          <w:tcPr/>
          <w:p>
            <w:pPr>
              <w:pStyle w:val="Compact"/>
              <w:jc w:val="right"/>
            </w:pPr>
            <w:r>
              <w:t xml:space="preserve">2</w:t>
            </w:r>
          </w:p>
        </w:tc>
        <w:tc>
          <w:tcPr/>
          <w:p>
            <w:pPr>
              <w:pStyle w:val="Compact"/>
              <w:jc w:val="right"/>
            </w:pPr>
            <w:r>
              <w:t xml:space="preserve">6</w:t>
            </w:r>
          </w:p>
        </w:tc>
        <w:tc>
          <w:tcPr/>
          <w:p>
            <w:pPr>
              <w:pStyle w:val="Compact"/>
            </w:pPr>
          </w:p>
        </w:tc>
        <w:tc>
          <w:tcPr/>
          <w:p>
            <w:pPr>
              <w:pStyle w:val="Compact"/>
              <w:jc w:val="right"/>
            </w:pPr>
            <w:r>
              <w:t xml:space="preserve">1</w:t>
            </w:r>
          </w:p>
        </w:tc>
        <w:tc>
          <w:tcPr/>
          <w:p>
            <w:pPr>
              <w:pStyle w:val="Compact"/>
              <w:jc w:val="right"/>
            </w:pPr>
            <w:r>
              <w:rPr>
                <w:bCs/>
                <w:b/>
              </w:rPr>
              <w:t xml:space="preserve">27</w:t>
            </w: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right"/>
            </w:pPr>
            <w:r>
              <w:t xml:space="preserve">7</w:t>
            </w:r>
          </w:p>
        </w:tc>
        <w:tc>
          <w:tcPr/>
          <w:p>
            <w:pPr>
              <w:pStyle w:val="Compact"/>
              <w:jc w:val="right"/>
            </w:pPr>
            <w:r>
              <w:t xml:space="preserve">3</w:t>
            </w:r>
          </w:p>
        </w:tc>
        <w:tc>
          <w:tcPr/>
          <w:p>
            <w:pPr>
              <w:pStyle w:val="Compact"/>
            </w:pPr>
          </w:p>
        </w:tc>
        <w:tc>
          <w:tcPr/>
          <w:p>
            <w:pPr>
              <w:pStyle w:val="Compact"/>
              <w:jc w:val="right"/>
            </w:pPr>
            <w:r>
              <w:rPr>
                <w:bCs/>
                <w:b/>
              </w:rPr>
              <w:t xml:space="preserve">16</w:t>
            </w: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5</w:t>
            </w:r>
          </w:p>
        </w:tc>
        <w:tc>
          <w:tcPr/>
          <w:p>
            <w:pPr>
              <w:pStyle w:val="Compact"/>
              <w:jc w:val="right"/>
            </w:pPr>
            <w:r>
              <w:t xml:space="preserve">8</w:t>
            </w:r>
          </w:p>
        </w:tc>
        <w:tc>
          <w:tcPr/>
          <w:p>
            <w:pPr>
              <w:pStyle w:val="Compact"/>
              <w:jc w:val="right"/>
            </w:pPr>
            <w:r>
              <w:t xml:space="preserve">3</w:t>
            </w:r>
          </w:p>
        </w:tc>
        <w:tc>
          <w:tcPr/>
          <w:p>
            <w:pPr>
              <w:pStyle w:val="Compact"/>
              <w:jc w:val="right"/>
            </w:pPr>
            <w:r>
              <w:t xml:space="preserve">4</w:t>
            </w:r>
          </w:p>
        </w:tc>
        <w:tc>
          <w:tcPr/>
          <w:p>
            <w:pPr>
              <w:pStyle w:val="Compact"/>
              <w:jc w:val="right"/>
            </w:pPr>
            <w:r>
              <w:t xml:space="preserve">1</w:t>
            </w:r>
          </w:p>
        </w:tc>
        <w:tc>
          <w:tcPr/>
          <w:p>
            <w:pPr>
              <w:pStyle w:val="Compact"/>
              <w:jc w:val="right"/>
            </w:pPr>
            <w:r>
              <w:t xml:space="preserve">1</w:t>
            </w:r>
          </w:p>
        </w:tc>
        <w:tc>
          <w:tcPr/>
          <w:p>
            <w:pPr>
              <w:pStyle w:val="Compact"/>
              <w:jc w:val="right"/>
            </w:pPr>
            <w:r>
              <w:rPr>
                <w:bCs/>
                <w:b/>
              </w:rPr>
              <w:t xml:space="preserve">22</w:t>
            </w:r>
          </w:p>
        </w:tc>
      </w:tr>
      <w:tr>
        <w:tc>
          <w:tcPr/>
          <w:p>
            <w:pPr>
              <w:pStyle w:val="Compact"/>
              <w:jc w:val="left"/>
            </w:pPr>
            <w:r>
              <w:rPr>
                <w:bCs/>
                <w:b/>
              </w:rPr>
              <w:t xml:space="preserve">f</w:t>
            </w:r>
            <w:r>
              <w:rPr>
                <w:vertAlign w:val="superscript"/>
                <w:bCs/>
                <w:b/>
              </w:rPr>
              <w:t xml:space="preserve">35</w:t>
            </w:r>
            <w:r>
              <w:t xml:space="preserve"> </w:t>
            </w:r>
            <w:r>
              <w:t xml:space="preserve">048</w:t>
            </w: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20</w:t>
            </w:r>
            <w:r>
              <w:t xml:space="preserve"> </w:t>
            </w:r>
            <w:r>
              <w:t xml:space="preserve">ℵ</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pP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048</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12</w:t>
            </w:r>
          </w:p>
        </w:tc>
        <w:tc>
          <w:tcPr/>
          <w:p>
            <w:pPr>
              <w:pStyle w:val="Compact"/>
              <w:jc w:val="right"/>
            </w:pPr>
            <w:r>
              <w:t xml:space="preserve">3</w:t>
            </w:r>
          </w:p>
        </w:tc>
        <w:tc>
          <w:tcPr/>
          <w:p>
            <w:pPr>
              <w:pStyle w:val="Compact"/>
              <w:jc w:val="right"/>
            </w:pPr>
            <w:r>
              <w:t xml:space="preserve">6</w:t>
            </w:r>
          </w:p>
        </w:tc>
        <w:tc>
          <w:tcPr/>
          <w:p>
            <w:pPr>
              <w:pStyle w:val="Compact"/>
              <w:jc w:val="right"/>
            </w:pPr>
            <w:r>
              <w:t xml:space="preserve">10</w:t>
            </w:r>
          </w:p>
        </w:tc>
        <w:tc>
          <w:tcPr/>
          <w:p>
            <w:pPr>
              <w:pStyle w:val="Compact"/>
            </w:pPr>
          </w:p>
        </w:tc>
        <w:tc>
          <w:tcPr/>
          <w:p>
            <w:pPr>
              <w:pStyle w:val="Compact"/>
              <w:jc w:val="right"/>
            </w:pPr>
            <w:r>
              <w:t xml:space="preserve">1</w:t>
            </w:r>
          </w:p>
        </w:tc>
        <w:tc>
          <w:tcPr/>
          <w:p>
            <w:pPr>
              <w:pStyle w:val="Compact"/>
              <w:jc w:val="right"/>
            </w:pPr>
            <w:r>
              <w:rPr>
                <w:bCs/>
                <w:b/>
              </w:rPr>
              <w:t xml:space="preserve">32</w:t>
            </w: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10</w:t>
            </w:r>
          </w:p>
        </w:tc>
        <w:tc>
          <w:tcPr/>
          <w:p>
            <w:pPr>
              <w:pStyle w:val="Compact"/>
              <w:jc w:val="right"/>
            </w:pPr>
            <w:r>
              <w:t xml:space="preserve">5</w:t>
            </w:r>
          </w:p>
        </w:tc>
        <w:tc>
          <w:tcPr/>
          <w:p>
            <w:pPr>
              <w:pStyle w:val="Compact"/>
            </w:pPr>
          </w:p>
        </w:tc>
        <w:tc>
          <w:tcPr/>
          <w:p>
            <w:pPr>
              <w:pStyle w:val="Compact"/>
              <w:jc w:val="right"/>
            </w:pPr>
            <w:r>
              <w:t xml:space="preserve">22</w:t>
            </w:r>
          </w:p>
        </w:tc>
        <w:tc>
          <w:tcPr/>
          <w:p>
            <w:pPr>
              <w:pStyle w:val="Compact"/>
              <w:jc w:val="right"/>
            </w:pPr>
            <w:r>
              <w:t xml:space="preserve">2</w:t>
            </w:r>
          </w:p>
        </w:tc>
        <w:tc>
          <w:tcPr/>
          <w:p>
            <w:pPr>
              <w:pStyle w:val="Compact"/>
            </w:pPr>
          </w:p>
        </w:tc>
        <w:tc>
          <w:tcPr/>
          <w:p>
            <w:pPr>
              <w:pStyle w:val="Compact"/>
              <w:jc w:val="right"/>
            </w:pPr>
            <w:r>
              <w:rPr>
                <w:bCs/>
                <w:b/>
              </w:rPr>
              <w:t xml:space="preserve">39</w:t>
            </w: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jc w:val="right"/>
            </w:pPr>
            <w:r>
              <w:t xml:space="preserve">5</w:t>
            </w:r>
          </w:p>
        </w:tc>
        <w:tc>
          <w:tcPr/>
          <w:p>
            <w:pPr>
              <w:pStyle w:val="Compact"/>
            </w:pPr>
          </w:p>
        </w:tc>
        <w:tc>
          <w:tcPr/>
          <w:p>
            <w:pPr>
              <w:pStyle w:val="Compact"/>
              <w:jc w:val="right"/>
            </w:pPr>
            <w:r>
              <w:t xml:space="preserve">2</w:t>
            </w: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ℵ048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right"/>
            </w:pPr>
            <w:r>
              <w:t xml:space="preserve">12</w:t>
            </w:r>
          </w:p>
        </w:tc>
        <w:tc>
          <w:tcPr/>
          <w:p>
            <w:pPr>
              <w:pStyle w:val="Compact"/>
            </w:pPr>
          </w:p>
        </w:tc>
        <w:tc>
          <w:tcPr/>
          <w:p>
            <w:pPr>
              <w:pStyle w:val="Compact"/>
              <w:jc w:val="right"/>
            </w:pPr>
            <w:r>
              <w:t xml:space="preserve">2</w:t>
            </w:r>
          </w:p>
        </w:tc>
        <w:tc>
          <w:tcPr/>
          <w:p>
            <w:pPr>
              <w:pStyle w:val="Compact"/>
              <w:jc w:val="right"/>
            </w:pPr>
            <w:r>
              <w:rPr>
                <w:bCs/>
                <w:b/>
              </w:rPr>
              <w:t xml:space="preserve">21</w:t>
            </w: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pPr>
          </w:p>
        </w:tc>
        <w:tc>
          <w:tcPr/>
          <w:p>
            <w:pPr>
              <w:pStyle w:val="Compact"/>
              <w:jc w:val="right"/>
            </w:pPr>
            <w:r>
              <w:t xml:space="preserve">1</w:t>
            </w:r>
          </w:p>
        </w:tc>
        <w:tc>
          <w:tcPr/>
          <w:p>
            <w:pPr>
              <w:pStyle w:val="Compact"/>
              <w:jc w:val="right"/>
            </w:pPr>
            <w:r>
              <w:rPr>
                <w:bCs/>
                <w:b/>
              </w:rPr>
              <w:t xml:space="preserve">18</w:t>
            </w:r>
          </w:p>
        </w:tc>
      </w:tr>
      <w:tr>
        <w:tc>
          <w:tcPr/>
          <w:p>
            <w:pPr>
              <w:pStyle w:val="Compact"/>
              <w:jc w:val="left"/>
            </w:pPr>
            <w:r>
              <w:rPr>
                <w:bCs/>
                <w:b/>
              </w:rPr>
              <w:t xml:space="preserve">f</w:t>
            </w:r>
            <w:r>
              <w:rPr>
                <w:vertAlign w:val="superscript"/>
                <w:bCs/>
                <w:b/>
              </w:rPr>
              <w:t xml:space="preserve">35</w:t>
            </w:r>
            <w:r>
              <w:t xml:space="preserve"> </w:t>
            </w:r>
            <w:r>
              <w:t xml:space="preserve">A048</w:t>
            </w: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pP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B048</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w:t>
            </w:r>
          </w:p>
        </w:tc>
        <w:tc>
          <w:tcPr/>
          <w:p>
            <w:pPr>
              <w:pStyle w:val="Compact"/>
            </w:pPr>
          </w:p>
        </w:tc>
        <w:tc>
          <w:tcPr/>
          <w:p>
            <w:pPr>
              <w:pStyle w:val="Compact"/>
              <w:jc w:val="right"/>
            </w:pPr>
            <w:r>
              <w:t xml:space="preserve">8</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8</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w:t>
            </w:r>
          </w:p>
        </w:tc>
        <w:tc>
          <w:tcPr/>
          <w:p>
            <w:pPr>
              <w:pStyle w:val="Compact"/>
            </w:pPr>
          </w:p>
        </w:tc>
        <w:tc>
          <w:tcPr/>
          <w:p>
            <w:pPr>
              <w:pStyle w:val="Compact"/>
              <w:jc w:val="right"/>
            </w:pPr>
            <w:r>
              <w:t xml:space="preserve">4</w:t>
            </w: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5</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ℵC</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w:t>
            </w:r>
          </w:p>
        </w:tc>
        <w:tc>
          <w:tcPr/>
          <w:p>
            <w:pPr>
              <w:pStyle w:val="Compact"/>
            </w:pPr>
          </w:p>
        </w:tc>
        <w:tc>
          <w:tcPr/>
          <w:p>
            <w:pPr>
              <w:pStyle w:val="Compact"/>
              <w:jc w:val="right"/>
            </w:pPr>
            <w:r>
              <w:t xml:space="preserve">12</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3</w:t>
            </w:r>
          </w:p>
        </w:tc>
        <w:tc>
          <w:tcPr/>
          <w:p>
            <w:pPr>
              <w:pStyle w:val="Compact"/>
              <w:jc w:val="right"/>
            </w:pPr>
            <w:r>
              <w:rPr>
                <w:bCs/>
                <w:b/>
              </w:rPr>
              <w:t xml:space="preserve">18</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AC</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w:t>
            </w:r>
          </w:p>
        </w:tc>
        <w:tc>
          <w:tcPr/>
          <w:p>
            <w:pPr>
              <w:pStyle w:val="Compact"/>
            </w:pPr>
          </w:p>
        </w:tc>
        <w:tc>
          <w:tcPr/>
          <w:p>
            <w:pPr>
              <w:pStyle w:val="Compact"/>
              <w:jc w:val="right"/>
            </w:pPr>
            <w:r>
              <w:t xml:space="preserve">1</w:t>
            </w:r>
          </w:p>
        </w:tc>
        <w:tc>
          <w:tcPr/>
          <w:p>
            <w:pPr>
              <w:pStyle w:val="Compact"/>
              <w:jc w:val="right"/>
            </w:pPr>
            <w:r>
              <w:t xml:space="preserve">13</w:t>
            </w:r>
          </w:p>
        </w:tc>
        <w:tc>
          <w:tcPr/>
          <w:p>
            <w:pPr>
              <w:pStyle w:val="Compact"/>
            </w:pPr>
          </w:p>
        </w:tc>
        <w:tc>
          <w:tcPr/>
          <w:p>
            <w:pPr>
              <w:pStyle w:val="Compact"/>
            </w:pPr>
          </w:p>
        </w:tc>
        <w:tc>
          <w:tcPr/>
          <w:p>
            <w:pPr>
              <w:pStyle w:val="Compact"/>
            </w:pPr>
          </w:p>
        </w:tc>
        <w:tc>
          <w:tcPr/>
          <w:p>
            <w:pPr>
              <w:pStyle w:val="Compact"/>
              <w:jc w:val="right"/>
            </w:pPr>
            <w:r>
              <w:rPr>
                <w:bCs/>
                <w:b/>
              </w:rPr>
              <w:t xml:space="preserve">14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BC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ℵB</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1</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w:t>
            </w:r>
          </w:p>
        </w:tc>
        <w:tc>
          <w:tcPr/>
          <w:p>
            <w:pPr>
              <w:pStyle w:val="Compact"/>
              <w:jc w:val="right"/>
            </w:pPr>
            <w:r>
              <w:rPr>
                <w:bCs/>
                <w:b/>
              </w:rPr>
              <w:t xml:space="preserve">41</w:t>
            </w: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8</w:t>
            </w:r>
          </w:p>
        </w:tc>
        <w:tc>
          <w:tcPr/>
          <w:p>
            <w:pPr>
              <w:pStyle w:val="Compact"/>
              <w:jc w:val="right"/>
            </w:pPr>
            <w:r>
              <w:t xml:space="preserve">4</w:t>
            </w:r>
          </w:p>
        </w:tc>
        <w:tc>
          <w:tcPr/>
          <w:p>
            <w:pPr>
              <w:pStyle w:val="Compact"/>
              <w:jc w:val="right"/>
            </w:pPr>
            <w:r>
              <w:t xml:space="preserve">1</w:t>
            </w:r>
          </w:p>
        </w:tc>
        <w:tc>
          <w:tcPr/>
          <w:p>
            <w:pPr>
              <w:pStyle w:val="Compact"/>
              <w:jc w:val="right"/>
            </w:pPr>
            <w:r>
              <w:t xml:space="preserve">11</w:t>
            </w:r>
          </w:p>
        </w:tc>
        <w:tc>
          <w:tcPr/>
          <w:p>
            <w:pPr>
              <w:pStyle w:val="Compact"/>
            </w:pPr>
          </w:p>
        </w:tc>
        <w:tc>
          <w:tcPr/>
          <w:p>
            <w:pPr>
              <w:pStyle w:val="Compact"/>
              <w:jc w:val="right"/>
            </w:pPr>
            <w:r>
              <w:t xml:space="preserve">2</w:t>
            </w:r>
          </w:p>
        </w:tc>
        <w:tc>
          <w:tcPr/>
          <w:p>
            <w:pPr>
              <w:pStyle w:val="Compact"/>
              <w:jc w:val="right"/>
            </w:pPr>
            <w:r>
              <w:rPr>
                <w:bCs/>
                <w:b/>
              </w:rPr>
              <w:t xml:space="preserve">26</w:t>
            </w: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pPr>
          </w:p>
        </w:tc>
        <w:tc>
          <w:tcPr/>
          <w:p>
            <w:pPr>
              <w:pStyle w:val="Compact"/>
            </w:pP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17</w:t>
            </w:r>
          </w:p>
        </w:tc>
        <w:tc>
          <w:tcPr/>
          <w:p>
            <w:pPr>
              <w:pStyle w:val="Compact"/>
              <w:jc w:val="right"/>
            </w:pPr>
            <w:r>
              <w:t xml:space="preserve">1</w:t>
            </w:r>
          </w:p>
        </w:tc>
        <w:tc>
          <w:tcPr/>
          <w:p>
            <w:pPr>
              <w:pStyle w:val="Compact"/>
              <w:jc w:val="right"/>
            </w:pPr>
            <w:r>
              <w:t xml:space="preserve">2</w:t>
            </w:r>
          </w:p>
        </w:tc>
        <w:tc>
          <w:tcPr/>
          <w:p>
            <w:pPr>
              <w:pStyle w:val="Compact"/>
              <w:jc w:val="right"/>
            </w:pPr>
            <w:r>
              <w:t xml:space="preserve">17</w:t>
            </w:r>
          </w:p>
        </w:tc>
        <w:tc>
          <w:tcPr/>
          <w:p>
            <w:pPr>
              <w:pStyle w:val="Compact"/>
              <w:jc w:val="right"/>
            </w:pPr>
            <w:r>
              <w:t xml:space="preserve">2</w:t>
            </w:r>
          </w:p>
        </w:tc>
        <w:tc>
          <w:tcPr/>
          <w:p>
            <w:pPr>
              <w:pStyle w:val="Compact"/>
              <w:jc w:val="right"/>
            </w:pPr>
            <w:r>
              <w:t xml:space="preserve">2</w:t>
            </w:r>
          </w:p>
        </w:tc>
        <w:tc>
          <w:tcPr/>
          <w:p>
            <w:pPr>
              <w:pStyle w:val="Compact"/>
              <w:jc w:val="right"/>
            </w:pPr>
            <w:r>
              <w:rPr>
                <w:bCs/>
                <w:b/>
              </w:rPr>
              <w:t xml:space="preserve">41</w:t>
            </w:r>
          </w:p>
        </w:tc>
      </w:tr>
      <w:tr>
        <w:tc>
          <w:tcPr/>
          <w:p>
            <w:pPr>
              <w:pStyle w:val="Compact"/>
              <w:jc w:val="left"/>
            </w:pPr>
            <w:r>
              <w:rPr>
                <w:bCs/>
                <w:b/>
              </w:rPr>
              <w:t xml:space="preserve">f</w:t>
            </w:r>
            <w:r>
              <w:rPr>
                <w:vertAlign w:val="superscript"/>
                <w:bCs/>
                <w:b/>
              </w:rPr>
              <w:t xml:space="preserve">35</w:t>
            </w:r>
            <w:r>
              <w:t xml:space="preserve"> </w:t>
            </w:r>
            <w:r>
              <w:t xml:space="preserve">ℵB048</w:t>
            </w: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ℵB0232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8</w:t>
            </w:r>
          </w:p>
        </w:tc>
        <w:tc>
          <w:tcPr/>
          <w:p>
            <w:pPr>
              <w:pStyle w:val="Compact"/>
              <w:jc w:val="right"/>
            </w:pPr>
            <w:r>
              <w:t xml:space="preserve">5</w:t>
            </w:r>
          </w:p>
        </w:tc>
        <w:tc>
          <w:tcPr/>
          <w:p>
            <w:pPr>
              <w:pStyle w:val="Compact"/>
              <w:jc w:val="right"/>
            </w:pPr>
            <w:r>
              <w:t xml:space="preserve">2</w:t>
            </w:r>
          </w:p>
        </w:tc>
        <w:tc>
          <w:tcPr/>
          <w:p>
            <w:pPr>
              <w:pStyle w:val="Compact"/>
              <w:jc w:val="right"/>
            </w:pPr>
            <w:r>
              <w:t xml:space="preserve">15</w:t>
            </w:r>
          </w:p>
        </w:tc>
        <w:tc>
          <w:tcPr/>
          <w:p>
            <w:pPr>
              <w:pStyle w:val="Compact"/>
              <w:jc w:val="right"/>
            </w:pPr>
            <w:r>
              <w:t xml:space="preserve">3</w:t>
            </w:r>
          </w:p>
        </w:tc>
        <w:tc>
          <w:tcPr/>
          <w:p>
            <w:pPr>
              <w:pStyle w:val="Compact"/>
              <w:jc w:val="right"/>
            </w:pPr>
            <w:r>
              <w:t xml:space="preserve">2</w:t>
            </w:r>
          </w:p>
        </w:tc>
        <w:tc>
          <w:tcPr/>
          <w:p>
            <w:pPr>
              <w:pStyle w:val="Compact"/>
              <w:jc w:val="right"/>
            </w:pPr>
            <w:r>
              <w:rPr>
                <w:bCs/>
                <w:b/>
              </w:rPr>
              <w:t xml:space="preserve">35</w:t>
            </w:r>
          </w:p>
        </w:tc>
      </w:tr>
      <w:tr>
        <w:tc>
          <w:tcPr/>
          <w:p>
            <w:pPr>
              <w:pStyle w:val="Compact"/>
              <w:jc w:val="left"/>
            </w:pPr>
            <w:r>
              <w:rPr>
                <w:bCs/>
                <w:b/>
              </w:rPr>
              <w:t xml:space="preserve">f</w:t>
            </w:r>
            <w:r>
              <w:rPr>
                <w:vertAlign w:val="superscript"/>
                <w:bCs/>
                <w:b/>
              </w:rPr>
              <w:t xml:space="preserve">35</w:t>
            </w:r>
            <w:r>
              <w:t xml:space="preserve"> </w:t>
            </w:r>
            <w:r>
              <w:t xml:space="preserve">AB048</w:t>
            </w:r>
          </w:p>
        </w:tc>
        <w:tc>
          <w:tcPr/>
          <w:p>
            <w:pPr>
              <w:pStyle w:val="Compact"/>
              <w:jc w:val="right"/>
            </w:pPr>
            <w:r>
              <w:t xml:space="preserve">2</w:t>
            </w:r>
          </w:p>
        </w:tc>
        <w:tc>
          <w:tcPr/>
          <w:p>
            <w:pPr>
              <w:pStyle w:val="Compact"/>
            </w:pPr>
          </w:p>
        </w:tc>
        <w:tc>
          <w:tcPr/>
          <w:p>
            <w:pPr>
              <w:pStyle w:val="Compact"/>
            </w:pPr>
          </w:p>
        </w:tc>
        <w:tc>
          <w:tcPr/>
          <w:p>
            <w:pPr>
              <w:pStyle w:val="Compact"/>
              <w:jc w:val="right"/>
            </w:pPr>
            <w:r>
              <w:t xml:space="preserve">4</w:t>
            </w:r>
          </w:p>
        </w:tc>
        <w:tc>
          <w:tcPr/>
          <w:p>
            <w:pPr>
              <w:pStyle w:val="Compact"/>
              <w:jc w:val="right"/>
            </w:pPr>
            <w:r>
              <w:t xml:space="preserve">1</w:t>
            </w:r>
          </w:p>
        </w:tc>
        <w:tc>
          <w:tcPr/>
          <w:p>
            <w:pPr>
              <w:pStyle w:val="Compact"/>
            </w:pPr>
          </w:p>
        </w:tc>
        <w:tc>
          <w:tcPr/>
          <w:p>
            <w:pPr>
              <w:pStyle w:val="Compact"/>
              <w:jc w:val="right"/>
            </w:pPr>
            <w:r>
              <w:rPr>
                <w:bCs/>
                <w:b/>
              </w:rPr>
              <w:t xml:space="preserve">7</w:t>
            </w:r>
          </w:p>
        </w:tc>
      </w:tr>
      <w:tr>
        <w:tc>
          <w:tcPr/>
          <w:p>
            <w:pPr>
              <w:pStyle w:val="Compact"/>
              <w:jc w:val="left"/>
            </w:pPr>
            <w:r>
              <w:rPr>
                <w:bCs/>
                <w:b/>
              </w:rPr>
              <w:t xml:space="preserve">f</w:t>
            </w:r>
            <w:r>
              <w:rPr>
                <w:vertAlign w:val="superscript"/>
                <w:bCs/>
                <w:b/>
              </w:rPr>
              <w:t xml:space="preserve">35</w:t>
            </w:r>
            <w:r>
              <w:t xml:space="preserve"> </w:t>
            </w:r>
            <w:r>
              <w:t xml:space="preserve">AB0232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AC048</w:t>
            </w: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23</w:t>
            </w:r>
            <w:r>
              <w:t xml:space="preserve">ABC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72,78</w:t>
            </w:r>
            <w:r>
              <w:t xml:space="preserve">AB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pPr>
          </w:p>
        </w:tc>
        <w:tc>
          <w:tcPr/>
          <w:p>
            <w:pPr>
              <w:pStyle w:val="Compact"/>
              <w:jc w:val="right"/>
            </w:pPr>
            <w:r>
              <w:t xml:space="preserve">9</w:t>
            </w:r>
          </w:p>
        </w:tc>
        <w:tc>
          <w:tcPr/>
          <w:p>
            <w:pPr>
              <w:pStyle w:val="Compact"/>
              <w:jc w:val="right"/>
            </w:pPr>
            <w:r>
              <w:t xml:space="preserve">4</w:t>
            </w:r>
          </w:p>
        </w:tc>
        <w:tc>
          <w:tcPr/>
          <w:p>
            <w:pPr>
              <w:pStyle w:val="Compact"/>
            </w:pPr>
          </w:p>
        </w:tc>
        <w:tc>
          <w:tcPr/>
          <w:p>
            <w:pPr>
              <w:pStyle w:val="Compact"/>
            </w:pPr>
          </w:p>
        </w:tc>
        <w:tc>
          <w:tcPr/>
          <w:p>
            <w:pPr>
              <w:pStyle w:val="Compact"/>
              <w:jc w:val="right"/>
            </w:pPr>
            <w:r>
              <w:t xml:space="preserve">4</w:t>
            </w:r>
          </w:p>
        </w:tc>
        <w:tc>
          <w:tcPr/>
          <w:p>
            <w:pPr>
              <w:pStyle w:val="Compact"/>
              <w:jc w:val="right"/>
            </w:pPr>
            <w:r>
              <w:rPr>
                <w:bCs/>
                <w:b/>
              </w:rPr>
              <w:t xml:space="preserve">17</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pPr>
          </w:p>
        </w:tc>
        <w:tc>
          <w:tcPr/>
          <w:p>
            <w:pPr>
              <w:pStyle w:val="Compact"/>
              <w:jc w:val="right"/>
            </w:pPr>
            <w:r>
              <w:t xml:space="preserve">4</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pPr>
          </w:p>
        </w:tc>
        <w:tc>
          <w:tcPr/>
          <w:p>
            <w:pPr>
              <w:pStyle w:val="Compact"/>
              <w:jc w:val="right"/>
            </w:pPr>
            <w:r>
              <w:t xml:space="preserve">6</w:t>
            </w:r>
          </w:p>
        </w:tc>
        <w:tc>
          <w:tcPr/>
          <w:p>
            <w:pPr>
              <w:pStyle w:val="Compact"/>
              <w:jc w:val="right"/>
            </w:pPr>
            <w:r>
              <w:t xml:space="preserve">10</w:t>
            </w:r>
          </w:p>
        </w:tc>
        <w:tc>
          <w:tcPr/>
          <w:p>
            <w:pPr>
              <w:pStyle w:val="Compact"/>
            </w:pPr>
          </w:p>
        </w:tc>
        <w:tc>
          <w:tcPr/>
          <w:p>
            <w:pPr>
              <w:pStyle w:val="Compact"/>
            </w:pPr>
          </w:p>
        </w:tc>
        <w:tc>
          <w:tcPr/>
          <w:p>
            <w:pPr>
              <w:pStyle w:val="Compact"/>
              <w:jc w:val="right"/>
            </w:pPr>
            <w:r>
              <w:t xml:space="preserve">3</w:t>
            </w:r>
          </w:p>
        </w:tc>
        <w:tc>
          <w:tcPr/>
          <w:p>
            <w:pPr>
              <w:pStyle w:val="Compact"/>
              <w:jc w:val="right"/>
            </w:pPr>
            <w:r>
              <w:rPr>
                <w:bCs/>
                <w:b/>
              </w:rPr>
              <w:t xml:space="preserve">19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w:t>
            </w:r>
          </w:p>
        </w:tc>
        <w:tc>
          <w:tcPr/>
          <w:p>
            <w:pPr>
              <w:pStyle w:val="Compact"/>
            </w:pPr>
          </w:p>
        </w:tc>
        <w:tc>
          <w:tcPr/>
          <w:p>
            <w:pPr>
              <w:pStyle w:val="Compact"/>
              <w:jc w:val="right"/>
            </w:pPr>
            <w:r>
              <w:t xml:space="preserve">8</w:t>
            </w:r>
          </w:p>
        </w:tc>
        <w:tc>
          <w:tcPr/>
          <w:p>
            <w:pPr>
              <w:pStyle w:val="Compact"/>
              <w:jc w:val="right"/>
            </w:pPr>
            <w:r>
              <w:t xml:space="preserve">4</w:t>
            </w:r>
          </w:p>
        </w:tc>
        <w:tc>
          <w:tcPr/>
          <w:p>
            <w:pPr>
              <w:pStyle w:val="Compact"/>
            </w:pPr>
          </w:p>
        </w:tc>
        <w:tc>
          <w:tcPr/>
          <w:p>
            <w:pPr>
              <w:pStyle w:val="Compact"/>
            </w:pPr>
          </w:p>
        </w:tc>
        <w:tc>
          <w:tcPr/>
          <w:p>
            <w:pPr>
              <w:pStyle w:val="Compact"/>
              <w:jc w:val="right"/>
            </w:pPr>
            <w:r>
              <w:t xml:space="preserve">5</w:t>
            </w:r>
          </w:p>
        </w:tc>
        <w:tc>
          <w:tcPr/>
          <w:p>
            <w:pPr>
              <w:pStyle w:val="Compact"/>
              <w:jc w:val="right"/>
            </w:pPr>
            <w:r>
              <w:rPr>
                <w:bCs/>
                <w:b/>
              </w:rPr>
              <w:t xml:space="preserve">17</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ℵAB</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ℵBC</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1</w:t>
            </w:r>
          </w:p>
        </w:tc>
        <w:tc>
          <w:tcPr/>
          <w:p>
            <w:pPr>
              <w:pStyle w:val="Compact"/>
              <w:jc w:val="right"/>
            </w:pPr>
            <w:r>
              <w:t xml:space="preserve">11</w:t>
            </w:r>
          </w:p>
        </w:tc>
        <w:tc>
          <w:tcPr/>
          <w:p>
            <w:pPr>
              <w:pStyle w:val="Compact"/>
              <w:jc w:val="right"/>
            </w:pPr>
            <w:r>
              <w:t xml:space="preserve">4</w:t>
            </w:r>
          </w:p>
        </w:tc>
        <w:tc>
          <w:tcPr/>
          <w:p>
            <w:pPr>
              <w:pStyle w:val="Compact"/>
            </w:pPr>
          </w:p>
        </w:tc>
        <w:tc>
          <w:tcPr/>
          <w:p>
            <w:pPr>
              <w:pStyle w:val="Compact"/>
              <w:jc w:val="right"/>
            </w:pPr>
            <w:r>
              <w:t xml:space="preserve">2</w:t>
            </w:r>
          </w:p>
        </w:tc>
        <w:tc>
          <w:tcPr/>
          <w:p>
            <w:pPr>
              <w:pStyle w:val="Compact"/>
              <w:jc w:val="right"/>
            </w:pPr>
            <w:r>
              <w:t xml:space="preserve">7</w:t>
            </w:r>
          </w:p>
        </w:tc>
        <w:tc>
          <w:tcPr/>
          <w:p>
            <w:pPr>
              <w:pStyle w:val="Compact"/>
              <w:jc w:val="right"/>
            </w:pPr>
            <w:r>
              <w:rPr>
                <w:bCs/>
                <w:b/>
              </w:rPr>
              <w:t xml:space="preserve">25</w:t>
            </w:r>
          </w:p>
        </w:tc>
      </w:tr>
      <w:tr>
        <w:tc>
          <w:tcPr/>
          <w:p>
            <w:pPr>
              <w:pStyle w:val="Compact"/>
              <w:jc w:val="left"/>
            </w:pPr>
            <w:r>
              <w:rPr>
                <w:bCs/>
                <w:b/>
              </w:rPr>
              <w:t xml:space="preserve">f</w:t>
            </w:r>
            <w:r>
              <w:rPr>
                <w:vertAlign w:val="superscript"/>
                <w:bCs/>
                <w:b/>
              </w:rPr>
              <w:t xml:space="preserve">35</w:t>
            </w:r>
            <w:r>
              <w:t xml:space="preserve"> </w:t>
            </w:r>
            <w:r>
              <w:t xml:space="preserve">ℵAC048</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ℵBC048</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ABC048</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AB048,0232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72,78</w:t>
            </w:r>
            <w:r>
              <w:t xml:space="preserve"> </w:t>
            </w:r>
            <w:r>
              <w:t xml:space="preserve">ℵAB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72,81</w:t>
            </w:r>
            <w:r>
              <w:t xml:space="preserve"> </w:t>
            </w:r>
            <w:r>
              <w:t xml:space="preserve">ℵBC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ℵAB048</w:t>
            </w:r>
          </w:p>
        </w:tc>
        <w:tc>
          <w:tcPr/>
          <w:p>
            <w:pPr>
              <w:pStyle w:val="Compact"/>
            </w:pPr>
          </w:p>
        </w:tc>
        <w:tc>
          <w:tcPr/>
          <w:p>
            <w:pPr>
              <w:pStyle w:val="Compact"/>
            </w:pPr>
          </w:p>
        </w:tc>
        <w:tc>
          <w:tcPr/>
          <w:p>
            <w:pPr>
              <w:pStyle w:val="Compact"/>
              <w:jc w:val="right"/>
            </w:pPr>
            <w:r>
              <w:t xml:space="preserve">3</w:t>
            </w:r>
          </w:p>
        </w:tc>
        <w:tc>
          <w:tcPr/>
          <w:p>
            <w:pPr>
              <w:pStyle w:val="Compact"/>
            </w:pPr>
          </w:p>
        </w:tc>
        <w:tc>
          <w:tcPr/>
          <w:p>
            <w:pPr>
              <w:pStyle w:val="Compact"/>
              <w:jc w:val="right"/>
            </w:pPr>
            <w:r>
              <w:t xml:space="preserve">6</w:t>
            </w:r>
          </w:p>
        </w:tc>
        <w:tc>
          <w:tcPr/>
          <w:p>
            <w:pPr>
              <w:pStyle w:val="Compact"/>
            </w:pP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ℵAC048</w:t>
            </w: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ABC048</w:t>
            </w:r>
          </w:p>
        </w:tc>
        <w:tc>
          <w:tcPr/>
          <w:p>
            <w:pPr>
              <w:pStyle w:val="Compact"/>
            </w:pPr>
          </w:p>
        </w:tc>
        <w:tc>
          <w:tcPr/>
          <w:p>
            <w:pPr>
              <w:pStyle w:val="Compact"/>
              <w:jc w:val="right"/>
            </w:pPr>
            <w:r>
              <w:t xml:space="preserve">1</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78</w:t>
            </w:r>
            <w:r>
              <w:t xml:space="preserve"> </w:t>
            </w:r>
            <w:r>
              <w:t xml:space="preserve">ℵABC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ℵABC</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ℵABC048</w:t>
            </w:r>
          </w:p>
        </w:tc>
        <w:tc>
          <w:tcPr/>
          <w:p>
            <w:pPr>
              <w:pStyle w:val="Compact"/>
            </w:pPr>
          </w:p>
        </w:tc>
        <w:tc>
          <w:tcPr/>
          <w:p>
            <w:pPr>
              <w:pStyle w:val="Compact"/>
              <w:jc w:val="right"/>
            </w:pPr>
            <w:r>
              <w:t xml:space="preserve">3</w:t>
            </w: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jc w:val="right"/>
            </w:pPr>
            <w:r>
              <w:rPr>
                <w:bCs/>
                <w:b/>
              </w:rPr>
              <w:t xml:space="preserve">6</w:t>
            </w:r>
          </w:p>
        </w:tc>
      </w:tr>
      <w:tr>
        <w:tc>
          <w:tcPr/>
          <w:p>
            <w:pPr>
              <w:pStyle w:val="Compact"/>
              <w:jc w:val="left"/>
            </w:pPr>
            <w:r>
              <w:t xml:space="preserve">Łącznie z uncjałem</w:t>
            </w:r>
          </w:p>
        </w:tc>
        <w:tc>
          <w:tcPr/>
          <w:p>
            <w:pPr>
              <w:pStyle w:val="Compact"/>
              <w:jc w:val="right"/>
            </w:pPr>
            <w:r>
              <w:t xml:space="preserve">127</w:t>
            </w:r>
          </w:p>
        </w:tc>
        <w:tc>
          <w:tcPr/>
          <w:p>
            <w:pPr>
              <w:pStyle w:val="Compact"/>
              <w:jc w:val="right"/>
            </w:pPr>
            <w:r>
              <w:t xml:space="preserve">155</w:t>
            </w:r>
          </w:p>
        </w:tc>
        <w:tc>
          <w:tcPr/>
          <w:p>
            <w:pPr>
              <w:pStyle w:val="Compact"/>
              <w:jc w:val="right"/>
            </w:pPr>
            <w:r>
              <w:t xml:space="preserve">95</w:t>
            </w:r>
          </w:p>
        </w:tc>
        <w:tc>
          <w:tcPr/>
          <w:p>
            <w:pPr>
              <w:pStyle w:val="Compact"/>
              <w:jc w:val="right"/>
            </w:pPr>
            <w:r>
              <w:t xml:space="preserve">147</w:t>
            </w:r>
          </w:p>
        </w:tc>
        <w:tc>
          <w:tcPr/>
          <w:p>
            <w:pPr>
              <w:pStyle w:val="Compact"/>
              <w:jc w:val="right"/>
            </w:pPr>
            <w:r>
              <w:t xml:space="preserve">38</w:t>
            </w:r>
          </w:p>
        </w:tc>
        <w:tc>
          <w:tcPr/>
          <w:p>
            <w:pPr>
              <w:pStyle w:val="Compact"/>
              <w:jc w:val="right"/>
            </w:pPr>
            <w:r>
              <w:t xml:space="preserve">48</w:t>
            </w:r>
          </w:p>
        </w:tc>
        <w:tc>
          <w:tcPr/>
          <w:p>
            <w:pPr>
              <w:pStyle w:val="Compact"/>
              <w:jc w:val="right"/>
            </w:pPr>
            <w:r>
              <w:rPr>
                <w:bCs/>
                <w:b/>
              </w:rPr>
              <w:t xml:space="preserve">619</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z udziałem P</w:t>
            </w:r>
            <w:r>
              <w:rPr>
                <w:vertAlign w:val="superscript"/>
              </w:rPr>
              <w:t xml:space="preserve">20</w:t>
            </w:r>
          </w:p>
        </w:tc>
        <w:tc>
          <w:tcPr/>
          <w:p>
            <w:pPr>
              <w:pStyle w:val="Compact"/>
              <w:jc w:val="center"/>
            </w:pPr>
            <w:r>
              <w:t xml:space="preserve">—</w:t>
            </w:r>
          </w:p>
        </w:tc>
        <w:tc>
          <w:tcPr/>
          <w:p>
            <w:pPr>
              <w:pStyle w:val="Compact"/>
              <w:jc w:val="right"/>
            </w:pPr>
            <w:r>
              <w:rPr>
                <w:bCs/>
                <w:b/>
              </w:rPr>
              <w:t xml:space="preserve">1</w:t>
            </w:r>
          </w:p>
        </w:tc>
      </w:tr>
      <w:tr>
        <w:tc>
          <w:tcPr/>
          <w:p>
            <w:pPr>
              <w:pStyle w:val="Compact"/>
              <w:jc w:val="left"/>
            </w:pPr>
            <w:r>
              <w:t xml:space="preserve">z udziałem P</w:t>
            </w:r>
            <w:r>
              <w:rPr>
                <w:vertAlign w:val="superscript"/>
              </w:rPr>
              <w:t xml:space="preserve">23</w:t>
            </w:r>
          </w:p>
        </w:tc>
        <w:tc>
          <w:tcPr/>
          <w:p>
            <w:pPr>
              <w:pStyle w:val="Compact"/>
              <w:jc w:val="center"/>
            </w:pPr>
            <w:r>
              <w:t xml:space="preserve">—</w:t>
            </w:r>
          </w:p>
        </w:tc>
        <w:tc>
          <w:tcPr/>
          <w:p>
            <w:pPr>
              <w:pStyle w:val="Compact"/>
              <w:jc w:val="right"/>
            </w:pPr>
            <w:r>
              <w:rPr>
                <w:bCs/>
                <w:b/>
              </w:rPr>
              <w:t xml:space="preserve">1</w:t>
            </w:r>
          </w:p>
        </w:tc>
      </w:tr>
      <w:tr>
        <w:tc>
          <w:tcPr/>
          <w:p>
            <w:pPr>
              <w:pStyle w:val="Compact"/>
              <w:jc w:val="left"/>
            </w:pPr>
            <w:r>
              <w:t xml:space="preserve">z udziałem P</w:t>
            </w:r>
            <w:r>
              <w:rPr>
                <w:vertAlign w:val="superscript"/>
              </w:rPr>
              <w:t xml:space="preserve">72</w:t>
            </w:r>
          </w:p>
        </w:tc>
        <w:tc>
          <w:tcPr/>
          <w:p>
            <w:pPr>
              <w:pStyle w:val="Compact"/>
              <w:jc w:val="center"/>
            </w:pPr>
            <w:r>
              <w:t xml:space="preserve">—</w:t>
            </w:r>
          </w:p>
        </w:tc>
        <w:tc>
          <w:tcPr/>
          <w:p>
            <w:pPr>
              <w:pStyle w:val="Compact"/>
              <w:jc w:val="right"/>
            </w:pPr>
            <w:r>
              <w:rPr>
                <w:bCs/>
                <w:b/>
              </w:rPr>
              <w:t xml:space="preserve">153</w:t>
            </w:r>
          </w:p>
        </w:tc>
      </w:tr>
      <w:tr>
        <w:tc>
          <w:tcPr/>
          <w:p>
            <w:pPr>
              <w:pStyle w:val="Compact"/>
              <w:jc w:val="left"/>
            </w:pPr>
            <w:r>
              <w:t xml:space="preserve">z udziałem P</w:t>
            </w:r>
            <w:r>
              <w:rPr>
                <w:vertAlign w:val="superscript"/>
              </w:rPr>
              <w:t xml:space="preserve">78</w:t>
            </w:r>
          </w:p>
        </w:tc>
        <w:tc>
          <w:tcPr/>
          <w:p>
            <w:pPr>
              <w:pStyle w:val="Compact"/>
              <w:jc w:val="center"/>
            </w:pPr>
            <w:r>
              <w:t xml:space="preserve">—</w:t>
            </w:r>
          </w:p>
        </w:tc>
        <w:tc>
          <w:tcPr/>
          <w:p>
            <w:pPr>
              <w:pStyle w:val="Compact"/>
              <w:jc w:val="right"/>
            </w:pPr>
            <w:r>
              <w:rPr>
                <w:bCs/>
                <w:b/>
              </w:rPr>
              <w:t xml:space="preserve">3</w:t>
            </w:r>
          </w:p>
        </w:tc>
      </w:tr>
      <w:tr>
        <w:tc>
          <w:tcPr/>
          <w:p>
            <w:pPr>
              <w:pStyle w:val="Compact"/>
              <w:jc w:val="left"/>
            </w:pPr>
            <w:r>
              <w:t xml:space="preserve">z udziałem P</w:t>
            </w:r>
            <w:r>
              <w:rPr>
                <w:vertAlign w:val="superscript"/>
              </w:rPr>
              <w:t xml:space="preserve">81</w:t>
            </w:r>
          </w:p>
        </w:tc>
        <w:tc>
          <w:tcPr/>
          <w:p>
            <w:pPr>
              <w:pStyle w:val="Compact"/>
              <w:jc w:val="center"/>
            </w:pPr>
            <w:r>
              <w:t xml:space="preserve">—</w:t>
            </w:r>
          </w:p>
        </w:tc>
        <w:tc>
          <w:tcPr/>
          <w:p>
            <w:pPr>
              <w:pStyle w:val="Compact"/>
              <w:jc w:val="right"/>
            </w:pPr>
            <w:r>
              <w:rPr>
                <w:bCs/>
                <w:b/>
              </w:rPr>
              <w:t xml:space="preserve">4</w:t>
            </w:r>
          </w:p>
        </w:tc>
      </w:tr>
      <w:tr>
        <w:tc>
          <w:tcPr/>
          <w:p>
            <w:pPr>
              <w:pStyle w:val="Compact"/>
              <w:jc w:val="left"/>
            </w:pPr>
            <w:r>
              <w:t xml:space="preserve">z udziałem P</w:t>
            </w:r>
            <w:r>
              <w:rPr>
                <w:vertAlign w:val="superscript"/>
              </w:rPr>
              <w:t xml:space="preserve">100</w:t>
            </w:r>
          </w:p>
        </w:tc>
        <w:tc>
          <w:tcPr/>
          <w:p>
            <w:pPr>
              <w:pStyle w:val="Compact"/>
              <w:jc w:val="center"/>
            </w:pPr>
            <w:r>
              <w:t xml:space="preserve">—</w:t>
            </w:r>
          </w:p>
        </w:tc>
        <w:tc>
          <w:tcPr/>
          <w:p>
            <w:pPr>
              <w:pStyle w:val="Compact"/>
              <w:jc w:val="right"/>
            </w:pPr>
            <w:r>
              <w:rPr>
                <w:bCs/>
                <w:b/>
              </w:rPr>
              <w:t xml:space="preserve">12</w:t>
            </w:r>
          </w:p>
        </w:tc>
      </w:tr>
      <w:tr>
        <w:tc>
          <w:tcPr/>
          <w:p>
            <w:pPr>
              <w:pStyle w:val="Compact"/>
              <w:jc w:val="left"/>
            </w:pPr>
            <w:r>
              <w:t xml:space="preserve">z udziałem ℵ</w:t>
            </w:r>
          </w:p>
        </w:tc>
        <w:tc>
          <w:tcPr/>
          <w:p>
            <w:pPr>
              <w:pStyle w:val="Compact"/>
              <w:jc w:val="center"/>
            </w:pPr>
            <w:r>
              <w:t xml:space="preserve">—</w:t>
            </w:r>
          </w:p>
        </w:tc>
        <w:tc>
          <w:tcPr/>
          <w:p>
            <w:pPr>
              <w:pStyle w:val="Compact"/>
              <w:jc w:val="right"/>
            </w:pPr>
            <w:r>
              <w:rPr>
                <w:bCs/>
                <w:b/>
              </w:rPr>
              <w:t xml:space="preserve">356</w:t>
            </w:r>
          </w:p>
        </w:tc>
      </w:tr>
      <w:tr>
        <w:tc>
          <w:tcPr/>
          <w:p>
            <w:pPr>
              <w:pStyle w:val="Compact"/>
              <w:jc w:val="left"/>
            </w:pPr>
            <w:r>
              <w:t xml:space="preserve">z udziałem A</w:t>
            </w:r>
          </w:p>
        </w:tc>
        <w:tc>
          <w:tcPr/>
          <w:p>
            <w:pPr>
              <w:pStyle w:val="Compact"/>
              <w:jc w:val="center"/>
            </w:pPr>
            <w:r>
              <w:t xml:space="preserve">—</w:t>
            </w:r>
          </w:p>
        </w:tc>
        <w:tc>
          <w:tcPr/>
          <w:p>
            <w:pPr>
              <w:pStyle w:val="Compact"/>
              <w:jc w:val="right"/>
            </w:pPr>
            <w:r>
              <w:rPr>
                <w:bCs/>
                <w:b/>
              </w:rPr>
              <w:t xml:space="preserve">356</w:t>
            </w:r>
            <w:r>
              <w:rPr>
                <w:rStyle w:val="FootnoteReference"/>
              </w:rPr>
              <w:footnoteReference w:id="238"/>
            </w:r>
          </w:p>
        </w:tc>
      </w:tr>
      <w:tr>
        <w:tc>
          <w:tcPr/>
          <w:p>
            <w:pPr>
              <w:pStyle w:val="Compact"/>
              <w:jc w:val="left"/>
            </w:pPr>
            <w:r>
              <w:t xml:space="preserve">z udziałem B</w:t>
            </w:r>
          </w:p>
        </w:tc>
        <w:tc>
          <w:tcPr/>
          <w:p>
            <w:pPr>
              <w:pStyle w:val="Compact"/>
              <w:jc w:val="center"/>
            </w:pPr>
            <w:r>
              <w:t xml:space="preserve">—</w:t>
            </w:r>
          </w:p>
        </w:tc>
        <w:tc>
          <w:tcPr/>
          <w:p>
            <w:pPr>
              <w:pStyle w:val="Compact"/>
              <w:jc w:val="right"/>
            </w:pPr>
            <w:r>
              <w:rPr>
                <w:bCs/>
                <w:b/>
              </w:rPr>
              <w:t xml:space="preserve">378</w:t>
            </w:r>
          </w:p>
        </w:tc>
      </w:tr>
      <w:tr>
        <w:tc>
          <w:tcPr/>
          <w:p>
            <w:pPr>
              <w:pStyle w:val="Compact"/>
              <w:jc w:val="left"/>
            </w:pPr>
            <w:r>
              <w:t xml:space="preserve">z udziałem C</w:t>
            </w:r>
          </w:p>
        </w:tc>
        <w:tc>
          <w:tcPr/>
          <w:p>
            <w:pPr>
              <w:pStyle w:val="Compact"/>
              <w:jc w:val="center"/>
            </w:pPr>
            <w:r>
              <w:t xml:space="preserve">—</w:t>
            </w:r>
          </w:p>
        </w:tc>
        <w:tc>
          <w:tcPr/>
          <w:p>
            <w:pPr>
              <w:pStyle w:val="Compact"/>
              <w:jc w:val="right"/>
            </w:pPr>
            <w:r>
              <w:rPr>
                <w:bCs/>
                <w:b/>
              </w:rPr>
              <w:t xml:space="preserve">285</w:t>
            </w:r>
          </w:p>
        </w:tc>
      </w:tr>
      <w:tr>
        <w:tc>
          <w:tcPr/>
          <w:p>
            <w:pPr>
              <w:pStyle w:val="Compact"/>
              <w:jc w:val="left"/>
            </w:pPr>
            <w:r>
              <w:t xml:space="preserve">z udziałem 048</w:t>
            </w:r>
          </w:p>
        </w:tc>
        <w:tc>
          <w:tcPr/>
          <w:p>
            <w:pPr>
              <w:pStyle w:val="Compact"/>
              <w:jc w:val="center"/>
            </w:pPr>
            <w:r>
              <w:t xml:space="preserve">—</w:t>
            </w:r>
          </w:p>
        </w:tc>
        <w:tc>
          <w:tcPr/>
          <w:p>
            <w:pPr>
              <w:pStyle w:val="Compact"/>
              <w:jc w:val="right"/>
            </w:pPr>
            <w:r>
              <w:rPr>
                <w:bCs/>
                <w:b/>
              </w:rPr>
              <w:t xml:space="preserve">62</w:t>
            </w:r>
          </w:p>
        </w:tc>
      </w:tr>
      <w:tr>
        <w:tc>
          <w:tcPr/>
          <w:p>
            <w:pPr>
              <w:pStyle w:val="Compact"/>
              <w:jc w:val="left"/>
            </w:pPr>
            <w:r>
              <w:t xml:space="preserve">z udziałem 0232</w:t>
            </w:r>
          </w:p>
        </w:tc>
        <w:tc>
          <w:tcPr/>
          <w:p>
            <w:pPr>
              <w:pStyle w:val="Compact"/>
              <w:jc w:val="center"/>
            </w:pPr>
            <w:r>
              <w:t xml:space="preserve">—</w:t>
            </w:r>
          </w:p>
        </w:tc>
        <w:tc>
          <w:tcPr/>
          <w:p>
            <w:pPr>
              <w:pStyle w:val="Compact"/>
              <w:jc w:val="right"/>
            </w:pPr>
            <w:r>
              <w:rPr>
                <w:bCs/>
                <w:b/>
              </w:rPr>
              <w:t xml:space="preserve">4</w:t>
            </w:r>
          </w:p>
        </w:tc>
      </w:tr>
    </w:tbl>
    <w:p>
      <w:pPr>
        <w:pStyle w:val="BodyText"/>
      </w:pPr>
      <w:r>
        <w:t xml:space="preserve">Każdy z tych dwunastu uncjałów jest wyraźnie niezależny od wszystkich pozostałych.</w:t>
      </w:r>
      <w:r>
        <w:rPr>
          <w:rStyle w:val="FootnoteReference"/>
        </w:rPr>
        <w:footnoteReference w:id="239"/>
      </w:r>
      <w:r>
        <w:t xml:space="preserve"> </w:t>
      </w:r>
      <w:r>
        <w:t xml:space="preserve">Całkowity brak wzorca w poświadczeniu, jakie te wczesne uncjały dają</w:t>
      </w:r>
      <w:r>
        <w:t xml:space="preserve"> </w:t>
      </w:r>
      <w:r>
        <w:rPr>
          <w:bCs/>
          <w:b/>
        </w:rPr>
        <w:t xml:space="preserve">f</w:t>
      </w:r>
      <w:r>
        <w:rPr>
          <w:vertAlign w:val="superscript"/>
          <w:bCs/>
          <w:b/>
        </w:rPr>
        <w:t xml:space="preserve">35</w:t>
      </w:r>
      <w:r>
        <w:t xml:space="preserve">, równie wyraźnie pokazuje, że także</w:t>
      </w:r>
      <w:r>
        <w:t xml:space="preserve"> </w:t>
      </w:r>
      <w:r>
        <w:rPr>
          <w:bCs/>
          <w:b/>
        </w:rPr>
        <w:t xml:space="preserve">f</w:t>
      </w:r>
      <w:r>
        <w:rPr>
          <w:vertAlign w:val="superscript"/>
          <w:bCs/>
          <w:b/>
        </w:rPr>
        <w:t xml:space="preserve">35</w:t>
      </w:r>
      <w:r>
        <w:t xml:space="preserve"> </w:t>
      </w:r>
      <w:r>
        <w:t xml:space="preserve">jest niezależna od nich wszystkich, zupełnie niezależnie od 22,1% miejsc bez ich udziału. Jednak fakt, że 77,9% jednostek otrzymuje wczesne poświadczenie uncjalne bez wzorca lub zależności, pokazuje,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jest wczesny.</w:t>
      </w:r>
    </w:p>
    <w:p>
      <w:pPr>
        <w:pStyle w:val="BodyText"/>
      </w:pPr>
      <w:r>
        <w:t xml:space="preserve">Zwracam szczególną uwagę na pierwszy blok, w którym pojedynczy uncjał opowiada się po stronie</w:t>
      </w:r>
      <w:r>
        <w:t xml:space="preserve"> </w:t>
      </w:r>
      <w:r>
        <w:rPr>
          <w:bCs/>
          <w:b/>
        </w:rPr>
        <w:t xml:space="preserve">f</w:t>
      </w:r>
      <w:r>
        <w:rPr>
          <w:vertAlign w:val="superscript"/>
          <w:bCs/>
          <w:b/>
        </w:rPr>
        <w:t xml:space="preserve">35</w:t>
      </w:r>
      <w:r>
        <w:t xml:space="preserve">. Każdy z siedmiu uncjałów jest w tym miejscu z konieczności niezależny od pozostałych (oraz od</w:t>
      </w:r>
      <w:r>
        <w:t xml:space="preserve"> </w:t>
      </w:r>
      <w:r>
        <w:rPr>
          <w:bCs/>
          <w:b/>
        </w:rPr>
        <w:t xml:space="preserve">f</w:t>
      </w:r>
      <w:r>
        <w:rPr>
          <w:vertAlign w:val="superscript"/>
          <w:bCs/>
          <w:b/>
        </w:rPr>
        <w:t xml:space="preserve">35</w:t>
      </w:r>
      <w:r>
        <w:t xml:space="preserve">), a jednak łącznie poświadczają one 15% całości (119 ÷ 795). Skoro dla tych 15% nie istnieje wzorzec ani zależność, jak mamy wyjaśnić te 119 wczesnych odczytów w</w:t>
      </w:r>
      <w:r>
        <w:t xml:space="preserve"> </w:t>
      </w:r>
      <w:r>
        <w:rPr>
          <w:bCs/>
          <w:b/>
        </w:rPr>
        <w:t xml:space="preserve">f</w:t>
      </w:r>
      <w:r>
        <w:rPr>
          <w:vertAlign w:val="superscript"/>
          <w:bCs/>
          <w:b/>
        </w:rPr>
        <w:t xml:space="preserve">35</w:t>
      </w:r>
      <w:r>
        <w:t xml:space="preserve">? Czy ktoś będzie argumentował, że ktokolwiek „spreparował” pierwszy manuskrypt</w:t>
      </w:r>
      <w:r>
        <w:t xml:space="preserve"> </w:t>
      </w:r>
      <w:r>
        <w:rPr>
          <w:bCs/>
          <w:b/>
        </w:rPr>
        <w:t xml:space="preserve">f</w:t>
      </w:r>
      <w:r>
        <w:rPr>
          <w:vertAlign w:val="superscript"/>
          <w:bCs/>
          <w:b/>
        </w:rPr>
        <w:t xml:space="preserve">35</w:t>
      </w:r>
      <w:r>
        <w:t xml:space="preserve">, miał przed sobą wszystkie te uncjały i arbitralnie wziął 9 odczytów z P</w:t>
      </w:r>
      <w:r>
        <w:rPr>
          <w:vertAlign w:val="superscript"/>
        </w:rPr>
        <w:t xml:space="preserve">72</w:t>
      </w:r>
      <w:r>
        <w:t xml:space="preserve">, 2 z P</w:t>
      </w:r>
      <w:r>
        <w:rPr>
          <w:vertAlign w:val="superscript"/>
        </w:rPr>
        <w:t xml:space="preserve">100</w:t>
      </w:r>
      <w:r>
        <w:t xml:space="preserve">, 40 z ℵ i tak dalej, i tak dalej, i tak dalej? Naprawdę, jak mamy wyjaśnić te 119 wczesnych odczytów w</w:t>
      </w:r>
      <w:r>
        <w:t xml:space="preserve"> </w:t>
      </w:r>
      <w:r>
        <w:rPr>
          <w:bCs/>
          <w:b/>
        </w:rPr>
        <w:t xml:space="preserve">f</w:t>
      </w:r>
      <w:r>
        <w:rPr>
          <w:vertAlign w:val="superscript"/>
          <w:bCs/>
          <w:b/>
        </w:rPr>
        <w:t xml:space="preserve">35</w:t>
      </w:r>
      <w:r>
        <w:t xml:space="preserve">? (Gdyby ktoś zaprotestował, że uwzględnione manuskrypty z V wieku w rzeczywistości nie są aż tak wczesne, pytam: są kopiami czy oryginalnymi tworami? Jeśli są kopiami, ich egzemplarze były oczywiście wcześniejsze — wszystkie te 119 odczytów bez wątpienia istniało w III wieku).</w:t>
      </w:r>
    </w:p>
    <w:p>
      <w:pPr>
        <w:pStyle w:val="BodyText"/>
      </w:pPr>
      <w:r>
        <w:t xml:space="preserve">Przechodząc do następnego bloku, mamy kolejne 148 odczytów, w których nie istnieje wzorzec ani zależność, 119 + 148 = 267 = 34%. Naprawdę, jak mamy wyjaśnić te 267 wczesnych odczytów w</w:t>
      </w:r>
      <w:r>
        <w:t xml:space="preserve"> </w:t>
      </w:r>
      <w:r>
        <w:rPr>
          <w:bCs/>
          <w:b/>
        </w:rPr>
        <w:t xml:space="preserve">f</w:t>
      </w:r>
      <w:r>
        <w:rPr>
          <w:vertAlign w:val="superscript"/>
          <w:bCs/>
          <w:b/>
        </w:rPr>
        <w:t xml:space="preserve">35</w:t>
      </w:r>
      <w:r>
        <w:t xml:space="preserve">? Przechodząc do kolejnego bloku, mamy następne 224 odczyty, w których nie istnieje wzorzec ani zależność, 267 + 224 = 491 = 61,8%. Naprawdę, jak mamy wyjaśnić te 491 wczesnych odczytów w</w:t>
      </w:r>
      <w:r>
        <w:t xml:space="preserve"> </w:t>
      </w:r>
      <w:r>
        <w:rPr>
          <w:bCs/>
          <w:b/>
        </w:rPr>
        <w:t xml:space="preserve">f</w:t>
      </w:r>
      <w:r>
        <w:rPr>
          <w:vertAlign w:val="superscript"/>
          <w:bCs/>
          <w:b/>
        </w:rPr>
        <w:t xml:space="preserve">35</w:t>
      </w:r>
      <w:r>
        <w:t xml:space="preserve">? Przechodząc do następnego bloku, mamy kolejne 100 odczytów, w których nie istnieje wzorzec ani zależność, 491 + 100 = 591 = 74,3%. Ostatni blok podnosi łączny wynik do 77,9%.</w:t>
      </w:r>
    </w:p>
    <w:p>
      <w:pPr>
        <w:pStyle w:val="BodyText"/>
      </w:pPr>
      <w:r>
        <w:t xml:space="preserve">Twierdzenie o zależności w obliczu tych DOWODÓW uważam za nieuczciwe.</w:t>
      </w:r>
      <w:r>
        <w:t xml:space="preserve"> </w:t>
      </w:r>
      <w:r>
        <w:rPr>
          <w:bCs/>
          <w:b/>
        </w:rPr>
        <w:t xml:space="preserve">f</w:t>
      </w:r>
      <w:r>
        <w:rPr>
          <w:vertAlign w:val="superscript"/>
          <w:bCs/>
          <w:b/>
        </w:rPr>
        <w:t xml:space="preserve">35</w:t>
      </w:r>
      <w:r>
        <w:t xml:space="preserve"> </w:t>
      </w:r>
      <w:r>
        <w:t xml:space="preserve">jest wyraźnie niezależna od wszystkich tych linii przekazu, które same są niezależne. Jeśli</w:t>
      </w:r>
      <w:r>
        <w:t xml:space="preserve"> </w:t>
      </w:r>
      <w:r>
        <w:rPr>
          <w:bCs/>
          <w:b/>
        </w:rPr>
        <w:t xml:space="preserve">f</w:t>
      </w:r>
      <w:r>
        <w:rPr>
          <w:vertAlign w:val="superscript"/>
          <w:bCs/>
          <w:b/>
        </w:rPr>
        <w:t xml:space="preserve">35</w:t>
      </w:r>
      <w:r>
        <w:t xml:space="preserve"> </w:t>
      </w:r>
      <w:r>
        <w:t xml:space="preserve">jest niezależna, to z konieczności jest wczesna.</w:t>
      </w:r>
      <w:r>
        <w:t xml:space="preserve"> </w:t>
      </w:r>
      <w:r>
        <w:rPr>
          <w:bCs/>
          <w:b/>
        </w:rPr>
        <w:t xml:space="preserve">f</w:t>
      </w:r>
      <w:r>
        <w:rPr>
          <w:vertAlign w:val="superscript"/>
          <w:bCs/>
          <w:b/>
        </w:rPr>
        <w:t xml:space="preserve">35</w:t>
      </w:r>
      <w:r>
        <w:t xml:space="preserve"> </w:t>
      </w:r>
      <w:r>
        <w:t xml:space="preserve">ma wszystkie te wczesne odczyty z wystarczającego powodu: jej</w:t>
      </w:r>
      <w:r>
        <w:t xml:space="preserve"> </w:t>
      </w:r>
      <w:r>
        <w:rPr>
          <w:u w:val="single"/>
        </w:rPr>
        <w:t xml:space="preserve">tekst</w:t>
      </w:r>
      <w:r>
        <w:t xml:space="preserve"> </w:t>
      </w:r>
      <w:r>
        <w:t xml:space="preserve">jest wczesny i sięga co najmniej III wieku. Jeśli jednak</w:t>
      </w:r>
      <w:r>
        <w:t xml:space="preserve"> </w:t>
      </w:r>
      <w:r>
        <w:rPr>
          <w:bCs/>
          <w:b/>
        </w:rPr>
        <w:t xml:space="preserve">f</w:t>
      </w:r>
      <w:r>
        <w:rPr>
          <w:vertAlign w:val="superscript"/>
          <w:bCs/>
          <w:b/>
        </w:rPr>
        <w:t xml:space="preserve">35</w:t>
      </w:r>
      <w:r>
        <w:t xml:space="preserve"> </w:t>
      </w:r>
      <w:r>
        <w:t xml:space="preserve">jest niezależna od wszystkich innych linii przekazu (można wykazać, że jest niezależna od</w:t>
      </w:r>
      <w:r>
        <w:t xml:space="preserve"> </w:t>
      </w:r>
      <w:r>
        <w:rPr>
          <w:bCs/>
          <w:b/>
        </w:rPr>
        <w:t xml:space="preserve">K</w:t>
      </w:r>
      <w:r>
        <w:rPr>
          <w:vertAlign w:val="superscript"/>
          <w:bCs/>
          <w:b/>
        </w:rPr>
        <w:t xml:space="preserve">x</w:t>
      </w:r>
      <w:r>
        <w:t xml:space="preserve"> </w:t>
      </w:r>
      <w:r>
        <w:t xml:space="preserve">itd.), to musi sięgać Autografów. Jakie inne rozsądne wyjaśnienie istnieje? Gdyby ktoś chciał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w:t>
      </w:r>
    </w:p>
    <w:bookmarkEnd w:id="240"/>
    <w:bookmarkStart w:id="243" w:name="X2a827fc589c949488f2b24c5688bbe169993ad9"/>
    <w:p>
      <w:pPr>
        <w:pStyle w:val="Heading2"/>
      </w:pPr>
      <w:r>
        <w:t xml:space="preserve">Profil Rodziny 35 w Dziejach Apostolskich: starożytny i niezależny</w:t>
      </w:r>
    </w:p>
    <w:p>
      <w:pPr>
        <w:pStyle w:val="FirstParagraph"/>
      </w:pPr>
      <w:r>
        <w:t xml:space="preserve">Do mojego opublikowanego profilu Dziejów Apostolskich dodałem świadków z pierwszych pięciu wieków, tak jak odnotowano ich w aparacie krytycznym mojego greckiego Tekstu. To znaczy, że pokazuję tylko tych, którzy zgadzają się z Rodziną 35, tam gdzie ma to miejsce. Sprawdziłem jednak również dowody przedstawione w</w:t>
      </w:r>
      <w:r>
        <w:t xml:space="preserve"> </w:t>
      </w:r>
      <w:r>
        <w:rPr>
          <w:iCs/>
          <w:i/>
        </w:rPr>
        <w:t xml:space="preserve">Editio Critica Maior</w:t>
      </w:r>
      <w:r>
        <w:t xml:space="preserve"> </w:t>
      </w:r>
      <w:r>
        <w:t xml:space="preserve">dla Dziejów Apostolskich, co skłoniło mnie do wprowadzenia zmian w około 60% poniższej listy zestawów wariantów. Będę więc musiał zrewidować swój opublikowany profil. Nie skolacjonowałem żadnego z tych wczesnych świadków, po prostu przepisałem informacje z innych źródeł. Ewentualny sporadyczny błąd nie zmieni siły mojego argumentu.</w:t>
      </w:r>
    </w:p>
    <w:bookmarkStart w:id="242" w:name="dzieje-apostolskie"/>
    <w:p>
      <w:pPr>
        <w:pStyle w:val="Heading3"/>
      </w:pPr>
      <w:r>
        <w:t xml:space="preserve">Dzieje Apostolskie</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A, C, D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w:t>
            </w:r>
            <w:r>
              <w:t xml:space="preserve"> </w:t>
            </w:r>
            <w:r>
              <w:rPr>
                <w:bCs/>
                <w:b/>
              </w:rPr>
              <w:t xml:space="preserve">f</w:t>
            </w:r>
            <w:r>
              <w:rPr>
                <w:vertAlign w:val="superscript"/>
                <w:bCs/>
                <w:b/>
              </w:rPr>
              <w:t xml:space="preserve">35</w:t>
            </w:r>
            <w:r>
              <w:t xml:space="preserve"> </w:t>
            </w:r>
            <w:r>
              <w:t xml:space="preserve">[20%]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w:t>
            </w:r>
            <w:r>
              <w:t xml:space="preserve"> </w:t>
            </w:r>
            <w:r>
              <w:rPr>
                <w:bCs/>
                <w:b/>
              </w:rPr>
              <w:t xml:space="preserve">f</w:t>
            </w:r>
            <w:r>
              <w:rPr>
                <w:vertAlign w:val="superscript"/>
                <w:bCs/>
                <w:b/>
              </w:rPr>
              <w:t xml:space="preserve">35</w:t>
            </w:r>
            <w:r>
              <w:t xml:space="preserve"> </w:t>
            </w:r>
            <w:r>
              <w:t xml:space="preserve">[25%]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w:t>
            </w:r>
            <w:r>
              <w:t xml:space="preserve"> </w:t>
            </w:r>
            <w:r>
              <w:rPr>
                <w:bCs/>
                <w:b/>
              </w:rPr>
              <w:t xml:space="preserve">f</w:t>
            </w:r>
            <w:r>
              <w:rPr>
                <w:vertAlign w:val="superscript"/>
                <w:bCs/>
                <w:b/>
              </w:rPr>
              <w:t xml:space="preserve">35</w:t>
            </w:r>
            <w:r>
              <w:t xml:space="preserve"> </w:t>
            </w:r>
            <w:r>
              <w:t xml:space="preserve">[25%]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w:t>
            </w:r>
            <w:r>
              <w:t xml:space="preserve"> </w:t>
            </w:r>
            <w:r>
              <w:rPr>
                <w:bCs/>
                <w:b/>
              </w:rPr>
              <w:t xml:space="preserve">f</w:t>
            </w:r>
            <w:r>
              <w:rPr>
                <w:vertAlign w:val="superscript"/>
                <w:bCs/>
                <w:b/>
              </w:rPr>
              <w:t xml:space="preserve">35</w:t>
            </w:r>
            <w:r>
              <w:t xml:space="preserve"> </w:t>
            </w:r>
            <w:r>
              <w:t xml:space="preserve">ℵ, A, B, C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w:t>
            </w:r>
            <w:r>
              <w:t xml:space="preserve"> </w:t>
            </w:r>
            <w:r>
              <w:rPr>
                <w:bCs/>
                <w:b/>
              </w:rPr>
              <w:t xml:space="preserve">f</w:t>
            </w:r>
            <w:r>
              <w:rPr>
                <w:vertAlign w:val="superscript"/>
                <w:bCs/>
                <w:b/>
              </w:rPr>
              <w:t xml:space="preserve">35</w:t>
            </w:r>
            <w:r>
              <w:t xml:space="preserve"> </w:t>
            </w:r>
            <w:r>
              <w:t xml:space="preserve">[20%]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w:t>
            </w:r>
            <w:r>
              <w:t xml:space="preserve"> </w:t>
            </w:r>
            <w:r>
              <w:rPr>
                <w:bCs/>
                <w:b/>
              </w:rPr>
              <w:t xml:space="preserve">f</w:t>
            </w:r>
            <w:r>
              <w:rPr>
                <w:vertAlign w:val="superscript"/>
                <w:bCs/>
                <w:b/>
              </w:rPr>
              <w:t xml:space="preserve">35</w:t>
            </w:r>
            <w:r>
              <w:t xml:space="preserve"> </w:t>
            </w:r>
            <w:r>
              <w:t xml:space="preserve">[20%]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w:t>
            </w:r>
            <w:r>
              <w:t xml:space="preserve"> </w:t>
            </w:r>
            <w:r>
              <w:rPr>
                <w:bCs/>
                <w:b/>
              </w:rPr>
              <w:t xml:space="preserve">f</w:t>
            </w:r>
            <w:r>
              <w:rPr>
                <w:vertAlign w:val="superscript"/>
                <w:bCs/>
                <w:b/>
              </w:rPr>
              <w:t xml:space="preserve">35</w:t>
            </w:r>
            <w:r>
              <w:t xml:space="preserve"> </w:t>
            </w:r>
            <w:r>
              <w:t xml:space="preserve">B,D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w:t>
            </w:r>
            <w:r>
              <w:t xml:space="preserve"> </w:t>
            </w:r>
            <w:r>
              <w:rPr>
                <w:bCs/>
                <w:b/>
              </w:rPr>
              <w:t xml:space="preserve">f</w:t>
            </w:r>
            <w:r>
              <w:rPr>
                <w:vertAlign w:val="superscript"/>
                <w:bCs/>
                <w:b/>
              </w:rPr>
              <w:t xml:space="preserve">35</w:t>
            </w:r>
            <w:r>
              <w:t xml:space="preserve"> </w:t>
            </w:r>
            <w:r>
              <w:t xml:space="preserve">[25%]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A, B, D(0165)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w:t>
            </w:r>
            <w:r>
              <w:t xml:space="preserve"> </w:t>
            </w:r>
            <w:r>
              <w:rPr>
                <w:bCs/>
                <w:b/>
              </w:rPr>
              <w:t xml:space="preserve">f</w:t>
            </w:r>
            <w:r>
              <w:rPr>
                <w:vertAlign w:val="superscript"/>
                <w:bCs/>
                <w:b/>
              </w:rPr>
              <w:t xml:space="preserve">35</w:t>
            </w:r>
            <w:r>
              <w:t xml:space="preserve"> </w:t>
            </w:r>
            <w:r>
              <w:t xml:space="preserve">ℵ, A, B, 0165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w:t>
            </w:r>
            <w:r>
              <w:t xml:space="preserve"> </w:t>
            </w:r>
            <w:r>
              <w:rPr>
                <w:bCs/>
                <w:b/>
              </w:rPr>
              <w:t xml:space="preserve">f</w:t>
            </w:r>
            <w:r>
              <w:rPr>
                <w:vertAlign w:val="superscript"/>
                <w:bCs/>
                <w:b/>
              </w:rPr>
              <w:t xml:space="preserve">35</w:t>
            </w:r>
            <w:r>
              <w:t xml:space="preserve"> </w:t>
            </w:r>
            <w:r>
              <w:t xml:space="preserve">A,0165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w:t>
            </w:r>
            <w:r>
              <w:t xml:space="preserve"> </w:t>
            </w:r>
            <w:r>
              <w:rPr>
                <w:bCs/>
                <w:b/>
              </w:rPr>
              <w:t xml:space="preserve">f</w:t>
            </w:r>
            <w:r>
              <w:rPr>
                <w:vertAlign w:val="superscript"/>
                <w:bCs/>
                <w:b/>
              </w:rPr>
              <w:t xml:space="preserve">35</w:t>
            </w:r>
            <w:r>
              <w:t xml:space="preserve"> </w:t>
            </w:r>
            <w:r>
              <w:t xml:space="preserve">[20%]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w:t>
            </w:r>
            <w:r>
              <w:t xml:space="preserve"> </w:t>
            </w:r>
            <w:r>
              <w:rPr>
                <w:bCs/>
                <w:b/>
              </w:rPr>
              <w:t xml:space="preserve">f</w:t>
            </w:r>
            <w:r>
              <w:rPr>
                <w:vertAlign w:val="superscript"/>
                <w:bCs/>
                <w:b/>
              </w:rPr>
              <w:t xml:space="preserve">35</w:t>
            </w:r>
            <w:r>
              <w:t xml:space="preserve"> </w:t>
            </w:r>
            <w:r>
              <w:t xml:space="preserve">[20%]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w:t>
            </w:r>
            <w:r>
              <w:t xml:space="preserve"> </w:t>
            </w:r>
            <w:r>
              <w:rPr>
                <w:bCs/>
                <w:b/>
              </w:rPr>
              <w:t xml:space="preserve">f</w:t>
            </w:r>
            <w:r>
              <w:rPr>
                <w:vertAlign w:val="superscript"/>
                <w:bCs/>
                <w:b/>
              </w:rPr>
              <w:t xml:space="preserve">35</w:t>
            </w:r>
            <w:r>
              <w:t xml:space="preserve"> </w:t>
            </w:r>
            <w:r>
              <w:t xml:space="preserve">(ℵ)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w:t>
            </w:r>
            <w:r>
              <w:t xml:space="preserve"> </w:t>
            </w:r>
            <w:r>
              <w:rPr>
                <w:bCs/>
                <w:b/>
              </w:rPr>
              <w:t xml:space="preserve">f</w:t>
            </w:r>
            <w:r>
              <w:rPr>
                <w:vertAlign w:val="superscript"/>
                <w:bCs/>
                <w:b/>
              </w:rPr>
              <w:t xml:space="preserve">35</w:t>
            </w:r>
            <w:r>
              <w:t xml:space="preserve"> </w:t>
            </w:r>
            <w:r>
              <w:t xml:space="preserve">P</w:t>
            </w:r>
            <w:r>
              <w:rPr>
                <w:vertAlign w:val="superscript"/>
              </w:rPr>
              <w:t xml:space="preserve">8</w:t>
            </w:r>
            <w:r>
              <w:t xml:space="preserve">(ℵ)A,B,D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w:t>
            </w:r>
            <w:r>
              <w:t xml:space="preserve"> </w:t>
            </w:r>
            <w:r>
              <w:rPr>
                <w:bCs/>
                <w:b/>
              </w:rPr>
              <w:t xml:space="preserve">f</w:t>
            </w:r>
            <w:r>
              <w:rPr>
                <w:vertAlign w:val="superscript"/>
                <w:bCs/>
                <w:b/>
              </w:rPr>
              <w:t xml:space="preserve">35</w:t>
            </w:r>
            <w:r>
              <w:t xml:space="preserve"> </w:t>
            </w:r>
            <w:r>
              <w:t xml:space="preserve">A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w:t>
            </w:r>
            <w:r>
              <w:t xml:space="preserve"> </w:t>
            </w:r>
            <w:r>
              <w:rPr>
                <w:bCs/>
                <w:b/>
              </w:rPr>
              <w:t xml:space="preserve">f</w:t>
            </w:r>
            <w:r>
              <w:rPr>
                <w:vertAlign w:val="superscript"/>
                <w:bCs/>
                <w:b/>
              </w:rPr>
              <w:t xml:space="preserve">35</w:t>
            </w:r>
            <w:r>
              <w:t xml:space="preserve"> </w:t>
            </w:r>
            <w:r>
              <w:t xml:space="preserve">ℵ, A(B)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w:t>
            </w:r>
            <w:r>
              <w:t xml:space="preserve"> </w:t>
            </w:r>
            <w:r>
              <w:rPr>
                <w:bCs/>
                <w:b/>
              </w:rPr>
              <w:t xml:space="preserve">f</w:t>
            </w:r>
            <w:r>
              <w:rPr>
                <w:vertAlign w:val="superscript"/>
                <w:bCs/>
                <w:b/>
              </w:rPr>
              <w:t xml:space="preserve">35</w:t>
            </w:r>
            <w:r>
              <w:t xml:space="preserve"> </w:t>
            </w:r>
            <w:r>
              <w:t xml:space="preserve">B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D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w:t>
            </w:r>
            <w:r>
              <w:t xml:space="preserve"> </w:t>
            </w:r>
            <w:r>
              <w:rPr>
                <w:bCs/>
                <w:b/>
              </w:rPr>
              <w:t xml:space="preserve">f</w:t>
            </w:r>
            <w:r>
              <w:rPr>
                <w:vertAlign w:val="superscript"/>
                <w:bCs/>
                <w:b/>
              </w:rPr>
              <w:t xml:space="preserve">35</w:t>
            </w:r>
            <w:r>
              <w:t xml:space="preserve"> </w:t>
            </w:r>
            <w:r>
              <w:t xml:space="preserve">ℵ, A, B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w:t>
            </w:r>
            <w:r>
              <w:t xml:space="preserve"> </w:t>
            </w:r>
            <w:r>
              <w:rPr>
                <w:bCs/>
                <w:b/>
              </w:rPr>
              <w:t xml:space="preserve">f</w:t>
            </w:r>
            <w:r>
              <w:rPr>
                <w:vertAlign w:val="superscript"/>
                <w:bCs/>
                <w:b/>
              </w:rPr>
              <w:t xml:space="preserve">35</w:t>
            </w:r>
            <w:r>
              <w:t xml:space="preserve"> </w:t>
            </w:r>
            <w:r>
              <w:t xml:space="preserve">ℵ, A, B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A, B, C, D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w:t>
            </w:r>
            <w:r>
              <w:t xml:space="preserve"> </w:t>
            </w:r>
            <w:r>
              <w:rPr>
                <w:bCs/>
                <w:b/>
              </w:rPr>
              <w:t xml:space="preserve">f</w:t>
            </w:r>
            <w:r>
              <w:rPr>
                <w:vertAlign w:val="superscript"/>
                <w:bCs/>
                <w:b/>
              </w:rPr>
              <w:t xml:space="preserve">35</w:t>
            </w:r>
            <w:r>
              <w:t xml:space="preserve"> </w:t>
            </w:r>
            <w:r>
              <w:t xml:space="preserve">B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w:t>
            </w:r>
            <w:r>
              <w:t xml:space="preserve"> </w:t>
            </w:r>
            <w:r>
              <w:rPr>
                <w:bCs/>
                <w:b/>
              </w:rPr>
              <w:t xml:space="preserve">f</w:t>
            </w:r>
            <w:r>
              <w:rPr>
                <w:vertAlign w:val="superscript"/>
                <w:bCs/>
                <w:b/>
              </w:rPr>
              <w:t xml:space="preserve">35</w:t>
            </w:r>
            <w:r>
              <w:t xml:space="preserve"> </w:t>
            </w:r>
            <w:r>
              <w:t xml:space="preserve">[20%]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w:t>
            </w:r>
            <w:r>
              <w:t xml:space="preserve"> </w:t>
            </w:r>
            <w:r>
              <w:rPr>
                <w:bCs/>
                <w:b/>
              </w:rPr>
              <w:t xml:space="preserve">f</w:t>
            </w:r>
            <w:r>
              <w:rPr>
                <w:vertAlign w:val="superscript"/>
                <w:bCs/>
                <w:b/>
              </w:rPr>
              <w:t xml:space="preserve">35</w:t>
            </w:r>
            <w:r>
              <w:t xml:space="preserve"> </w:t>
            </w:r>
            <w:r>
              <w:t xml:space="preserve">[18%]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w:t>
            </w:r>
            <w:r>
              <w:t xml:space="preserve"> </w:t>
            </w:r>
            <w:r>
              <w:rPr>
                <w:bCs/>
                <w:b/>
              </w:rPr>
              <w:t xml:space="preserve">f</w:t>
            </w:r>
            <w:r>
              <w:rPr>
                <w:vertAlign w:val="superscript"/>
                <w:bCs/>
                <w:b/>
              </w:rPr>
              <w:t xml:space="preserve">35</w:t>
            </w:r>
            <w:r>
              <w:t xml:space="preserve"> </w:t>
            </w:r>
            <w:r>
              <w:t xml:space="preserve">ℵ, A, B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w:t>
            </w:r>
            <w:r>
              <w:t xml:space="preserve"> </w:t>
            </w:r>
            <w:r>
              <w:rPr>
                <w:bCs/>
                <w:b/>
              </w:rPr>
              <w:t xml:space="preserve">f</w:t>
            </w:r>
            <w:r>
              <w:rPr>
                <w:vertAlign w:val="superscript"/>
                <w:bCs/>
                <w:b/>
              </w:rPr>
              <w:t xml:space="preserve">35</w:t>
            </w:r>
            <w:r>
              <w:t xml:space="preserve"> </w:t>
            </w:r>
            <w:r>
              <w:t xml:space="preserve">B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w:t>
            </w:r>
            <w:r>
              <w:t xml:space="preserve"> </w:t>
            </w:r>
            <w:r>
              <w:rPr>
                <w:bCs/>
                <w:b/>
              </w:rPr>
              <w:t xml:space="preserve">f</w:t>
            </w:r>
            <w:r>
              <w:rPr>
                <w:vertAlign w:val="superscript"/>
                <w:bCs/>
                <w:b/>
              </w:rPr>
              <w:t xml:space="preserve">35</w:t>
            </w:r>
            <w:r>
              <w:t xml:space="preserve"> </w:t>
            </w:r>
            <w:r>
              <w:t xml:space="preserve">ℵ, A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w:t>
            </w:r>
            <w:r>
              <w:t xml:space="preserve"> </w:t>
            </w:r>
            <w:r>
              <w:rPr>
                <w:bCs/>
                <w:b/>
              </w:rPr>
              <w:t xml:space="preserve">f</w:t>
            </w:r>
            <w:r>
              <w:rPr>
                <w:vertAlign w:val="superscript"/>
                <w:bCs/>
                <w:b/>
              </w:rPr>
              <w:t xml:space="preserve">35</w:t>
            </w:r>
            <w:r>
              <w:t xml:space="preserve"> </w:t>
            </w:r>
            <w:r>
              <w:t xml:space="preserve">ℵ, A, B, C, D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w:t>
            </w:r>
            <w:r>
              <w:t xml:space="preserve"> </w:t>
            </w:r>
            <w:r>
              <w:rPr>
                <w:bCs/>
                <w:b/>
              </w:rPr>
              <w:t xml:space="preserve">f</w:t>
            </w:r>
            <w:r>
              <w:rPr>
                <w:vertAlign w:val="superscript"/>
                <w:bCs/>
                <w:b/>
              </w:rPr>
              <w:t xml:space="preserve">35</w:t>
            </w:r>
            <w:r>
              <w:t xml:space="preserve"> </w:t>
            </w:r>
            <w:r>
              <w:t xml:space="preserve">D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w:t>
            </w:r>
            <w:r>
              <w:t xml:space="preserve"> </w:t>
            </w:r>
            <w:r>
              <w:rPr>
                <w:bCs/>
                <w:b/>
              </w:rPr>
              <w:t xml:space="preserve">f</w:t>
            </w:r>
            <w:r>
              <w:rPr>
                <w:vertAlign w:val="superscript"/>
                <w:bCs/>
                <w:b/>
              </w:rPr>
              <w:t xml:space="preserve">35</w:t>
            </w:r>
            <w:r>
              <w:t xml:space="preserve"> </w:t>
            </w:r>
            <w:r>
              <w:t xml:space="preserve">[30%]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w:t>
            </w:r>
            <w:r>
              <w:t xml:space="preserve"> </w:t>
            </w:r>
            <w:r>
              <w:rPr>
                <w:bCs/>
                <w:b/>
              </w:rPr>
              <w:t xml:space="preserve">f</w:t>
            </w:r>
            <w:r>
              <w:rPr>
                <w:vertAlign w:val="superscript"/>
                <w:bCs/>
                <w:b/>
              </w:rPr>
              <w:t xml:space="preserve">35</w:t>
            </w:r>
            <w:r>
              <w:t xml:space="preserve"> </w:t>
            </w:r>
            <w:r>
              <w:t xml:space="preserve">ℵ, A, B, C, D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w:t>
            </w:r>
            <w:r>
              <w:t xml:space="preserve"> </w:t>
            </w:r>
            <w:r>
              <w:rPr>
                <w:bCs/>
                <w:b/>
              </w:rPr>
              <w:t xml:space="preserve">f</w:t>
            </w:r>
            <w:r>
              <w:rPr>
                <w:vertAlign w:val="superscript"/>
                <w:bCs/>
                <w:b/>
              </w:rPr>
              <w:t xml:space="preserve">35</w:t>
            </w:r>
            <w:r>
              <w:t xml:space="preserve"> </w:t>
            </w:r>
            <w:r>
              <w:t xml:space="preserve">[22%]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w:t>
            </w:r>
            <w:r>
              <w:t xml:space="preserve"> </w:t>
            </w:r>
            <w:r>
              <w:rPr>
                <w:bCs/>
                <w:b/>
              </w:rPr>
              <w:t xml:space="preserve">f</w:t>
            </w:r>
            <w:r>
              <w:rPr>
                <w:vertAlign w:val="superscript"/>
                <w:bCs/>
                <w:b/>
              </w:rPr>
              <w:t xml:space="preserve">35</w:t>
            </w:r>
            <w:r>
              <w:t xml:space="preserve"> </w:t>
            </w:r>
            <w:r>
              <w:t xml:space="preserve">[18%]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w:t>
            </w:r>
            <w:r>
              <w:t xml:space="preserve"> </w:t>
            </w:r>
            <w:r>
              <w:rPr>
                <w:bCs/>
                <w:b/>
              </w:rPr>
              <w:t xml:space="preserve">f</w:t>
            </w:r>
            <w:r>
              <w:rPr>
                <w:vertAlign w:val="superscript"/>
                <w:bCs/>
                <w:b/>
              </w:rPr>
              <w:t xml:space="preserve">35</w:t>
            </w:r>
            <w:r>
              <w:t xml:space="preserve"> </w:t>
            </w:r>
            <w:r>
              <w:t xml:space="preserve">A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w:t>
            </w:r>
            <w:r>
              <w:t xml:space="preserve"> </w:t>
            </w:r>
            <w:r>
              <w:rPr>
                <w:bCs/>
                <w:b/>
              </w:rPr>
              <w:t xml:space="preserve">f</w:t>
            </w:r>
            <w:r>
              <w:rPr>
                <w:vertAlign w:val="superscript"/>
                <w:bCs/>
                <w:b/>
              </w:rPr>
              <w:t xml:space="preserve">35</w:t>
            </w:r>
            <w:r>
              <w:t xml:space="preserve"> </w:t>
            </w:r>
            <w:r>
              <w:t xml:space="preserve">A, B, C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w:t>
            </w:r>
            <w:r>
              <w:t xml:space="preserve"> </w:t>
            </w:r>
            <w:r>
              <w:rPr>
                <w:bCs/>
                <w:b/>
              </w:rPr>
              <w:t xml:space="preserve">f</w:t>
            </w:r>
            <w:r>
              <w:rPr>
                <w:vertAlign w:val="superscript"/>
                <w:bCs/>
                <w:b/>
              </w:rPr>
              <w:t xml:space="preserve">35</w:t>
            </w:r>
            <w:r>
              <w:t xml:space="preserve"> </w:t>
            </w:r>
            <w:r>
              <w:t xml:space="preserve">A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w:t>
            </w:r>
            <w:r>
              <w:t xml:space="preserve"> </w:t>
            </w:r>
            <w:r>
              <w:rPr>
                <w:bCs/>
                <w:b/>
              </w:rPr>
              <w:t xml:space="preserve">f</w:t>
            </w:r>
            <w:r>
              <w:rPr>
                <w:vertAlign w:val="superscript"/>
                <w:bCs/>
                <w:b/>
              </w:rPr>
              <w:t xml:space="preserve">35</w:t>
            </w:r>
            <w:r>
              <w:t xml:space="preserve"> </w:t>
            </w:r>
            <w:r>
              <w:t xml:space="preserve">(A)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C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w:t>
            </w:r>
            <w:r>
              <w:t xml:space="preserve"> </w:t>
            </w:r>
            <w:r>
              <w:rPr>
                <w:bCs/>
                <w:b/>
              </w:rPr>
              <w:t xml:space="preserve">f</w:t>
            </w:r>
            <w:r>
              <w:rPr>
                <w:vertAlign w:val="superscript"/>
                <w:bCs/>
                <w:b/>
              </w:rPr>
              <w:t xml:space="preserve">35</w:t>
            </w:r>
            <w:r>
              <w:t xml:space="preserve"> </w:t>
            </w:r>
            <w:r>
              <w:t xml:space="preserve">C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w:t>
            </w:r>
            <w:r>
              <w:t xml:space="preserve"> </w:t>
            </w:r>
            <w:r>
              <w:rPr>
                <w:bCs/>
                <w:b/>
              </w:rPr>
              <w:t xml:space="preserve">f</w:t>
            </w:r>
            <w:r>
              <w:rPr>
                <w:vertAlign w:val="superscript"/>
                <w:bCs/>
                <w:b/>
              </w:rPr>
              <w:t xml:space="preserve">35</w:t>
            </w:r>
            <w:r>
              <w:t xml:space="preserve"> </w:t>
            </w:r>
            <w:r>
              <w:t xml:space="preserve">ℵ, A, B, C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w:t>
            </w:r>
            <w:r>
              <w:t xml:space="preserve"> </w:t>
            </w:r>
            <w:r>
              <w:rPr>
                <w:bCs/>
                <w:b/>
              </w:rPr>
              <w:t xml:space="preserve">f</w:t>
            </w:r>
            <w:r>
              <w:rPr>
                <w:vertAlign w:val="superscript"/>
                <w:bCs/>
                <w:b/>
              </w:rPr>
              <w:t xml:space="preserve">35</w:t>
            </w:r>
            <w:r>
              <w:t xml:space="preserve"> </w:t>
            </w:r>
            <w:r>
              <w:t xml:space="preserve">[30%]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w:t>
            </w:r>
            <w:r>
              <w:t xml:space="preserve"> </w:t>
            </w:r>
            <w:r>
              <w:rPr>
                <w:bCs/>
                <w:b/>
              </w:rPr>
              <w:t xml:space="preserve">f</w:t>
            </w:r>
            <w:r>
              <w:rPr>
                <w:vertAlign w:val="superscript"/>
                <w:bCs/>
                <w:b/>
              </w:rPr>
              <w:t xml:space="preserve">35</w:t>
            </w:r>
            <w:r>
              <w:t xml:space="preserve"> </w:t>
            </w:r>
            <w:r>
              <w:t xml:space="preserve">ℵ, A, B, C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C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w:t>
            </w:r>
            <w:r>
              <w:t xml:space="preserve"> </w:t>
            </w:r>
            <w:r>
              <w:rPr>
                <w:bCs/>
                <w:b/>
              </w:rPr>
              <w:t xml:space="preserve">f</w:t>
            </w:r>
            <w:r>
              <w:rPr>
                <w:vertAlign w:val="superscript"/>
                <w:bCs/>
                <w:b/>
              </w:rPr>
              <w:t xml:space="preserve">35</w:t>
            </w:r>
            <w:r>
              <w:t xml:space="preserve"> </w:t>
            </w:r>
            <w:r>
              <w:t xml:space="preserve">ℵ, A, B, C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(C)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w:t>
            </w:r>
            <w:r>
              <w:t xml:space="preserve"> </w:t>
            </w:r>
            <w:r>
              <w:rPr>
                <w:bCs/>
                <w:b/>
              </w:rPr>
              <w:t xml:space="preserve">f</w:t>
            </w:r>
            <w:r>
              <w:rPr>
                <w:vertAlign w:val="superscript"/>
                <w:bCs/>
                <w:b/>
              </w:rPr>
              <w:t xml:space="preserve">35</w:t>
            </w:r>
            <w:r>
              <w:t xml:space="preserve"> </w:t>
            </w:r>
            <w:r>
              <w:t xml:space="preserve">ℵ(A)B(C)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w:t>
            </w:r>
            <w:r>
              <w:t xml:space="preserve"> </w:t>
            </w:r>
            <w:r>
              <w:rPr>
                <w:bCs/>
                <w:b/>
              </w:rPr>
              <w:t xml:space="preserve">f</w:t>
            </w:r>
            <w:r>
              <w:rPr>
                <w:vertAlign w:val="superscript"/>
                <w:bCs/>
                <w:b/>
              </w:rPr>
              <w:t xml:space="preserve">35</w:t>
            </w:r>
            <w:r>
              <w:t xml:space="preserve"> </w:t>
            </w:r>
            <w:r>
              <w:t xml:space="preserve">A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w:t>
            </w:r>
            <w:r>
              <w:t xml:space="preserve"> </w:t>
            </w:r>
            <w:r>
              <w:rPr>
                <w:bCs/>
                <w:b/>
              </w:rPr>
              <w:t xml:space="preserve">f</w:t>
            </w:r>
            <w:r>
              <w:rPr>
                <w:vertAlign w:val="superscript"/>
                <w:bCs/>
                <w:b/>
              </w:rPr>
              <w:t xml:space="preserve">35</w:t>
            </w:r>
            <w:r>
              <w:t xml:space="preserve"> </w:t>
            </w:r>
            <w:r>
              <w:t xml:space="preserve">P</w:t>
            </w:r>
            <w:r>
              <w:rPr>
                <w:vertAlign w:val="superscript"/>
              </w:rPr>
              <w:t xml:space="preserve">53</w:t>
            </w:r>
            <w:r>
              <w:t xml:space="preserve">A,C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w:t>
            </w:r>
            <w:r>
              <w:t xml:space="preserve"> </w:t>
            </w:r>
            <w:r>
              <w:rPr>
                <w:bCs/>
                <w:b/>
              </w:rPr>
              <w:t xml:space="preserve">f</w:t>
            </w:r>
            <w:r>
              <w:rPr>
                <w:vertAlign w:val="superscript"/>
                <w:bCs/>
                <w:b/>
              </w:rPr>
              <w:t xml:space="preserve">35</w:t>
            </w:r>
            <w:r>
              <w:t xml:space="preserve"> </w:t>
            </w:r>
            <w:r>
              <w:t xml:space="preserve">A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w:t>
            </w:r>
            <w:r>
              <w:t xml:space="preserve"> </w:t>
            </w:r>
            <w:r>
              <w:rPr>
                <w:bCs/>
                <w:b/>
              </w:rPr>
              <w:t xml:space="preserve">f</w:t>
            </w:r>
            <w:r>
              <w:rPr>
                <w:vertAlign w:val="superscript"/>
                <w:bCs/>
                <w:b/>
              </w:rPr>
              <w:t xml:space="preserve">35</w:t>
            </w:r>
            <w:r>
              <w:t xml:space="preserve"> </w:t>
            </w:r>
            <w:r>
              <w:t xml:space="preserve">ℵ(A)B, C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w:t>
            </w:r>
            <w:r>
              <w:t xml:space="preserve"> </w:t>
            </w:r>
            <w:r>
              <w:rPr>
                <w:bCs/>
                <w:b/>
              </w:rPr>
              <w:t xml:space="preserve">f</w:t>
            </w:r>
            <w:r>
              <w:rPr>
                <w:vertAlign w:val="superscript"/>
                <w:bCs/>
                <w:b/>
              </w:rPr>
              <w:t xml:space="preserve">35</w:t>
            </w:r>
            <w:r>
              <w:t xml:space="preserve"> </w:t>
            </w:r>
            <w:r>
              <w:t xml:space="preserve">ℵ,B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w:t>
            </w:r>
            <w:r>
              <w:t xml:space="preserve"> </w:t>
            </w:r>
            <w:r>
              <w:rPr>
                <w:bCs/>
                <w:b/>
              </w:rPr>
              <w:t xml:space="preserve">f</w:t>
            </w:r>
            <w:r>
              <w:rPr>
                <w:vertAlign w:val="superscript"/>
                <w:bCs/>
                <w:b/>
              </w:rPr>
              <w:t xml:space="preserve">35</w:t>
            </w:r>
            <w:r>
              <w:t xml:space="preserve"> </w:t>
            </w:r>
            <w:r>
              <w:t xml:space="preserve">[18%]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w:t>
            </w:r>
            <w:r>
              <w:t xml:space="preserve"> </w:t>
            </w:r>
            <w:r>
              <w:rPr>
                <w:bCs/>
                <w:b/>
              </w:rPr>
              <w:t xml:space="preserve">f</w:t>
            </w:r>
            <w:r>
              <w:rPr>
                <w:vertAlign w:val="superscript"/>
                <w:bCs/>
                <w:b/>
              </w:rPr>
              <w:t xml:space="preserve">35</w:t>
            </w:r>
            <w:r>
              <w:t xml:space="preserve"> </w:t>
            </w:r>
            <w:r>
              <w:t xml:space="preserve">ℵ, A, B, C, D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ℵ, A, B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εισηλθες προς ανδρας ακροβυστιαν εχοντας και συνεφαγες</w:t>
            </w:r>
            <w:r>
              <w:t xml:space="preserve"> </w:t>
            </w:r>
            <w:r>
              <w:rPr>
                <w:bCs/>
                <w:b/>
              </w:rPr>
              <w:t xml:space="preserve">f</w:t>
            </w:r>
            <w:r>
              <w:rPr>
                <w:vertAlign w:val="superscript"/>
                <w:bCs/>
                <w:b/>
              </w:rPr>
              <w:t xml:space="preserve">35</w:t>
            </w:r>
            <w:r>
              <w:t xml:space="preserve"> </w:t>
            </w:r>
            <w:r>
              <w:t xml:space="preserve">ℵ, A, D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w:t>
            </w:r>
            <w:r>
              <w:t xml:space="preserve"> </w:t>
            </w:r>
            <w:r>
              <w:rPr>
                <w:bCs/>
                <w:b/>
              </w:rPr>
              <w:t xml:space="preserve">f</w:t>
            </w:r>
            <w:r>
              <w:rPr>
                <w:vertAlign w:val="superscript"/>
                <w:bCs/>
                <w:b/>
              </w:rPr>
              <w:t xml:space="preserve">35</w:t>
            </w:r>
            <w:r>
              <w:t xml:space="preserve"> </w:t>
            </w:r>
            <w:r>
              <w:t xml:space="preserve">B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D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w:t>
            </w:r>
            <w:r>
              <w:t xml:space="preserve"> </w:t>
            </w:r>
            <w:r>
              <w:rPr>
                <w:bCs/>
                <w:b/>
              </w:rPr>
              <w:t xml:space="preserve">f</w:t>
            </w:r>
            <w:r>
              <w:rPr>
                <w:vertAlign w:val="superscript"/>
                <w:bCs/>
                <w:b/>
              </w:rPr>
              <w:t xml:space="preserve">35</w:t>
            </w:r>
            <w:r>
              <w:t xml:space="preserve"> </w:t>
            </w:r>
            <w:r>
              <w:t xml:space="preserve">ℵ, A, B, D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ℵ, A, B, D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w:t>
            </w:r>
            <w:r>
              <w:t xml:space="preserve"> </w:t>
            </w:r>
            <w:r>
              <w:rPr>
                <w:bCs/>
                <w:b/>
              </w:rPr>
              <w:t xml:space="preserve">f</w:t>
            </w:r>
            <w:r>
              <w:rPr>
                <w:vertAlign w:val="superscript"/>
                <w:bCs/>
                <w:b/>
              </w:rPr>
              <w:t xml:space="preserve">35</w:t>
            </w:r>
            <w:r>
              <w:t xml:space="preserve"> </w:t>
            </w:r>
            <w:r>
              <w:t xml:space="preserve">[25%]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w:t>
            </w:r>
            <w:r>
              <w:t xml:space="preserve"> </w:t>
            </w:r>
            <w:r>
              <w:rPr>
                <w:bCs/>
                <w:b/>
              </w:rPr>
              <w:t xml:space="preserve">f</w:t>
            </w:r>
            <w:r>
              <w:rPr>
                <w:vertAlign w:val="superscript"/>
                <w:bCs/>
                <w:b/>
              </w:rPr>
              <w:t xml:space="preserve">35</w:t>
            </w:r>
            <w:r>
              <w:t xml:space="preserve"> </w:t>
            </w:r>
            <w:r>
              <w:t xml:space="preserve">[18%]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w:t>
            </w:r>
            <w:r>
              <w:t xml:space="preserve"> </w:t>
            </w:r>
            <w:r>
              <w:rPr>
                <w:bCs/>
                <w:b/>
              </w:rPr>
              <w:t xml:space="preserve">f</w:t>
            </w:r>
            <w:r>
              <w:rPr>
                <w:vertAlign w:val="superscript"/>
                <w:bCs/>
                <w:b/>
              </w:rPr>
              <w:t xml:space="preserve">35</w:t>
            </w:r>
            <w:r>
              <w:t xml:space="preserve"> </w:t>
            </w:r>
            <w:r>
              <w:t xml:space="preserve">ℵ, A, B, D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w:t>
            </w:r>
            <w:r>
              <w:t xml:space="preserve"> </w:t>
            </w:r>
            <w:r>
              <w:rPr>
                <w:bCs/>
                <w:b/>
              </w:rPr>
              <w:t xml:space="preserve">f</w:t>
            </w:r>
            <w:r>
              <w:rPr>
                <w:vertAlign w:val="superscript"/>
                <w:bCs/>
                <w:b/>
              </w:rPr>
              <w:t xml:space="preserve">35</w:t>
            </w:r>
            <w:r>
              <w:t xml:space="preserve"> </w:t>
            </w:r>
            <w:r>
              <w:t xml:space="preserve">ℵ, A, B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D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w:t>
            </w:r>
            <w:r>
              <w:t xml:space="preserve"> </w:t>
            </w:r>
            <w:r>
              <w:rPr>
                <w:bCs/>
                <w:b/>
              </w:rPr>
              <w:t xml:space="preserve">f</w:t>
            </w:r>
            <w:r>
              <w:rPr>
                <w:vertAlign w:val="superscript"/>
                <w:bCs/>
                <w:b/>
              </w:rPr>
              <w:t xml:space="preserve">35</w:t>
            </w:r>
            <w:r>
              <w:t xml:space="preserve"> </w:t>
            </w:r>
            <w:r>
              <w:t xml:space="preserve">D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w:t>
            </w:r>
            <w:r>
              <w:t xml:space="preserve"> </w:t>
            </w:r>
            <w:r>
              <w:rPr>
                <w:bCs/>
                <w:b/>
              </w:rPr>
              <w:t xml:space="preserve">f</w:t>
            </w:r>
            <w:r>
              <w:rPr>
                <w:vertAlign w:val="superscript"/>
                <w:bCs/>
                <w:b/>
              </w:rPr>
              <w:t xml:space="preserve">35</w:t>
            </w:r>
            <w:r>
              <w:t xml:space="preserve"> </w:t>
            </w:r>
            <w:r>
              <w:t xml:space="preserve">ℵ, A, B(D)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w:t>
            </w:r>
            <w:r>
              <w:t xml:space="preserve"> </w:t>
            </w:r>
            <w:r>
              <w:rPr>
                <w:bCs/>
                <w:b/>
              </w:rPr>
              <w:t xml:space="preserve">f</w:t>
            </w:r>
            <w:r>
              <w:rPr>
                <w:vertAlign w:val="superscript"/>
                <w:bCs/>
                <w:b/>
              </w:rPr>
              <w:t xml:space="preserve">35pt</w:t>
            </w:r>
            <w:r>
              <w:t xml:space="preserve"> </w:t>
            </w:r>
            <w:r>
              <w:t xml:space="preserve">(5.1%)+{19.5%} || 1 ιερουσαλημ [60%] || || || || ||</w:t>
            </w:r>
            <w:r>
              <w:rPr>
                <w:rStyle w:val="FootnoteReference"/>
              </w:rPr>
              <w:footnoteReference w:id="241"/>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w:t>
            </w:r>
            <w:r>
              <w:t xml:space="preserve"> </w:t>
            </w:r>
            <w:r>
              <w:rPr>
                <w:bCs/>
                <w:b/>
              </w:rPr>
              <w:t xml:space="preserve">f</w:t>
            </w:r>
            <w:r>
              <w:rPr>
                <w:vertAlign w:val="superscript"/>
                <w:bCs/>
                <w:b/>
              </w:rPr>
              <w:t xml:space="preserve">35</w:t>
            </w:r>
            <w:r>
              <w:t xml:space="preserve"> </w:t>
            </w:r>
            <w:r>
              <w:t xml:space="preserve">[20%]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ℵ, A, B, C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w:t>
            </w:r>
            <w:r>
              <w:t xml:space="preserve"> </w:t>
            </w:r>
            <w:r>
              <w:rPr>
                <w:bCs/>
                <w:b/>
              </w:rPr>
              <w:t xml:space="preserve">f</w:t>
            </w:r>
            <w:r>
              <w:rPr>
                <w:vertAlign w:val="superscript"/>
                <w:bCs/>
                <w:b/>
              </w:rPr>
              <w:t xml:space="preserve">35</w:t>
            </w:r>
            <w:r>
              <w:t xml:space="preserve"> </w:t>
            </w:r>
            <w:r>
              <w:t xml:space="preserve">B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w:t>
            </w:r>
            <w:r>
              <w:t xml:space="preserve"> </w:t>
            </w:r>
            <w:r>
              <w:rPr>
                <w:bCs/>
                <w:b/>
              </w:rPr>
              <w:t xml:space="preserve">f</w:t>
            </w:r>
            <w:r>
              <w:rPr>
                <w:vertAlign w:val="superscript"/>
                <w:bCs/>
                <w:b/>
              </w:rPr>
              <w:t xml:space="preserve">35</w:t>
            </w:r>
            <w:r>
              <w:t xml:space="preserve"> </w:t>
            </w:r>
            <w:r>
              <w:t xml:space="preserve">[20%]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w:t>
            </w:r>
            <w:r>
              <w:t xml:space="preserve"> </w:t>
            </w:r>
            <w:r>
              <w:rPr>
                <w:bCs/>
                <w:b/>
              </w:rPr>
              <w:t xml:space="preserve">f</w:t>
            </w:r>
            <w:r>
              <w:rPr>
                <w:vertAlign w:val="superscript"/>
                <w:bCs/>
                <w:b/>
              </w:rPr>
              <w:t xml:space="preserve">35</w:t>
            </w:r>
            <w:r>
              <w:t xml:space="preserve"> </w:t>
            </w:r>
            <w:r>
              <w:t xml:space="preserve">ℵ, A, B, C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w:t>
            </w:r>
            <w:r>
              <w:t xml:space="preserve"> </w:t>
            </w:r>
            <w:r>
              <w:rPr>
                <w:bCs/>
                <w:b/>
              </w:rPr>
              <w:t xml:space="preserve">f</w:t>
            </w:r>
            <w:r>
              <w:rPr>
                <w:vertAlign w:val="superscript"/>
                <w:bCs/>
                <w:b/>
              </w:rPr>
              <w:t xml:space="preserve">35</w:t>
            </w:r>
            <w:r>
              <w:t xml:space="preserve"> </w:t>
            </w:r>
            <w:r>
              <w:t xml:space="preserve">C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 A, B, C, D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w:t>
            </w:r>
            <w:r>
              <w:t xml:space="preserve"> </w:t>
            </w:r>
            <w:r>
              <w:rPr>
                <w:bCs/>
                <w:b/>
              </w:rPr>
              <w:t xml:space="preserve">f</w:t>
            </w:r>
            <w:r>
              <w:rPr>
                <w:vertAlign w:val="superscript"/>
                <w:bCs/>
                <w:b/>
              </w:rPr>
              <w:t xml:space="preserve">35</w:t>
            </w:r>
            <w:r>
              <w:t xml:space="preserve"> </w:t>
            </w:r>
            <w:r>
              <w:t xml:space="preserve">[20%]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w:t>
            </w:r>
            <w:r>
              <w:t xml:space="preserve"> </w:t>
            </w:r>
            <w:r>
              <w:rPr>
                <w:bCs/>
                <w:b/>
              </w:rPr>
              <w:t xml:space="preserve">f</w:t>
            </w:r>
            <w:r>
              <w:rPr>
                <w:vertAlign w:val="superscript"/>
                <w:bCs/>
                <w:b/>
              </w:rPr>
              <w:t xml:space="preserve">35</w:t>
            </w:r>
            <w:r>
              <w:t xml:space="preserve"> </w:t>
            </w:r>
            <w:r>
              <w:t xml:space="preserve">[18%]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w:t>
            </w:r>
            <w:r>
              <w:t xml:space="preserve"> </w:t>
            </w:r>
            <w:r>
              <w:rPr>
                <w:bCs/>
                <w:b/>
              </w:rPr>
              <w:t xml:space="preserve">f</w:t>
            </w:r>
            <w:r>
              <w:rPr>
                <w:vertAlign w:val="superscript"/>
                <w:bCs/>
                <w:b/>
              </w:rPr>
              <w:t xml:space="preserve">35</w:t>
            </w:r>
            <w:r>
              <w:t xml:space="preserve"> </w:t>
            </w:r>
            <w:r>
              <w:t xml:space="preserve">[20%]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w:t>
            </w:r>
            <w:r>
              <w:t xml:space="preserve"> </w:t>
            </w:r>
            <w:r>
              <w:rPr>
                <w:bCs/>
                <w:b/>
              </w:rPr>
              <w:t xml:space="preserve">f</w:t>
            </w:r>
            <w:r>
              <w:rPr>
                <w:vertAlign w:val="superscript"/>
                <w:bCs/>
                <w:b/>
              </w:rPr>
              <w:t xml:space="preserve">35</w:t>
            </w:r>
            <w:r>
              <w:t xml:space="preserve"> </w:t>
            </w:r>
            <w:r>
              <w:t xml:space="preserve">C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w:t>
            </w:r>
            <w:r>
              <w:t xml:space="preserve"> </w:t>
            </w:r>
            <w:r>
              <w:rPr>
                <w:bCs/>
                <w:b/>
              </w:rPr>
              <w:t xml:space="preserve">f</w:t>
            </w:r>
            <w:r>
              <w:rPr>
                <w:vertAlign w:val="superscript"/>
                <w:bCs/>
                <w:b/>
              </w:rPr>
              <w:t xml:space="preserve">35</w:t>
            </w:r>
            <w:r>
              <w:t xml:space="preserve"> </w:t>
            </w:r>
            <w:r>
              <w:t xml:space="preserve">ℵ, A, B, C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D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w:t>
            </w:r>
            <w:r>
              <w:t xml:space="preserve"> </w:t>
            </w:r>
            <w:r>
              <w:rPr>
                <w:bCs/>
                <w:b/>
              </w:rPr>
              <w:t xml:space="preserve">f</w:t>
            </w:r>
            <w:r>
              <w:rPr>
                <w:vertAlign w:val="superscript"/>
                <w:bCs/>
                <w:b/>
              </w:rPr>
              <w:t xml:space="preserve">35</w:t>
            </w:r>
            <w:r>
              <w:t xml:space="preserve"> </w:t>
            </w:r>
            <w:r>
              <w:t xml:space="preserve">A, D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w:t>
            </w:r>
            <w:r>
              <w:t xml:space="preserve"> </w:t>
            </w:r>
            <w:r>
              <w:rPr>
                <w:bCs/>
                <w:b/>
              </w:rPr>
              <w:t xml:space="preserve">f</w:t>
            </w:r>
            <w:r>
              <w:rPr>
                <w:vertAlign w:val="superscript"/>
                <w:bCs/>
                <w:b/>
              </w:rPr>
              <w:t xml:space="preserve">35</w:t>
            </w:r>
            <w:r>
              <w:t xml:space="preserve"> </w:t>
            </w:r>
            <w:r>
              <w:t xml:space="preserve">ℵ, A, B, C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A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w:t>
            </w:r>
            <w:r>
              <w:t xml:space="preserve"> </w:t>
            </w:r>
            <w:r>
              <w:rPr>
                <w:bCs/>
                <w:b/>
              </w:rPr>
              <w:t xml:space="preserve">f</w:t>
            </w:r>
            <w:r>
              <w:rPr>
                <w:vertAlign w:val="superscript"/>
                <w:bCs/>
                <w:b/>
              </w:rPr>
              <w:t xml:space="preserve">35</w:t>
            </w:r>
            <w:r>
              <w:t xml:space="preserve"> </w:t>
            </w:r>
            <w:r>
              <w:t xml:space="preserve">[20%]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w:t>
            </w:r>
            <w:r>
              <w:t xml:space="preserve"> </w:t>
            </w:r>
            <w:r>
              <w:rPr>
                <w:bCs/>
                <w:b/>
              </w:rPr>
              <w:t xml:space="preserve">f</w:t>
            </w:r>
            <w:r>
              <w:rPr>
                <w:vertAlign w:val="superscript"/>
                <w:bCs/>
                <w:b/>
              </w:rPr>
              <w:t xml:space="preserve">35</w:t>
            </w:r>
            <w:r>
              <w:t xml:space="preserve"> </w:t>
            </w:r>
            <w:r>
              <w:t xml:space="preserve">P</w:t>
            </w:r>
            <w:r>
              <w:rPr>
                <w:vertAlign w:val="superscript"/>
              </w:rPr>
              <w:t xml:space="preserve">45v</w:t>
            </w:r>
            <w:r>
              <w:t xml:space="preserve">A,B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A,C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w:t>
            </w:r>
            <w:r>
              <w:t xml:space="preserve"> </w:t>
            </w:r>
            <w:r>
              <w:rPr>
                <w:bCs/>
                <w:b/>
              </w:rPr>
              <w:t xml:space="preserve">f</w:t>
            </w:r>
            <w:r>
              <w:rPr>
                <w:vertAlign w:val="superscript"/>
                <w:bCs/>
                <w:b/>
              </w:rPr>
              <w:t xml:space="preserve">35</w:t>
            </w:r>
            <w:r>
              <w:t xml:space="preserve"> </w:t>
            </w:r>
            <w:r>
              <w:t xml:space="preserve">[20%]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w:t>
            </w:r>
            <w:r>
              <w:t xml:space="preserve"> </w:t>
            </w:r>
            <w:r>
              <w:rPr>
                <w:bCs/>
                <w:b/>
              </w:rPr>
              <w:t xml:space="preserve">f</w:t>
            </w:r>
            <w:r>
              <w:rPr>
                <w:vertAlign w:val="superscript"/>
                <w:bCs/>
                <w:b/>
              </w:rPr>
              <w:t xml:space="preserve">35</w:t>
            </w:r>
            <w:r>
              <w:t xml:space="preserve"> </w:t>
            </w:r>
            <w:r>
              <w:t xml:space="preserve">[18%]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w:t>
            </w:r>
            <w:r>
              <w:t xml:space="preserve"> </w:t>
            </w:r>
            <w:r>
              <w:rPr>
                <w:bCs/>
                <w:b/>
              </w:rPr>
              <w:t xml:space="preserve">f</w:t>
            </w:r>
            <w:r>
              <w:rPr>
                <w:vertAlign w:val="superscript"/>
                <w:bCs/>
                <w:b/>
              </w:rPr>
              <w:t xml:space="preserve">35</w:t>
            </w:r>
            <w:r>
              <w:t xml:space="preserve"> </w:t>
            </w:r>
            <w:r>
              <w:t xml:space="preserve">[20%]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w:t>
            </w:r>
            <w:r>
              <w:t xml:space="preserve"> </w:t>
            </w:r>
            <w:r>
              <w:rPr>
                <w:bCs/>
                <w:b/>
              </w:rPr>
              <w:t xml:space="preserve">f</w:t>
            </w:r>
            <w:r>
              <w:rPr>
                <w:vertAlign w:val="superscript"/>
                <w:bCs/>
                <w:b/>
              </w:rPr>
              <w:t xml:space="preserve">35</w:t>
            </w:r>
            <w:r>
              <w:t xml:space="preserve"> </w:t>
            </w:r>
            <w:r>
              <w:t xml:space="preserve">[20%]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D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w:t>
            </w:r>
            <w:r>
              <w:t xml:space="preserve"> </w:t>
            </w:r>
            <w:r>
              <w:rPr>
                <w:bCs/>
                <w:b/>
              </w:rPr>
              <w:t xml:space="preserve">f</w:t>
            </w:r>
            <w:r>
              <w:rPr>
                <w:vertAlign w:val="superscript"/>
                <w:bCs/>
                <w:b/>
              </w:rPr>
              <w:t xml:space="preserve">35</w:t>
            </w:r>
            <w:r>
              <w:t xml:space="preserve"> </w:t>
            </w:r>
            <w:r>
              <w:t xml:space="preserve">[20%]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w:t>
            </w:r>
            <w:r>
              <w:t xml:space="preserve"> </w:t>
            </w:r>
            <w:r>
              <w:rPr>
                <w:bCs/>
                <w:b/>
              </w:rPr>
              <w:t xml:space="preserve">f</w:t>
            </w:r>
            <w:r>
              <w:rPr>
                <w:vertAlign w:val="superscript"/>
                <w:bCs/>
                <w:b/>
              </w:rPr>
              <w:t xml:space="preserve">35</w:t>
            </w:r>
            <w:r>
              <w:t xml:space="preserve"> </w:t>
            </w:r>
            <w:r>
              <w:t xml:space="preserve">ℵ, B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w:t>
            </w:r>
            <w:r>
              <w:t xml:space="preserve"> </w:t>
            </w:r>
            <w:r>
              <w:rPr>
                <w:bCs/>
                <w:b/>
              </w:rPr>
              <w:t xml:space="preserve">f</w:t>
            </w:r>
            <w:r>
              <w:rPr>
                <w:vertAlign w:val="superscript"/>
                <w:bCs/>
                <w:b/>
              </w:rPr>
              <w:t xml:space="preserve">35</w:t>
            </w:r>
            <w:r>
              <w:t xml:space="preserve"> </w:t>
            </w:r>
            <w:r>
              <w:t xml:space="preserve">[20%]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w:t>
            </w:r>
            <w:r>
              <w:t xml:space="preserve"> </w:t>
            </w:r>
            <w:r>
              <w:rPr>
                <w:bCs/>
                <w:b/>
              </w:rPr>
              <w:t xml:space="preserve">f</w:t>
            </w:r>
            <w:r>
              <w:rPr>
                <w:vertAlign w:val="superscript"/>
                <w:bCs/>
                <w:b/>
              </w:rPr>
              <w:t xml:space="preserve">35</w:t>
            </w:r>
            <w:r>
              <w:t xml:space="preserve"> </w:t>
            </w:r>
            <w:r>
              <w:t xml:space="preserve">ℵ, A, B, D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w:t>
            </w:r>
            <w:r>
              <w:t xml:space="preserve"> </w:t>
            </w:r>
            <w:r>
              <w:rPr>
                <w:bCs/>
                <w:b/>
              </w:rPr>
              <w:t xml:space="preserve">f</w:t>
            </w:r>
            <w:r>
              <w:rPr>
                <w:vertAlign w:val="superscript"/>
                <w:bCs/>
                <w:b/>
              </w:rPr>
              <w:t xml:space="preserve">35</w:t>
            </w:r>
            <w:r>
              <w:t xml:space="preserve"> </w:t>
            </w:r>
            <w:r>
              <w:t xml:space="preserve">A, B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w:t>
            </w:r>
            <w:r>
              <w:t xml:space="preserve"> </w:t>
            </w:r>
            <w:r>
              <w:rPr>
                <w:bCs/>
                <w:b/>
              </w:rPr>
              <w:t xml:space="preserve">f</w:t>
            </w:r>
            <w:r>
              <w:rPr>
                <w:vertAlign w:val="superscript"/>
                <w:bCs/>
                <w:b/>
              </w:rPr>
              <w:t xml:space="preserve">35</w:t>
            </w:r>
            <w:r>
              <w:t xml:space="preserve"> </w:t>
            </w:r>
            <w:r>
              <w:t xml:space="preserve">ℵ, A, B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w:t>
            </w:r>
            <w:r>
              <w:t xml:space="preserve"> </w:t>
            </w:r>
            <w:r>
              <w:rPr>
                <w:bCs/>
                <w:b/>
              </w:rPr>
              <w:t xml:space="preserve">f</w:t>
            </w:r>
            <w:r>
              <w:rPr>
                <w:vertAlign w:val="superscript"/>
                <w:bCs/>
                <w:b/>
              </w:rPr>
              <w:t xml:space="preserve">35</w:t>
            </w:r>
            <w:r>
              <w:t xml:space="preserve"> </w:t>
            </w:r>
            <w:r>
              <w:t xml:space="preserve">[25%]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A(D)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w:t>
            </w:r>
            <w:r>
              <w:t xml:space="preserve"> </w:t>
            </w:r>
            <w:r>
              <w:rPr>
                <w:bCs/>
                <w:b/>
              </w:rPr>
              <w:t xml:space="preserve">f</w:t>
            </w:r>
            <w:r>
              <w:rPr>
                <w:vertAlign w:val="superscript"/>
                <w:bCs/>
                <w:b/>
              </w:rPr>
              <w:t xml:space="preserve">35</w:t>
            </w:r>
            <w:r>
              <w:t xml:space="preserve"> </w:t>
            </w:r>
            <w:r>
              <w:t xml:space="preserve">[25%]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w:t>
            </w:r>
            <w:r>
              <w:t xml:space="preserve"> </w:t>
            </w:r>
            <w:r>
              <w:rPr>
                <w:bCs/>
                <w:b/>
              </w:rPr>
              <w:t xml:space="preserve">f</w:t>
            </w:r>
            <w:r>
              <w:rPr>
                <w:vertAlign w:val="superscript"/>
                <w:bCs/>
                <w:b/>
              </w:rPr>
              <w:t xml:space="preserve">35</w:t>
            </w:r>
            <w:r>
              <w:t xml:space="preserve"> </w:t>
            </w:r>
            <w:r>
              <w:t xml:space="preserve">[20%]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w:t>
            </w:r>
            <w:r>
              <w:t xml:space="preserve"> </w:t>
            </w:r>
            <w:r>
              <w:rPr>
                <w:bCs/>
                <w:b/>
              </w:rPr>
              <w:t xml:space="preserve">f</w:t>
            </w:r>
            <w:r>
              <w:rPr>
                <w:vertAlign w:val="superscript"/>
                <w:bCs/>
                <w:b/>
              </w:rPr>
              <w:t xml:space="preserve">35</w:t>
            </w:r>
            <w:r>
              <w:t xml:space="preserve"> </w:t>
            </w:r>
            <w:r>
              <w:t xml:space="preserve">ℵ(A)B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w:t>
            </w:r>
            <w:r>
              <w:t xml:space="preserve"> </w:t>
            </w:r>
            <w:r>
              <w:rPr>
                <w:bCs/>
                <w:b/>
              </w:rPr>
              <w:t xml:space="preserve">f</w:t>
            </w:r>
            <w:r>
              <w:rPr>
                <w:vertAlign w:val="superscript"/>
                <w:bCs/>
                <w:b/>
              </w:rPr>
              <w:t xml:space="preserve">35</w:t>
            </w:r>
            <w:r>
              <w:t xml:space="preserve"> </w:t>
            </w:r>
            <w:r>
              <w:t xml:space="preserve">ℵ, A, B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ℵ, A, B(D)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B(D)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D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w:t>
            </w:r>
            <w:r>
              <w:t xml:space="preserve"> </w:t>
            </w:r>
            <w:r>
              <w:rPr>
                <w:bCs/>
                <w:b/>
              </w:rPr>
              <w:t xml:space="preserve">f</w:t>
            </w:r>
            <w:r>
              <w:rPr>
                <w:vertAlign w:val="superscript"/>
                <w:bCs/>
                <w:b/>
              </w:rPr>
              <w:t xml:space="preserve">35</w:t>
            </w:r>
            <w:r>
              <w:t xml:space="preserve"> </w:t>
            </w:r>
            <w:r>
              <w:t xml:space="preserve">P</w:t>
            </w:r>
            <w:r>
              <w:rPr>
                <w:vertAlign w:val="superscript"/>
              </w:rPr>
              <w:t xml:space="preserve">38</w:t>
            </w:r>
            <w:r>
              <w:t xml:space="preserve"> </w:t>
            </w:r>
            <w:r>
              <w:t xml:space="preserve">[30%]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w:t>
            </w:r>
            <w:r>
              <w:t xml:space="preserve"> </w:t>
            </w:r>
            <w:r>
              <w:rPr>
                <w:bCs/>
                <w:b/>
              </w:rPr>
              <w:t xml:space="preserve">f</w:t>
            </w:r>
            <w:r>
              <w:rPr>
                <w:vertAlign w:val="superscript"/>
                <w:bCs/>
                <w:b/>
              </w:rPr>
              <w:t xml:space="preserve">35</w:t>
            </w:r>
            <w:r>
              <w:t xml:space="preserve"> </w:t>
            </w:r>
            <w:r>
              <w:t xml:space="preserve">[20%]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w:t>
            </w:r>
            <w:r>
              <w:t xml:space="preserve"> </w:t>
            </w:r>
            <w:r>
              <w:rPr>
                <w:bCs/>
                <w:b/>
              </w:rPr>
              <w:t xml:space="preserve">f</w:t>
            </w:r>
            <w:r>
              <w:rPr>
                <w:vertAlign w:val="superscript"/>
                <w:bCs/>
                <w:b/>
              </w:rPr>
              <w:t xml:space="preserve">35</w:t>
            </w:r>
            <w:r>
              <w:t xml:space="preserve"> </w:t>
            </w:r>
            <w:r>
              <w:t xml:space="preserve">[20%]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w:t>
            </w:r>
            <w:r>
              <w:t xml:space="preserve"> </w:t>
            </w:r>
            <w:r>
              <w:rPr>
                <w:bCs/>
                <w:b/>
              </w:rPr>
              <w:t xml:space="preserve">f</w:t>
            </w:r>
            <w:r>
              <w:rPr>
                <w:vertAlign w:val="superscript"/>
                <w:bCs/>
                <w:b/>
              </w:rPr>
              <w:t xml:space="preserve">35</w:t>
            </w:r>
            <w:r>
              <w:t xml:space="preserve"> </w:t>
            </w:r>
            <w:r>
              <w:t xml:space="preserve">ℵ, A, B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w:t>
            </w:r>
            <w:r>
              <w:t xml:space="preserve"> </w:t>
            </w:r>
            <w:r>
              <w:rPr>
                <w:bCs/>
                <w:b/>
              </w:rPr>
              <w:t xml:space="preserve">f</w:t>
            </w:r>
            <w:r>
              <w:rPr>
                <w:vertAlign w:val="superscript"/>
                <w:bCs/>
                <w:b/>
              </w:rPr>
              <w:t xml:space="preserve">35</w:t>
            </w:r>
            <w:r>
              <w:t xml:space="preserve"> </w:t>
            </w:r>
            <w:r>
              <w:t xml:space="preserve">D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w:t>
            </w:r>
            <w:r>
              <w:t xml:space="preserve"> </w:t>
            </w:r>
            <w:r>
              <w:rPr>
                <w:bCs/>
                <w:b/>
              </w:rPr>
              <w:t xml:space="preserve">f</w:t>
            </w:r>
            <w:r>
              <w:rPr>
                <w:vertAlign w:val="superscript"/>
                <w:bCs/>
                <w:b/>
              </w:rPr>
              <w:t xml:space="preserve">35</w:t>
            </w:r>
            <w:r>
              <w:t xml:space="preserve"> </w:t>
            </w:r>
            <w:r>
              <w:t xml:space="preserve">ℵ, A, B, D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w:t>
            </w:r>
            <w:r>
              <w:t xml:space="preserve"> </w:t>
            </w:r>
            <w:r>
              <w:rPr>
                <w:bCs/>
                <w:b/>
              </w:rPr>
              <w:t xml:space="preserve">f</w:t>
            </w:r>
            <w:r>
              <w:rPr>
                <w:vertAlign w:val="superscript"/>
                <w:bCs/>
                <w:b/>
              </w:rPr>
              <w:t xml:space="preserve">35</w:t>
            </w:r>
            <w:r>
              <w:t xml:space="preserve"> </w:t>
            </w:r>
            <w:r>
              <w:t xml:space="preserve">ℵ, A, B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w:t>
            </w:r>
            <w:r>
              <w:t xml:space="preserve"> </w:t>
            </w:r>
            <w:r>
              <w:rPr>
                <w:bCs/>
                <w:b/>
              </w:rPr>
              <w:t xml:space="preserve">f</w:t>
            </w:r>
            <w:r>
              <w:rPr>
                <w:vertAlign w:val="superscript"/>
                <w:bCs/>
                <w:b/>
              </w:rPr>
              <w:t xml:space="preserve">35</w:t>
            </w:r>
            <w:r>
              <w:t xml:space="preserve"> </w:t>
            </w:r>
            <w:r>
              <w:t xml:space="preserve">[25%]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w:t>
            </w:r>
            <w:r>
              <w:t xml:space="preserve"> </w:t>
            </w:r>
            <w:r>
              <w:rPr>
                <w:bCs/>
                <w:b/>
              </w:rPr>
              <w:t xml:space="preserve">f</w:t>
            </w:r>
            <w:r>
              <w:rPr>
                <w:vertAlign w:val="superscript"/>
                <w:bCs/>
                <w:b/>
              </w:rPr>
              <w:t xml:space="preserve">35</w:t>
            </w:r>
            <w:r>
              <w:t xml:space="preserve"> </w:t>
            </w:r>
            <w:r>
              <w:t xml:space="preserve">[25%]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w:t>
            </w:r>
            <w:r>
              <w:t xml:space="preserve"> </w:t>
            </w:r>
            <w:r>
              <w:rPr>
                <w:bCs/>
                <w:b/>
              </w:rPr>
              <w:t xml:space="preserve">f</w:t>
            </w:r>
            <w:r>
              <w:rPr>
                <w:vertAlign w:val="superscript"/>
                <w:bCs/>
                <w:b/>
              </w:rPr>
              <w:t xml:space="preserve">35</w:t>
            </w:r>
            <w:r>
              <w:t xml:space="preserve"> </w:t>
            </w:r>
            <w:r>
              <w:t xml:space="preserve">[18%]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w:t>
            </w:r>
            <w:r>
              <w:t xml:space="preserve"> </w:t>
            </w:r>
            <w:r>
              <w:rPr>
                <w:bCs/>
                <w:b/>
              </w:rPr>
              <w:t xml:space="preserve">f</w:t>
            </w:r>
            <w:r>
              <w:rPr>
                <w:vertAlign w:val="superscript"/>
                <w:bCs/>
                <w:b/>
              </w:rPr>
              <w:t xml:space="preserve">35</w:t>
            </w:r>
            <w:r>
              <w:t xml:space="preserve"> </w:t>
            </w:r>
            <w:r>
              <w:t xml:space="preserve">[18%]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w:t>
            </w:r>
            <w:r>
              <w:t xml:space="preserve"> </w:t>
            </w:r>
            <w:r>
              <w:rPr>
                <w:bCs/>
                <w:b/>
              </w:rPr>
              <w:t xml:space="preserve">f</w:t>
            </w:r>
            <w:r>
              <w:rPr>
                <w:vertAlign w:val="superscript"/>
                <w:bCs/>
                <w:b/>
              </w:rPr>
              <w:t xml:space="preserve">35</w:t>
            </w:r>
            <w:r>
              <w:t xml:space="preserve"> </w:t>
            </w:r>
            <w:r>
              <w:t xml:space="preserve">ℵ, A, B, C, D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w:t>
            </w:r>
            <w:r>
              <w:t xml:space="preserve"> </w:t>
            </w:r>
            <w:r>
              <w:rPr>
                <w:bCs/>
                <w:b/>
              </w:rPr>
              <w:t xml:space="preserve">f</w:t>
            </w:r>
            <w:r>
              <w:rPr>
                <w:vertAlign w:val="superscript"/>
                <w:bCs/>
                <w:b/>
              </w:rPr>
              <w:t xml:space="preserve">35</w:t>
            </w:r>
            <w:r>
              <w:t xml:space="preserve"> </w:t>
            </w:r>
            <w:r>
              <w:t xml:space="preserve">ℵ, A(B)C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w:t>
            </w:r>
            <w:r>
              <w:t xml:space="preserve"> </w:t>
            </w:r>
            <w:r>
              <w:rPr>
                <w:bCs/>
                <w:b/>
              </w:rPr>
              <w:t xml:space="preserve">f</w:t>
            </w:r>
            <w:r>
              <w:rPr>
                <w:vertAlign w:val="superscript"/>
                <w:bCs/>
                <w:b/>
              </w:rPr>
              <w:t xml:space="preserve">35</w:t>
            </w:r>
            <w:r>
              <w:t xml:space="preserve"> </w:t>
            </w:r>
            <w:r>
              <w:t xml:space="preserve">[25%]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w:t>
            </w:r>
            <w:r>
              <w:t xml:space="preserve"> </w:t>
            </w:r>
            <w:r>
              <w:rPr>
                <w:bCs/>
                <w:b/>
              </w:rPr>
              <w:t xml:space="preserve">f</w:t>
            </w:r>
            <w:r>
              <w:rPr>
                <w:vertAlign w:val="superscript"/>
                <w:bCs/>
                <w:b/>
              </w:rPr>
              <w:t xml:space="preserve">35</w:t>
            </w:r>
            <w:r>
              <w:t xml:space="preserve"> </w:t>
            </w:r>
            <w:r>
              <w:t xml:space="preserve">[25%]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w:t>
            </w:r>
            <w:r>
              <w:t xml:space="preserve"> </w:t>
            </w:r>
            <w:r>
              <w:rPr>
                <w:bCs/>
                <w:b/>
              </w:rPr>
              <w:t xml:space="preserve">f</w:t>
            </w:r>
            <w:r>
              <w:rPr>
                <w:vertAlign w:val="superscript"/>
                <w:bCs/>
                <w:b/>
              </w:rPr>
              <w:t xml:space="preserve">35</w:t>
            </w:r>
            <w:r>
              <w:t xml:space="preserve"> </w:t>
            </w:r>
            <w:r>
              <w:t xml:space="preserve">[20%]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w:t>
            </w:r>
            <w:r>
              <w:t xml:space="preserve"> </w:t>
            </w:r>
            <w:r>
              <w:rPr>
                <w:bCs/>
                <w:b/>
              </w:rPr>
              <w:t xml:space="preserve">f</w:t>
            </w:r>
            <w:r>
              <w:rPr>
                <w:vertAlign w:val="superscript"/>
                <w:bCs/>
                <w:b/>
              </w:rPr>
              <w:t xml:space="preserve">35</w:t>
            </w:r>
            <w:r>
              <w:t xml:space="preserve"> </w:t>
            </w:r>
            <w:r>
              <w:t xml:space="preserve">[20%]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w:t>
            </w:r>
            <w:r>
              <w:t xml:space="preserve"> </w:t>
            </w:r>
            <w:r>
              <w:rPr>
                <w:bCs/>
                <w:b/>
              </w:rPr>
              <w:t xml:space="preserve">f</w:t>
            </w:r>
            <w:r>
              <w:rPr>
                <w:vertAlign w:val="superscript"/>
                <w:bCs/>
                <w:b/>
              </w:rPr>
              <w:t xml:space="preserve">35</w:t>
            </w:r>
            <w:r>
              <w:t xml:space="preserve"> </w:t>
            </w:r>
            <w:r>
              <w:t xml:space="preserve">[20%]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ℵ, A, B, D [30%]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w:t>
            </w:r>
            <w:r>
              <w:t xml:space="preserve"> </w:t>
            </w:r>
            <w:r>
              <w:rPr>
                <w:bCs/>
                <w:b/>
              </w:rPr>
              <w:t xml:space="preserve">f</w:t>
            </w:r>
            <w:r>
              <w:rPr>
                <w:vertAlign w:val="superscript"/>
                <w:bCs/>
                <w:b/>
              </w:rPr>
              <w:t xml:space="preserve">35</w:t>
            </w:r>
            <w:r>
              <w:t xml:space="preserve"> </w:t>
            </w:r>
            <w:r>
              <w:t xml:space="preserve">[20%]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w:t>
            </w:r>
            <w:r>
              <w:t xml:space="preserve"> </w:t>
            </w:r>
            <w:r>
              <w:rPr>
                <w:bCs/>
                <w:b/>
              </w:rPr>
              <w:t xml:space="preserve">f</w:t>
            </w:r>
            <w:r>
              <w:rPr>
                <w:vertAlign w:val="superscript"/>
                <w:bCs/>
                <w:b/>
              </w:rPr>
              <w:t xml:space="preserve">35</w:t>
            </w:r>
            <w:r>
              <w:t xml:space="preserve"> </w:t>
            </w:r>
            <w:r>
              <w:t xml:space="preserve">(ℵ)B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w:t>
            </w:r>
            <w:r>
              <w:t xml:space="preserve"> </w:t>
            </w:r>
            <w:r>
              <w:rPr>
                <w:bCs/>
                <w:b/>
              </w:rPr>
              <w:t xml:space="preserve">f</w:t>
            </w:r>
            <w:r>
              <w:rPr>
                <w:vertAlign w:val="superscript"/>
                <w:bCs/>
                <w:b/>
              </w:rPr>
              <w:t xml:space="preserve">35</w:t>
            </w:r>
            <w:r>
              <w:t xml:space="preserve"> </w:t>
            </w:r>
            <w:r>
              <w:t xml:space="preserve">(ℵ)A(B)C(D)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w:t>
            </w:r>
            <w:r>
              <w:t xml:space="preserve"> </w:t>
            </w:r>
            <w:r>
              <w:rPr>
                <w:bCs/>
                <w:b/>
              </w:rPr>
              <w:t xml:space="preserve">f</w:t>
            </w:r>
            <w:r>
              <w:rPr>
                <w:vertAlign w:val="superscript"/>
                <w:bCs/>
                <w:b/>
              </w:rPr>
              <w:t xml:space="preserve">35</w:t>
            </w:r>
            <w:r>
              <w:t xml:space="preserve"> </w:t>
            </w:r>
            <w:r>
              <w:t xml:space="preserve">ℵ,A,B,C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w:t>
            </w:r>
            <w:r>
              <w:t xml:space="preserve"> </w:t>
            </w:r>
            <w:r>
              <w:rPr>
                <w:bCs/>
                <w:b/>
              </w:rPr>
              <w:t xml:space="preserve">f</w:t>
            </w:r>
            <w:r>
              <w:rPr>
                <w:vertAlign w:val="superscript"/>
                <w:bCs/>
                <w:b/>
              </w:rPr>
              <w:t xml:space="preserve">35</w:t>
            </w:r>
            <w:r>
              <w:t xml:space="preserve"> </w:t>
            </w:r>
            <w:r>
              <w:t xml:space="preserve">ℵ,A,B,C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w:t>
            </w:r>
            <w:r>
              <w:t xml:space="preserve"> </w:t>
            </w:r>
            <w:r>
              <w:rPr>
                <w:bCs/>
                <w:b/>
              </w:rPr>
              <w:t xml:space="preserve">f</w:t>
            </w:r>
            <w:r>
              <w:rPr>
                <w:vertAlign w:val="superscript"/>
                <w:bCs/>
                <w:b/>
              </w:rPr>
              <w:t xml:space="preserve">35</w:t>
            </w:r>
            <w:r>
              <w:t xml:space="preserve"> </w:t>
            </w:r>
            <w:r>
              <w:t xml:space="preserve">[20%]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w:t>
            </w:r>
            <w:r>
              <w:t xml:space="preserve"> </w:t>
            </w:r>
            <w:r>
              <w:rPr>
                <w:bCs/>
                <w:b/>
              </w:rPr>
              <w:t xml:space="preserve">f</w:t>
            </w:r>
            <w:r>
              <w:rPr>
                <w:vertAlign w:val="superscript"/>
                <w:bCs/>
                <w:b/>
              </w:rPr>
              <w:t xml:space="preserve">35</w:t>
            </w:r>
            <w:r>
              <w:t xml:space="preserve"> </w:t>
            </w:r>
            <w:r>
              <w:t xml:space="preserve">ℵ,A,B,C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w:t>
            </w:r>
            <w:r>
              <w:t xml:space="preserve"> </w:t>
            </w:r>
            <w:r>
              <w:rPr>
                <w:bCs/>
                <w:b/>
              </w:rPr>
              <w:t xml:space="preserve">f</w:t>
            </w:r>
            <w:r>
              <w:rPr>
                <w:vertAlign w:val="superscript"/>
                <w:bCs/>
                <w:b/>
              </w:rPr>
              <w:t xml:space="preserve">35</w:t>
            </w:r>
            <w:r>
              <w:t xml:space="preserve"> </w:t>
            </w:r>
            <w:r>
              <w:t xml:space="preserve">C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w:t>
            </w:r>
            <w:r>
              <w:t xml:space="preserve"> </w:t>
            </w:r>
            <w:r>
              <w:rPr>
                <w:bCs/>
                <w:b/>
              </w:rPr>
              <w:t xml:space="preserve">f</w:t>
            </w:r>
            <w:r>
              <w:rPr>
                <w:vertAlign w:val="superscript"/>
                <w:bCs/>
                <w:b/>
              </w:rPr>
              <w:t xml:space="preserve">35</w:t>
            </w:r>
            <w:r>
              <w:t xml:space="preserve"> </w:t>
            </w:r>
            <w:r>
              <w:t xml:space="preserve">(A)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w:t>
            </w:r>
            <w:r>
              <w:t xml:space="preserve"> </w:t>
            </w:r>
            <w:r>
              <w:rPr>
                <w:bCs/>
                <w:b/>
              </w:rPr>
              <w:t xml:space="preserve">f</w:t>
            </w:r>
            <w:r>
              <w:rPr>
                <w:vertAlign w:val="superscript"/>
                <w:bCs/>
                <w:b/>
              </w:rPr>
              <w:t xml:space="preserve">35</w:t>
            </w:r>
            <w:r>
              <w:t xml:space="preserve"> </w:t>
            </w:r>
            <w:r>
              <w:t xml:space="preserve">[20%]+P</w:t>
            </w:r>
            <w:r>
              <w:rPr>
                <w:vertAlign w:val="superscript"/>
              </w:rPr>
              <w:t xml:space="preserve">48</w:t>
            </w:r>
            <w:r>
              <w:t xml:space="preserve"> </w:t>
            </w:r>
            <w:r>
              <w:t xml:space="preserve">ℵ, A, B, C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w:t>
            </w:r>
            <w:r>
              <w:t xml:space="preserve"> </w:t>
            </w:r>
            <w:r>
              <w:rPr>
                <w:bCs/>
                <w:b/>
              </w:rPr>
              <w:t xml:space="preserve">f</w:t>
            </w:r>
            <w:r>
              <w:rPr>
                <w:vertAlign w:val="superscript"/>
                <w:bCs/>
                <w:b/>
              </w:rPr>
              <w:t xml:space="preserve">35</w:t>
            </w:r>
            <w:r>
              <w:t xml:space="preserve"> </w:t>
            </w:r>
            <w:r>
              <w:t xml:space="preserve">(33.1%)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w:t>
            </w:r>
            <w:r>
              <w:t xml:space="preserve"> </w:t>
            </w:r>
            <w:r>
              <w:rPr>
                <w:bCs/>
                <w:b/>
              </w:rPr>
              <w:t xml:space="preserve">f</w:t>
            </w:r>
            <w:r>
              <w:rPr>
                <w:vertAlign w:val="superscript"/>
                <w:bCs/>
                <w:b/>
              </w:rPr>
              <w:t xml:space="preserve">35</w:t>
            </w:r>
            <w:r>
              <w:t xml:space="preserve"> </w:t>
            </w:r>
            <w:r>
              <w:t xml:space="preserve">ℵ, B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w:t>
            </w:r>
            <w:r>
              <w:t xml:space="preserve"> </w:t>
            </w:r>
            <w:r>
              <w:rPr>
                <w:bCs/>
                <w:b/>
              </w:rPr>
              <w:t xml:space="preserve">f</w:t>
            </w:r>
            <w:r>
              <w:rPr>
                <w:vertAlign w:val="superscript"/>
                <w:bCs/>
                <w:b/>
              </w:rPr>
              <w:t xml:space="preserve">35</w:t>
            </w:r>
            <w:r>
              <w:t xml:space="preserve"> </w:t>
            </w:r>
            <w:r>
              <w:t xml:space="preserve">P</w:t>
            </w:r>
            <w:r>
              <w:rPr>
                <w:vertAlign w:val="superscript"/>
              </w:rPr>
              <w:t xml:space="preserve">48</w:t>
            </w:r>
            <w:r>
              <w:t xml:space="preserve"> </w:t>
            </w:r>
            <w:r>
              <w:t xml:space="preserve">ℵ, B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[18%]+ℵ, A {4%} || --- [75%] ||</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w:t>
            </w:r>
            <w:r>
              <w:t xml:space="preserve"> </w:t>
            </w:r>
            <w:r>
              <w:rPr>
                <w:bCs/>
                <w:b/>
              </w:rPr>
              <w:t xml:space="preserve">f</w:t>
            </w:r>
            <w:r>
              <w:rPr>
                <w:vertAlign w:val="superscript"/>
                <w:bCs/>
                <w:b/>
              </w:rPr>
              <w:t xml:space="preserve">35</w:t>
            </w:r>
            <w:r>
              <w:t xml:space="preserve"> </w:t>
            </w:r>
            <w:r>
              <w:t xml:space="preserve">[18%] || πλειον [80%]</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w:t>
            </w:r>
            <w:r>
              <w:t xml:space="preserve"> </w:t>
            </w:r>
            <w:r>
              <w:rPr>
                <w:bCs/>
                <w:b/>
              </w:rPr>
              <w:t xml:space="preserve">f</w:t>
            </w:r>
            <w:r>
              <w:rPr>
                <w:vertAlign w:val="superscript"/>
                <w:bCs/>
                <w:b/>
              </w:rPr>
              <w:t xml:space="preserve">35</w:t>
            </w:r>
            <w:r>
              <w:t xml:space="preserve"> </w:t>
            </w:r>
            <w:r>
              <w:t xml:space="preserve">[30%]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w:t>
            </w:r>
            <w:r>
              <w:t xml:space="preserve"> </w:t>
            </w:r>
            <w:r>
              <w:rPr>
                <w:bCs/>
                <w:b/>
              </w:rPr>
              <w:t xml:space="preserve">f</w:t>
            </w:r>
            <w:r>
              <w:rPr>
                <w:vertAlign w:val="superscript"/>
                <w:bCs/>
                <w:b/>
              </w:rPr>
              <w:t xml:space="preserve">35</w:t>
            </w:r>
            <w:r>
              <w:t xml:space="preserve"> </w:t>
            </w:r>
            <w:r>
              <w:t xml:space="preserve">ℵ, A, B, C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w:t>
            </w:r>
            <w:r>
              <w:t xml:space="preserve"> </w:t>
            </w:r>
            <w:r>
              <w:rPr>
                <w:bCs/>
                <w:b/>
              </w:rPr>
              <w:t xml:space="preserve">f</w:t>
            </w:r>
            <w:r>
              <w:rPr>
                <w:vertAlign w:val="superscript"/>
                <w:bCs/>
                <w:b/>
              </w:rPr>
              <w:t xml:space="preserve">35</w:t>
            </w:r>
            <w:r>
              <w:t xml:space="preserve"> </w:t>
            </w:r>
            <w:r>
              <w:t xml:space="preserve">[18%]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w:t>
            </w:r>
            <w:r>
              <w:t xml:space="preserve"> </w:t>
            </w:r>
            <w:r>
              <w:rPr>
                <w:bCs/>
                <w:b/>
              </w:rPr>
              <w:t xml:space="preserve">f</w:t>
            </w:r>
            <w:r>
              <w:rPr>
                <w:vertAlign w:val="superscript"/>
                <w:bCs/>
                <w:b/>
              </w:rPr>
              <w:t xml:space="preserve">35</w:t>
            </w:r>
            <w:r>
              <w:t xml:space="preserve"> </w:t>
            </w:r>
            <w:r>
              <w:t xml:space="preserve">ℵ, A, B, C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w:t>
            </w:r>
            <w:r>
              <w:t xml:space="preserve"> </w:t>
            </w:r>
            <w:r>
              <w:rPr>
                <w:bCs/>
                <w:b/>
              </w:rPr>
              <w:t xml:space="preserve">f</w:t>
            </w:r>
            <w:r>
              <w:rPr>
                <w:vertAlign w:val="superscript"/>
                <w:bCs/>
                <w:b/>
              </w:rPr>
              <w:t xml:space="preserve">35</w:t>
            </w:r>
            <w:r>
              <w:t xml:space="preserve"> </w:t>
            </w:r>
            <w:r>
              <w:t xml:space="preserve">[25%]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w:t>
            </w:r>
            <w:r>
              <w:t xml:space="preserve"> </w:t>
            </w:r>
            <w:r>
              <w:rPr>
                <w:bCs/>
                <w:b/>
              </w:rPr>
              <w:t xml:space="preserve">f</w:t>
            </w:r>
            <w:r>
              <w:rPr>
                <w:vertAlign w:val="superscript"/>
                <w:bCs/>
                <w:b/>
              </w:rPr>
              <w:t xml:space="preserve">35</w:t>
            </w:r>
            <w:r>
              <w:t xml:space="preserve"> </w:t>
            </w:r>
            <w:r>
              <w:t xml:space="preserve">[30%]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w:t>
            </w:r>
            <w:r>
              <w:t xml:space="preserve"> </w:t>
            </w:r>
            <w:r>
              <w:rPr>
                <w:bCs/>
                <w:b/>
              </w:rPr>
              <w:t xml:space="preserve">f</w:t>
            </w:r>
            <w:r>
              <w:rPr>
                <w:vertAlign w:val="superscript"/>
                <w:bCs/>
                <w:b/>
              </w:rPr>
              <w:t xml:space="preserve">35</w:t>
            </w:r>
            <w:r>
              <w:t xml:space="preserve"> </w:t>
            </w:r>
            <w:r>
              <w:t xml:space="preserve">[18%]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w:t>
            </w:r>
            <w:r>
              <w:t xml:space="preserve"> </w:t>
            </w:r>
            <w:r>
              <w:rPr>
                <w:bCs/>
                <w:b/>
              </w:rPr>
              <w:t xml:space="preserve">f</w:t>
            </w:r>
            <w:r>
              <w:rPr>
                <w:vertAlign w:val="superscript"/>
                <w:bCs/>
                <w:b/>
              </w:rPr>
              <w:t xml:space="preserve">35</w:t>
            </w:r>
            <w:r>
              <w:t xml:space="preserve"> </w:t>
            </w:r>
            <w:r>
              <w:t xml:space="preserve">ℵ, A, B, C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A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w:t>
            </w:r>
            <w:r>
              <w:t xml:space="preserve"> </w:t>
            </w:r>
            <w:r>
              <w:rPr>
                <w:bCs/>
                <w:b/>
              </w:rPr>
              <w:t xml:space="preserve">f</w:t>
            </w:r>
            <w:r>
              <w:rPr>
                <w:vertAlign w:val="superscript"/>
                <w:bCs/>
                <w:b/>
              </w:rPr>
              <w:t xml:space="preserve">35</w:t>
            </w:r>
            <w:r>
              <w:t xml:space="preserve"> </w:t>
            </w:r>
            <w:r>
              <w:t xml:space="preserve">ℵ, B, C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w:t>
            </w:r>
            <w:r>
              <w:t xml:space="preserve"> </w:t>
            </w:r>
            <w:r>
              <w:rPr>
                <w:bCs/>
                <w:b/>
              </w:rPr>
              <w:t xml:space="preserve">f</w:t>
            </w:r>
            <w:r>
              <w:rPr>
                <w:vertAlign w:val="superscript"/>
                <w:bCs/>
                <w:b/>
              </w:rPr>
              <w:t xml:space="preserve">35</w:t>
            </w:r>
            <w:r>
              <w:t xml:space="preserve"> </w:t>
            </w:r>
            <w:r>
              <w:t xml:space="preserve">[20%]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w:t>
            </w:r>
            <w:r>
              <w:t xml:space="preserve"> </w:t>
            </w:r>
            <w:r>
              <w:rPr>
                <w:bCs/>
                <w:b/>
              </w:rPr>
              <w:t xml:space="preserve">f</w:t>
            </w:r>
            <w:r>
              <w:rPr>
                <w:vertAlign w:val="superscript"/>
                <w:bCs/>
                <w:b/>
              </w:rPr>
              <w:t xml:space="preserve">35</w:t>
            </w:r>
            <w:r>
              <w:t xml:space="preserve"> </w:t>
            </w:r>
            <w:r>
              <w:t xml:space="preserve">[21%]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w:t>
            </w:r>
            <w:r>
              <w:t xml:space="preserve"> </w:t>
            </w:r>
            <w:r>
              <w:rPr>
                <w:bCs/>
                <w:b/>
              </w:rPr>
              <w:t xml:space="preserve">f</w:t>
            </w:r>
            <w:r>
              <w:rPr>
                <w:vertAlign w:val="superscript"/>
                <w:bCs/>
                <w:b/>
              </w:rPr>
              <w:t xml:space="preserve">35</w:t>
            </w:r>
            <w:r>
              <w:t xml:space="preserve"> </w:t>
            </w:r>
            <w:r>
              <w:t xml:space="preserve">[21%]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w:t>
            </w:r>
            <w:r>
              <w:t xml:space="preserve"> </w:t>
            </w:r>
            <w:r>
              <w:rPr>
                <w:bCs/>
                <w:b/>
              </w:rPr>
              <w:t xml:space="preserve">f</w:t>
            </w:r>
            <w:r>
              <w:rPr>
                <w:vertAlign w:val="superscript"/>
                <w:bCs/>
                <w:b/>
              </w:rPr>
              <w:t xml:space="preserve">35</w:t>
            </w:r>
            <w:r>
              <w:t xml:space="preserve"> </w:t>
            </w:r>
            <w:r>
              <w:t xml:space="preserve">[22%]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w:t>
            </w:r>
            <w:r>
              <w:t xml:space="preserve"> </w:t>
            </w:r>
            <w:r>
              <w:rPr>
                <w:bCs/>
                <w:b/>
              </w:rPr>
              <w:t xml:space="preserve">f</w:t>
            </w:r>
            <w:r>
              <w:rPr>
                <w:vertAlign w:val="superscript"/>
                <w:bCs/>
                <w:b/>
              </w:rPr>
              <w:t xml:space="preserve">35</w:t>
            </w:r>
            <w:r>
              <w:t xml:space="preserve"> </w:t>
            </w:r>
            <w:r>
              <w:t xml:space="preserve">ℵ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w:t>
            </w:r>
            <w:r>
              <w:t xml:space="preserve"> </w:t>
            </w:r>
            <w:r>
              <w:rPr>
                <w:bCs/>
                <w:b/>
              </w:rPr>
              <w:t xml:space="preserve">f</w:t>
            </w:r>
            <w:r>
              <w:rPr>
                <w:vertAlign w:val="superscript"/>
                <w:bCs/>
                <w:b/>
              </w:rPr>
              <w:t xml:space="preserve">35</w:t>
            </w:r>
            <w:r>
              <w:t xml:space="preserve"> </w:t>
            </w:r>
            <w:r>
              <w:t xml:space="preserve">ℵ, A, B, C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C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w:t>
            </w:r>
            <w:r>
              <w:t xml:space="preserve"> </w:t>
            </w:r>
            <w:r>
              <w:rPr>
                <w:bCs/>
                <w:b/>
              </w:rPr>
              <w:t xml:space="preserve">f</w:t>
            </w:r>
            <w:r>
              <w:rPr>
                <w:vertAlign w:val="superscript"/>
                <w:bCs/>
                <w:b/>
              </w:rPr>
              <w:t xml:space="preserve">35</w:t>
            </w:r>
            <w:r>
              <w:t xml:space="preserve"> </w:t>
            </w:r>
            <w:r>
              <w:t xml:space="preserve">A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w:t>
            </w:r>
            <w:r>
              <w:t xml:space="preserve"> </w:t>
            </w:r>
            <w:r>
              <w:rPr>
                <w:bCs/>
                <w:b/>
              </w:rPr>
              <w:t xml:space="preserve">f</w:t>
            </w:r>
            <w:r>
              <w:rPr>
                <w:vertAlign w:val="superscript"/>
                <w:bCs/>
                <w:b/>
              </w:rPr>
              <w:t xml:space="preserve">35</w:t>
            </w:r>
            <w:r>
              <w:t xml:space="preserve"> </w:t>
            </w:r>
            <w:r>
              <w:t xml:space="preserve">ℵ, A, B, C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w:t>
            </w:r>
            <w:r>
              <w:t xml:space="preserve"> </w:t>
            </w:r>
            <w:r>
              <w:rPr>
                <w:bCs/>
                <w:b/>
              </w:rPr>
              <w:t xml:space="preserve">f</w:t>
            </w:r>
            <w:r>
              <w:rPr>
                <w:vertAlign w:val="superscript"/>
                <w:bCs/>
                <w:b/>
              </w:rPr>
              <w:t xml:space="preserve">35</w:t>
            </w:r>
            <w:r>
              <w:t xml:space="preserve"> </w:t>
            </w:r>
            <w:r>
              <w:t xml:space="preserve">C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w:t>
            </w:r>
            <w:r>
              <w:t xml:space="preserve"> </w:t>
            </w:r>
            <w:r>
              <w:rPr>
                <w:bCs/>
                <w:b/>
              </w:rPr>
              <w:t xml:space="preserve">f</w:t>
            </w:r>
            <w:r>
              <w:rPr>
                <w:vertAlign w:val="superscript"/>
                <w:bCs/>
                <w:b/>
              </w:rPr>
              <w:t xml:space="preserve">35</w:t>
            </w:r>
            <w:r>
              <w:t xml:space="preserve"> </w:t>
            </w:r>
            <w:r>
              <w:t xml:space="preserve">[20%]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w:t>
            </w:r>
            <w:r>
              <w:t xml:space="preserve"> </w:t>
            </w:r>
            <w:r>
              <w:rPr>
                <w:bCs/>
                <w:b/>
              </w:rPr>
              <w:t xml:space="preserve">f</w:t>
            </w:r>
            <w:r>
              <w:rPr>
                <w:vertAlign w:val="superscript"/>
                <w:bCs/>
                <w:b/>
              </w:rPr>
              <w:t xml:space="preserve">35</w:t>
            </w:r>
            <w:r>
              <w:t xml:space="preserve"> </w:t>
            </w:r>
            <w:r>
              <w:t xml:space="preserve">[25%] || ιασομαι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rPr>
          <w:bCs/>
          <w:b/>
        </w:rPr>
        <w:t xml:space="preserve">Łącznie: 180</w:t>
      </w:r>
    </w:p>
    <w:p>
      <w:pPr>
        <w:pStyle w:val="BodyText"/>
      </w:pPr>
      <w:r>
        <w:t xml:space="preserve">Dla każdego bezstronnego czytelnika powinno być oczywiste, że</w:t>
      </w:r>
      <w:r>
        <w:t xml:space="preserve"> </w:t>
      </w:r>
      <w:r>
        <w:rPr>
          <w:bCs/>
          <w:b/>
        </w:rPr>
        <w:t xml:space="preserve">f</w:t>
      </w:r>
      <w:r>
        <w:rPr>
          <w:vertAlign w:val="superscript"/>
          <w:bCs/>
          <w:b/>
        </w:rPr>
        <w:t xml:space="preserve">35</w:t>
      </w:r>
      <w:r>
        <w:t xml:space="preserve"> </w:t>
      </w:r>
      <w:r>
        <w:t xml:space="preserve">jest całkowicie niezależna od masy bizantyjskiej (</w:t>
      </w:r>
      <w:r>
        <w:rPr>
          <w:bCs/>
          <w:b/>
        </w:rPr>
        <w:t xml:space="preserve">K</w:t>
      </w:r>
      <w:r>
        <w:rPr>
          <w:vertAlign w:val="superscript"/>
          <w:bCs/>
          <w:b/>
        </w:rPr>
        <w:t xml:space="preserve">x</w:t>
      </w:r>
      <w:r>
        <w:t xml:space="preserve"> </w:t>
      </w:r>
      <w:r>
        <w:t xml:space="preserve">Sodena). Spośród 180 zestawów wariantów</w:t>
      </w:r>
      <w:r>
        <w:t xml:space="preserve"> </w:t>
      </w:r>
      <w:r>
        <w:rPr>
          <w:bCs/>
          <w:b/>
        </w:rPr>
        <w:t xml:space="preserve">f</w:t>
      </w:r>
      <w:r>
        <w:rPr>
          <w:vertAlign w:val="superscript"/>
          <w:bCs/>
          <w:b/>
        </w:rPr>
        <w:t xml:space="preserve">35</w:t>
      </w:r>
      <w:r>
        <w:t xml:space="preserve"> </w:t>
      </w:r>
      <w:r>
        <w:t xml:space="preserve">występuje sama 75 razy (42%), jest więc również niezależna od linii przekazu reprezentowanych przez uwzględnione przeze mnie wczesne manuskrypty. Jeśli</w:t>
      </w:r>
      <w:r>
        <w:t xml:space="preserve"> </w:t>
      </w:r>
      <w:r>
        <w:rPr>
          <w:bCs/>
          <w:b/>
        </w:rPr>
        <w:t xml:space="preserve">f</w:t>
      </w:r>
      <w:r>
        <w:rPr>
          <w:vertAlign w:val="superscript"/>
          <w:bCs/>
          <w:b/>
        </w:rPr>
        <w:t xml:space="preserve">35</w:t>
      </w:r>
      <w:r>
        <w:t xml:space="preserve"> </w:t>
      </w:r>
      <w:r>
        <w:t xml:space="preserve">jest niezależna od masy bizantyjskiej, nie może być rewizją opartą na tej masie — dokonaną w jakimkolwiek czasie! Zanim skomentuję to szerzej, wymienię wczesne poświadczenie odczytów, które klasyfikuję odpowiednio jako „diagnostyczne” i „całkiem dobre”, oznaczonych przez +++ i ++-- (25% lub mniej).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jc w:val="left"/>
            </w:pPr>
            <w:r>
              <w:rPr>
                <w:bCs/>
                <w:b/>
              </w:rPr>
              <w:t xml:space="preserve">Łączna liczba wystąpień każdego świadka</w:t>
            </w:r>
          </w:p>
        </w:tc>
      </w:tr>
      <w:tr>
        <w:tc>
          <w:tcPr/>
          <w:p>
            <w:pPr>
              <w:pStyle w:val="Compact"/>
              <w:jc w:val="left"/>
            </w:pPr>
            <w:r>
              <w:t xml:space="preserve">P</w:t>
            </w:r>
            <w:r>
              <w:rPr>
                <w:vertAlign w:val="superscript"/>
              </w:rPr>
              <w:t xml:space="preserve">45</w:t>
            </w:r>
            <w:r>
              <w:t xml:space="preserve"> </w:t>
            </w:r>
            <w:r>
              <w:t xml:space="preserve">— 1</w:t>
            </w:r>
          </w:p>
        </w:tc>
        <w:tc>
          <w:tcPr/>
          <w:p>
            <w:pPr>
              <w:pStyle w:val="Compact"/>
              <w:jc w:val="left"/>
            </w:pPr>
            <w:r>
              <w:t xml:space="preserve">P</w:t>
            </w:r>
            <w:r>
              <w:rPr>
                <w:vertAlign w:val="superscript"/>
              </w:rPr>
              <w:t xml:space="preserve">53</w:t>
            </w:r>
            <w:r>
              <w:t xml:space="preserve">A, C — 1</w:t>
            </w:r>
          </w:p>
        </w:tc>
        <w:tc>
          <w:tcPr/>
          <w:p>
            <w:pPr>
              <w:pStyle w:val="Compact"/>
              <w:jc w:val="left"/>
            </w:pPr>
            <w:r>
              <w:t xml:space="preserve">P</w:t>
            </w:r>
            <w:r>
              <w:rPr>
                <w:vertAlign w:val="superscript"/>
              </w:rPr>
              <w:t xml:space="preserve">8</w:t>
            </w:r>
            <w:r>
              <w:t xml:space="preserve"> </w:t>
            </w:r>
            <w:r>
              <w:t xml:space="preserve">— 1</w:t>
            </w:r>
          </w:p>
        </w:tc>
      </w:tr>
      <w:tr>
        <w:tc>
          <w:tcPr/>
          <w:p>
            <w:pPr>
              <w:pStyle w:val="Compact"/>
              <w:jc w:val="left"/>
            </w:pPr>
            <w:r>
              <w:t xml:space="preserve">ℵ — 2</w:t>
            </w:r>
          </w:p>
        </w:tc>
        <w:tc>
          <w:tcPr/>
          <w:p>
            <w:pPr>
              <w:pStyle w:val="Compact"/>
              <w:jc w:val="left"/>
            </w:pPr>
            <w:r>
              <w:t xml:space="preserve">ℵ, A, B — 7</w:t>
            </w:r>
          </w:p>
        </w:tc>
        <w:tc>
          <w:tcPr/>
          <w:p>
            <w:pPr>
              <w:pStyle w:val="Compact"/>
              <w:jc w:val="left"/>
            </w:pPr>
            <w:r>
              <w:t xml:space="preserve">P</w:t>
            </w:r>
            <w:r>
              <w:rPr>
                <w:vertAlign w:val="superscript"/>
              </w:rPr>
              <w:t xml:space="preserve">45</w:t>
            </w:r>
            <w:r>
              <w:t xml:space="preserve"> </w:t>
            </w:r>
            <w:r>
              <w:t xml:space="preserve">— 5</w:t>
            </w:r>
          </w:p>
        </w:tc>
      </w:tr>
      <w:tr>
        <w:tc>
          <w:tcPr/>
          <w:p>
            <w:pPr>
              <w:pStyle w:val="Compact"/>
              <w:jc w:val="left"/>
            </w:pPr>
            <w:r>
              <w:t xml:space="preserve">A — 9</w:t>
            </w:r>
          </w:p>
        </w:tc>
        <w:tc>
          <w:tcPr/>
          <w:p>
            <w:pPr>
              <w:pStyle w:val="Compact"/>
              <w:jc w:val="left"/>
            </w:pPr>
            <w:r>
              <w:t xml:space="preserve">ℵ, A, D — 1</w:t>
            </w:r>
          </w:p>
        </w:tc>
        <w:tc>
          <w:tcPr/>
          <w:p>
            <w:pPr>
              <w:pStyle w:val="Compact"/>
              <w:jc w:val="left"/>
            </w:pPr>
            <w:r>
              <w:t xml:space="preserve">P</w:t>
            </w:r>
            <w:r>
              <w:rPr>
                <w:vertAlign w:val="superscript"/>
              </w:rPr>
              <w:t xml:space="preserve">48</w:t>
            </w:r>
            <w:r>
              <w:t xml:space="preserve"> </w:t>
            </w:r>
            <w:r>
              <w:t xml:space="preserve">— 1</w:t>
            </w:r>
          </w:p>
        </w:tc>
      </w:tr>
      <w:tr>
        <w:tc>
          <w:tcPr/>
          <w:p>
            <w:pPr>
              <w:pStyle w:val="Compact"/>
              <w:jc w:val="left"/>
            </w:pPr>
            <w:r>
              <w:t xml:space="preserve">B — 4</w:t>
            </w:r>
          </w:p>
        </w:tc>
        <w:tc>
          <w:tcPr/>
          <w:p>
            <w:pPr>
              <w:pStyle w:val="Compact"/>
              <w:jc w:val="left"/>
            </w:pPr>
            <w:r>
              <w:t xml:space="preserve">A, B, C — 1</w:t>
            </w:r>
          </w:p>
        </w:tc>
        <w:tc>
          <w:tcPr/>
          <w:p>
            <w:pPr>
              <w:pStyle w:val="Compact"/>
              <w:jc w:val="left"/>
            </w:pPr>
            <w:r>
              <w:t xml:space="preserve">P</w:t>
            </w:r>
            <w:r>
              <w:rPr>
                <w:vertAlign w:val="superscript"/>
              </w:rPr>
              <w:t xml:space="preserve">53</w:t>
            </w:r>
            <w:r>
              <w:t xml:space="preserve"> </w:t>
            </w:r>
            <w:r>
              <w:t xml:space="preserve">— 1</w:t>
            </w:r>
          </w:p>
        </w:tc>
      </w:tr>
      <w:tr>
        <w:tc>
          <w:tcPr/>
          <w:p>
            <w:pPr>
              <w:pStyle w:val="Compact"/>
              <w:jc w:val="left"/>
            </w:pPr>
            <w:r>
              <w:t xml:space="preserve">C — 5</w:t>
            </w:r>
          </w:p>
        </w:tc>
        <w:tc>
          <w:tcPr/>
          <w:p>
            <w:pPr>
              <w:pStyle w:val="Compact"/>
              <w:jc w:val="left"/>
            </w:pPr>
            <w:r>
              <w:t xml:space="preserve">A, C, D — 1</w:t>
            </w:r>
          </w:p>
        </w:tc>
        <w:tc>
          <w:tcPr/>
          <w:p>
            <w:pPr>
              <w:pStyle w:val="Compact"/>
              <w:jc w:val="left"/>
            </w:pPr>
            <w:r>
              <w:t xml:space="preserve">ℵ — 29</w:t>
            </w:r>
          </w:p>
        </w:tc>
      </w:tr>
      <w:tr>
        <w:tc>
          <w:tcPr/>
          <w:p>
            <w:pPr>
              <w:pStyle w:val="Compact"/>
              <w:jc w:val="left"/>
            </w:pPr>
            <w:r>
              <w:t xml:space="preserve">D — 5</w:t>
            </w:r>
          </w:p>
        </w:tc>
        <w:tc>
          <w:tcPr/>
          <w:p>
            <w:pPr>
              <w:pStyle w:val="Compact"/>
              <w:jc w:val="left"/>
            </w:pPr>
            <w:r>
              <w:t xml:space="preserve">P</w:t>
            </w:r>
            <w:r>
              <w:rPr>
                <w:vertAlign w:val="superscript"/>
              </w:rPr>
              <w:t xml:space="preserve">45</w:t>
            </w:r>
            <w:r>
              <w:t xml:space="preserve">ℵ, A, B — 1</w:t>
            </w:r>
          </w:p>
        </w:tc>
        <w:tc>
          <w:tcPr/>
          <w:p>
            <w:pPr>
              <w:pStyle w:val="Compact"/>
              <w:jc w:val="left"/>
            </w:pPr>
            <w:r>
              <w:t xml:space="preserve">A — 42</w:t>
            </w:r>
          </w:p>
        </w:tc>
      </w:tr>
      <w:tr>
        <w:tc>
          <w:tcPr/>
          <w:p>
            <w:pPr>
              <w:pStyle w:val="Compact"/>
              <w:jc w:val="left"/>
            </w:pPr>
            <w:r>
              <w:t xml:space="preserve">P</w:t>
            </w:r>
            <w:r>
              <w:rPr>
                <w:vertAlign w:val="superscript"/>
              </w:rPr>
              <w:t xml:space="preserve">45</w:t>
            </w:r>
            <w:r>
              <w:t xml:space="preserve">A — 1</w:t>
            </w:r>
          </w:p>
        </w:tc>
        <w:tc>
          <w:tcPr/>
          <w:p>
            <w:pPr>
              <w:pStyle w:val="Compact"/>
              <w:jc w:val="left"/>
            </w:pPr>
            <w:r>
              <w:t xml:space="preserve">ℵ, A, B, C — 8</w:t>
            </w:r>
          </w:p>
        </w:tc>
        <w:tc>
          <w:tcPr/>
          <w:p>
            <w:pPr>
              <w:pStyle w:val="Compact"/>
              <w:jc w:val="left"/>
            </w:pPr>
            <w:r>
              <w:t xml:space="preserve">B — 33</w:t>
            </w:r>
          </w:p>
        </w:tc>
      </w:tr>
      <w:tr>
        <w:tc>
          <w:tcPr/>
          <w:p>
            <w:pPr>
              <w:pStyle w:val="Compact"/>
              <w:jc w:val="left"/>
            </w:pPr>
            <w:r>
              <w:t xml:space="preserve">ℵ, A — 2</w:t>
            </w:r>
          </w:p>
        </w:tc>
        <w:tc>
          <w:tcPr/>
          <w:p>
            <w:pPr>
              <w:pStyle w:val="Compact"/>
              <w:jc w:val="left"/>
            </w:pPr>
            <w:r>
              <w:t xml:space="preserve">ℵ, A, B, D — 2</w:t>
            </w:r>
          </w:p>
        </w:tc>
        <w:tc>
          <w:tcPr/>
          <w:p>
            <w:pPr>
              <w:pStyle w:val="Compact"/>
              <w:jc w:val="left"/>
            </w:pPr>
            <w:r>
              <w:t xml:space="preserve">C — 20</w:t>
            </w:r>
          </w:p>
        </w:tc>
      </w:tr>
      <w:tr>
        <w:tc>
          <w:tcPr/>
          <w:p>
            <w:pPr>
              <w:pStyle w:val="Compact"/>
              <w:jc w:val="left"/>
            </w:pPr>
            <w:r>
              <w:t xml:space="preserve">ℵ, B — 1</w:t>
            </w:r>
          </w:p>
        </w:tc>
        <w:tc>
          <w:tcPr/>
          <w:p>
            <w:pPr>
              <w:pStyle w:val="Compact"/>
              <w:jc w:val="left"/>
            </w:pPr>
            <w:r>
              <w:t xml:space="preserve">A, B, C, D — 1</w:t>
            </w:r>
          </w:p>
        </w:tc>
        <w:tc>
          <w:tcPr/>
          <w:p>
            <w:pPr>
              <w:pStyle w:val="Compact"/>
              <w:jc w:val="left"/>
            </w:pPr>
            <w:r>
              <w:t xml:space="preserve">D — 16</w:t>
            </w:r>
          </w:p>
        </w:tc>
      </w:tr>
      <w:tr>
        <w:tc>
          <w:tcPr/>
          <w:p>
            <w:pPr>
              <w:pStyle w:val="Compact"/>
              <w:jc w:val="left"/>
            </w:pPr>
            <w:r>
              <w:t xml:space="preserve">A, D — 1</w:t>
            </w:r>
          </w:p>
        </w:tc>
        <w:tc>
          <w:tcPr/>
          <w:p>
            <w:pPr>
              <w:pStyle w:val="Compact"/>
              <w:jc w:val="left"/>
            </w:pPr>
            <w:r>
              <w:t xml:space="preserve">P</w:t>
            </w:r>
            <w:r>
              <w:rPr>
                <w:vertAlign w:val="superscript"/>
              </w:rPr>
              <w:t xml:space="preserve">8</w:t>
            </w:r>
            <w:r>
              <w:t xml:space="preserve">ℵ, A, B, D — 1</w:t>
            </w:r>
          </w:p>
        </w:tc>
        <w:tc>
          <w:tcPr/>
          <w:p>
            <w:pPr>
              <w:pStyle w:val="Compact"/>
              <w:jc w:val="left"/>
            </w:pPr>
            <w:r>
              <w:t xml:space="preserve">0165 — 1</w:t>
            </w:r>
          </w:p>
        </w:tc>
      </w:tr>
      <w:tr>
        <w:tc>
          <w:tcPr/>
          <w:p>
            <w:pPr>
              <w:pStyle w:val="Compact"/>
              <w:jc w:val="left"/>
            </w:pPr>
            <w:r>
              <w:t xml:space="preserve">A, 0165 — 1</w:t>
            </w:r>
          </w:p>
        </w:tc>
        <w:tc>
          <w:tcPr/>
          <w:p>
            <w:pPr>
              <w:pStyle w:val="Compact"/>
              <w:jc w:val="left"/>
            </w:pPr>
            <w:r>
              <w:t xml:space="preserve">P</w:t>
            </w:r>
            <w:r>
              <w:rPr>
                <w:vertAlign w:val="superscript"/>
              </w:rPr>
              <w:t xml:space="preserve">45</w:t>
            </w:r>
            <w:r>
              <w:t xml:space="preserve">ℵ, A, B, C — 1</w:t>
            </w:r>
          </w:p>
        </w:tc>
        <w:tc>
          <w:tcPr/>
          <w:p>
            <w:pPr>
              <w:pStyle w:val="Compact"/>
            </w:pPr>
          </w:p>
        </w:tc>
      </w:tr>
      <w:tr>
        <w:tc>
          <w:tcPr/>
          <w:p>
            <w:pPr>
              <w:pStyle w:val="Compact"/>
              <w:jc w:val="left"/>
            </w:pPr>
            <w:r>
              <w:t xml:space="preserve">B, D — 2</w:t>
            </w:r>
          </w:p>
        </w:tc>
        <w:tc>
          <w:tcPr/>
          <w:p>
            <w:pPr>
              <w:pStyle w:val="Compact"/>
              <w:jc w:val="left"/>
            </w:pPr>
            <w:r>
              <w:t xml:space="preserve">P</w:t>
            </w:r>
            <w:r>
              <w:rPr>
                <w:vertAlign w:val="superscript"/>
              </w:rPr>
              <w:t xml:space="preserve">48</w:t>
            </w:r>
            <w:r>
              <w:t xml:space="preserve">ℵ, A, B, C — 1</w:t>
            </w:r>
          </w:p>
        </w:tc>
        <w:tc>
          <w:tcPr/>
          <w:p>
            <w:pPr>
              <w:pStyle w:val="Compact"/>
            </w:pPr>
          </w:p>
        </w:tc>
      </w:tr>
      <w:tr>
        <w:tc>
          <w:tcPr/>
          <w:p>
            <w:pPr>
              <w:pStyle w:val="Compact"/>
              <w:jc w:val="left"/>
            </w:pPr>
            <w:r>
              <w:t xml:space="preserve">P</w:t>
            </w:r>
            <w:r>
              <w:rPr>
                <w:vertAlign w:val="superscript"/>
              </w:rPr>
              <w:t xml:space="preserve">45</w:t>
            </w:r>
            <w:r>
              <w:t xml:space="preserve">A, B — 1</w:t>
            </w:r>
          </w:p>
        </w:tc>
        <w:tc>
          <w:tcPr/>
          <w:p>
            <w:pPr>
              <w:pStyle w:val="Compact"/>
              <w:jc w:val="left"/>
            </w:pPr>
            <w:r>
              <w:t xml:space="preserve">ℵ, A, B, C, D — 2</w:t>
            </w:r>
          </w:p>
        </w:tc>
        <w:tc>
          <w:tcPr/>
          <w:p>
            <w:pPr>
              <w:pStyle w:val="Compact"/>
            </w:pPr>
          </w:p>
        </w:tc>
      </w:tr>
    </w:tbl>
    <w:p>
      <w:pPr>
        <w:pStyle w:val="BodyText"/>
      </w:pPr>
      <w:r>
        <w:t xml:space="preserve">Zauważ poświadczenie ze strony trzech wielkich kodeksów „aleksandryjskich”. Jak mogłyby wspierać coś wytworzonego w XII wieku? Powiem to ponownie: jak manuskrypty z IV wieku mogłyby wspierać coś, co nie istniało aż do XII wieku? Spośród łącznie 131 zestawów</w:t>
      </w:r>
      <w:r>
        <w:t xml:space="preserve"> </w:t>
      </w:r>
      <w:r>
        <w:rPr>
          <w:bCs/>
          <w:b/>
        </w:rPr>
        <w:t xml:space="preserve">f</w:t>
      </w:r>
      <w:r>
        <w:rPr>
          <w:vertAlign w:val="superscript"/>
          <w:bCs/>
          <w:b/>
        </w:rPr>
        <w:t xml:space="preserve">35</w:t>
      </w:r>
      <w:r>
        <w:t xml:space="preserve"> </w:t>
      </w:r>
      <w:r>
        <w:t xml:space="preserve">występuje sama 68 razy (52%), a 63 razy ma pewne wczesne poświadczenie (48%). Także tutaj</w:t>
      </w:r>
      <w:r>
        <w:t xml:space="preserve"> </w:t>
      </w:r>
      <w:r>
        <w:rPr>
          <w:bCs/>
          <w:b/>
        </w:rPr>
        <w:t xml:space="preserve">f</w:t>
      </w:r>
      <w:r>
        <w:rPr>
          <w:vertAlign w:val="superscript"/>
          <w:bCs/>
          <w:b/>
        </w:rPr>
        <w:t xml:space="preserve">35</w:t>
      </w:r>
      <w:r>
        <w:t xml:space="preserve"> </w:t>
      </w:r>
      <w:r>
        <w:t xml:space="preserve">jest niezależna od linii przekazu reprezentowanych przez uwzględnione przeze mnie wczesne manuskrypty, nie istnieje więc żaden wzorzec. Skoro nie istnieje wzorzec, nie istnieje zależność, a zatem</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musi być starożytny i sięgać co najmniej IV wieku. Skoro nie istnieje wzorzec ani zależność, nie można twierdzić, że starożytne są jedynie poszczególne odczyty. Powtarzam: dowody wskazują, że niemożliwe jest, aby</w:t>
      </w:r>
      <w:r>
        <w:t xml:space="preserve"> </w:t>
      </w:r>
      <w:r>
        <w:rPr>
          <w:bCs/>
          <w:b/>
        </w:rPr>
        <w:t xml:space="preserve">f</w:t>
      </w:r>
      <w:r>
        <w:rPr>
          <w:vertAlign w:val="superscript"/>
          <w:bCs/>
          <w:b/>
        </w:rPr>
        <w:t xml:space="preserve">35</w:t>
      </w:r>
      <w:r>
        <w:t xml:space="preserve"> </w:t>
      </w:r>
      <w:r>
        <w:t xml:space="preserve">była oparta na masie bizantyjskiej. Każdy, kto nadal tak twierdzi, jest w najlepszym razie niedoinformowany.</w:t>
      </w:r>
      <w:r>
        <w:t xml:space="preserve"> </w:t>
      </w:r>
      <w:r>
        <w:rPr>
          <w:bCs/>
          <w:b/>
        </w:rPr>
        <w:t xml:space="preserve">K</w:t>
      </w:r>
      <w:r>
        <w:rPr>
          <w:vertAlign w:val="superscript"/>
          <w:bCs/>
          <w:b/>
        </w:rPr>
        <w:t xml:space="preserve">r</w:t>
      </w:r>
      <w:r>
        <w:t xml:space="preserve"> </w:t>
      </w:r>
      <w:r>
        <w:t xml:space="preserve">von Sodena należy wycofać i zastąpić przez</w:t>
      </w:r>
      <w:r>
        <w:t xml:space="preserve"> </w:t>
      </w:r>
      <w:r>
        <w:rPr>
          <w:bCs/>
          <w:b/>
        </w:rPr>
        <w:t xml:space="preserve">f</w:t>
      </w:r>
      <w:r>
        <w:rPr>
          <w:vertAlign w:val="superscript"/>
          <w:bCs/>
          <w:b/>
        </w:rPr>
        <w:t xml:space="preserve">35</w:t>
      </w:r>
      <w:r>
        <w:t xml:space="preserve"> </w:t>
      </w:r>
      <w:r>
        <w:t xml:space="preserve">albo</w:t>
      </w:r>
      <w:r>
        <w:t xml:space="preserve"> </w:t>
      </w:r>
      <w:r>
        <w:rPr>
          <w:bCs/>
          <w:b/>
        </w:rPr>
        <w:t xml:space="preserve">f</w:t>
      </w:r>
      <w:r>
        <w:rPr>
          <w:vertAlign w:val="superscript"/>
          <w:bCs/>
          <w:b/>
        </w:rPr>
        <w:t xml:space="preserve">18</w:t>
      </w:r>
      <w:r>
        <w:t xml:space="preserve">.</w:t>
      </w:r>
    </w:p>
    <w:bookmarkEnd w:id="242"/>
    <w:bookmarkEnd w:id="243"/>
    <w:bookmarkStart w:id="256" w:name="Xe17f905824097e298a0800dc5761a07bcbdc942"/>
    <w:p>
      <w:pPr>
        <w:pStyle w:val="Heading2"/>
      </w:pPr>
      <w:r>
        <w:t xml:space="preserve">Precz z kaczkami dziennikarskimi!</w:t>
      </w:r>
      <w:r>
        <w:rPr>
          <w:rStyle w:val="FootnoteReference"/>
        </w:rPr>
        <w:footnoteReference w:id="244"/>
      </w:r>
    </w:p>
    <w:p>
      <w:pPr>
        <w:pStyle w:val="BodyText"/>
      </w:pPr>
      <w:r>
        <w:t xml:space="preserve">Dawno, dawno temu pewien starszy profesor greki w pewnym seminarium teologicznym przesłał mi osobistą wiadomość, w której stwierdził: „Wraz z niemal wszystkimi innymi uważam, że</w:t>
      </w:r>
      <w:r>
        <w:t xml:space="preserve"> </w:t>
      </w:r>
      <w:r>
        <w:rPr>
          <w:bCs/>
          <w:b/>
        </w:rPr>
        <w:t xml:space="preserve">K</w:t>
      </w:r>
      <w:r>
        <w:rPr>
          <w:vertAlign w:val="superscript"/>
          <w:bCs/>
          <w:b/>
        </w:rPr>
        <w:t xml:space="preserve">r</w:t>
      </w:r>
      <w:r>
        <w:t xml:space="preserve">/</w:t>
      </w:r>
      <w:r>
        <w:rPr>
          <w:bCs/>
          <w:b/>
        </w:rPr>
        <w:t xml:space="preserve">M</w:t>
      </w:r>
      <w:r>
        <w:rPr>
          <w:vertAlign w:val="superscript"/>
          <w:bCs/>
          <w:b/>
        </w:rPr>
        <w:t xml:space="preserve">7</w:t>
      </w:r>
      <w:r>
        <w:t xml:space="preserve"> </w:t>
      </w:r>
      <w:r>
        <w:t xml:space="preserve">są rzeczywiście późnymi tekstami, odzwierciedlającymi działalność recenzyjną, która rozpoczęła się ogólnie w XII wieku (być może z bazowymi egzemplarzami z XI wieku, ale nie wcześniejszymi)”. Następnie inny profesor greki przesłał mi kolejną osobistą wiadomość: „Wszystko to oparte, ze wszystkich możliwych rzeczy, na nurcie</w:t>
      </w:r>
      <w:r>
        <w:t xml:space="preserve"> </w:t>
      </w:r>
      <w:r>
        <w:rPr>
          <w:bCs/>
          <w:b/>
        </w:rPr>
        <w:t xml:space="preserve">K</w:t>
      </w:r>
      <w:r>
        <w:rPr>
          <w:vertAlign w:val="superscript"/>
          <w:bCs/>
          <w:b/>
        </w:rPr>
        <w:t xml:space="preserve">r</w:t>
      </w:r>
      <w:r>
        <w:t xml:space="preserve">? Krytycy tekstu, którzy pracowali nad tym nurtem, wszyscy wcześniej mówili, że był on najstarszy (</w:t>
      </w:r>
      <w:r>
        <w:rPr>
          <w:iCs/>
          <w:i/>
        </w:rPr>
        <w:t xml:space="preserve">sic</w:t>
      </w:r>
      <w:r>
        <w:t xml:space="preserve">, przypuszczalnie miał na myśli „najpóźniejszy”), ale teraz twierdzi pan, że doskonale reprezentuje autograf? Czy istnieją manuskrypty</w:t>
      </w:r>
      <w:r>
        <w:t xml:space="preserve"> </w:t>
      </w:r>
      <w:r>
        <w:rPr>
          <w:bCs/>
          <w:b/>
        </w:rPr>
        <w:t xml:space="preserve">K</w:t>
      </w:r>
      <w:r>
        <w:rPr>
          <w:vertAlign w:val="superscript"/>
          <w:bCs/>
          <w:b/>
        </w:rPr>
        <w:t xml:space="preserve">r</w:t>
      </w:r>
      <w:r>
        <w:t xml:space="preserve"> </w:t>
      </w:r>
      <w:r>
        <w:t xml:space="preserve">sprzed X-XI wieku?” (Obaj zacytowani wyżej mężczyźni mają doktorat z krytyki tekstu Nowego Testamentu i chciałoby się sądzić, że sprawdzili dowody).</w:t>
      </w:r>
    </w:p>
    <w:p>
      <w:pPr>
        <w:pStyle w:val="BodyText"/>
      </w:pPr>
      <w:r>
        <w:t xml:space="preserve">Rozważ następującą wypowiedź Kirsoppa Lake’a:</w:t>
      </w:r>
    </w:p>
    <w:p>
      <w:pPr>
        <w:pStyle w:val="BlockText"/>
      </w:pPr>
      <w:r>
        <w:t xml:space="preserve">Autorzy piszący o tekście Nowego Testamentu zazwyczaj przepisują od siebie nawzajem stwierdzenie, że Chryzostom posługiwał się tekstem bizantyjskim lub antiocheńskim. Gdy jednak tylko podejmie się jakiekolwiek badanie, nawet na podstawie drukowanego tekstu jego dzieł staje się oczywiste, że w cytowanym przez niego tekście występuje wiele istotnych wariantów i że najwyraźniej nie był on identyczny z tekstem znajdującym się w manuskryptach tekstu bizantyjskiego.</w:t>
      </w:r>
      <w:r>
        <w:rPr>
          <w:rStyle w:val="FootnoteReference"/>
        </w:rPr>
        <w:footnoteReference w:id="245"/>
      </w:r>
    </w:p>
    <w:p>
      <w:pPr>
        <w:pStyle w:val="FirstParagraph"/>
      </w:pPr>
      <w:r>
        <w:t xml:space="preserve">Spędziwszy samemu od czasu do czasu rok w tajemnych korytarzach środowiska akademickiego, zauważyłem, że bezkrytyczne powtarzanie rzeczy, które „wszyscy wiedzą”, jest naprawdę dość powszechne niemal w każdej dyscyplinie. Jak zauważył wyżej Lake, krytyka tekstu Nowego Testamentu nie stanowi wyjątku.</w:t>
      </w:r>
    </w:p>
    <w:p>
      <w:pPr>
        <w:pStyle w:val="BodyText"/>
      </w:pPr>
      <w:r>
        <w:t xml:space="preserve">Przyjmuję, że Hermann von Soden jako pierwszy formalnie zidentyfikował swój</w:t>
      </w:r>
      <w:r>
        <w:t xml:space="preserve"> </w:t>
      </w:r>
      <w:r>
        <w:rPr>
          <w:bCs/>
          <w:b/>
        </w:rPr>
        <w:t xml:space="preserve">K</w:t>
      </w:r>
      <w:r>
        <w:rPr>
          <w:vertAlign w:val="superscript"/>
          <w:bCs/>
          <w:b/>
        </w:rPr>
        <w:t xml:space="preserve">r</w:t>
      </w:r>
      <w:r>
        <w:t xml:space="preserve"> </w:t>
      </w:r>
      <w:r>
        <w:t xml:space="preserve">jako odrębny typ tekstu, przy czym „r” oznaczało „rewizję”, ponieważ uważał go za rewizję opartą na swoim</w:t>
      </w:r>
      <w:r>
        <w:t xml:space="preserve"> </w:t>
      </w:r>
      <w:r>
        <w:rPr>
          <w:bCs/>
          <w:b/>
        </w:rPr>
        <w:t xml:space="preserve">K</w:t>
      </w:r>
      <w:r>
        <w:rPr>
          <w:vertAlign w:val="superscript"/>
          <w:bCs/>
          <w:b/>
        </w:rPr>
        <w:t xml:space="preserve">x</w:t>
      </w:r>
      <w:r>
        <w:t xml:space="preserve">. Otóż z definicji „rewizji” dokonuje konkretna osoba, w konkretnym czasie i w konkretnym miejscu. Rozumiem, że w naszej dyscyplinie „rewizja” i „recenzja” są synonimami. Rozważ: „Tekst syryjski musi być w istocie wynikiem «recenzji» we właściwym znaczeniu tego słowa, dziełem zamierzonej krytyki, przeprowadzonej celowo przez redaktorów, a nie jedynie przez skrybów”.</w:t>
      </w:r>
      <w:r>
        <w:rPr>
          <w:rStyle w:val="FootnoteReference"/>
        </w:rPr>
        <w:footnoteReference w:id="246"/>
      </w:r>
      <w:r>
        <w:t xml:space="preserve"> </w:t>
      </w:r>
      <w:r>
        <w:t xml:space="preserve">Nie mam zwyczaju odwoływać się do Fentona Johna Anthony’ego Horta, ale jego rozumienie „recenzji” jest przypuszczalnie poprawne. Recenzję tworzy określona osoba (lub grupa) w określonym czasie i miejscu. Jeśli ktoś chce postulować lub twierdzić, że dokonano recenzji/rewizji, i robić to odpowiedzialnie, musi wskazać źródło oraz przedstawić pewne dowody.</w:t>
      </w:r>
      <w:r>
        <w:rPr>
          <w:rStyle w:val="FootnoteReference"/>
        </w:rPr>
        <w:footnoteReference w:id="247"/>
      </w:r>
    </w:p>
    <w:p>
      <w:pPr>
        <w:pStyle w:val="BodyText"/>
      </w:pPr>
      <w:r>
        <w:t xml:space="preserve">Na jakiej zatem podstawie von Soden twierdził, że jego</w:t>
      </w:r>
      <w:r>
        <w:t xml:space="preserve"> </w:t>
      </w:r>
      <w:r>
        <w:rPr>
          <w:bCs/>
          <w:b/>
        </w:rPr>
        <w:t xml:space="preserve">K</w:t>
      </w:r>
      <w:r>
        <w:rPr>
          <w:vertAlign w:val="superscript"/>
          <w:bCs/>
          <w:b/>
        </w:rPr>
        <w:t xml:space="preserve">r</w:t>
      </w:r>
      <w:r>
        <w:t xml:space="preserve"> </w:t>
      </w:r>
      <w:r>
        <w:t xml:space="preserve">(który nazywam Rodziną 35) był rewizją jego</w:t>
      </w:r>
      <w:r>
        <w:t xml:space="preserve"> </w:t>
      </w:r>
      <w:r>
        <w:rPr>
          <w:bCs/>
          <w:b/>
        </w:rPr>
        <w:t xml:space="preserve">K</w:t>
      </w:r>
      <w:r>
        <w:rPr>
          <w:vertAlign w:val="superscript"/>
          <w:bCs/>
          <w:b/>
        </w:rPr>
        <w:t xml:space="preserve">x</w:t>
      </w:r>
      <w:r>
        <w:t xml:space="preserve"> </w:t>
      </w:r>
      <w:r>
        <w:t xml:space="preserve">i powstał w XII wieku? Gdyby rzeczywiście zwrócił uwagę na dowody dostępne w jego własnym</w:t>
      </w:r>
      <w:r>
        <w:t xml:space="preserve"> </w:t>
      </w:r>
      <w:r>
        <w:rPr>
          <w:iCs/>
          <w:i/>
        </w:rPr>
        <w:t xml:space="preserve">magnum opus</w:t>
      </w:r>
      <w:r>
        <w:t xml:space="preserve">,</w:t>
      </w:r>
      <w:r>
        <w:t xml:space="preserve"> </w:t>
      </w:r>
      <w:r>
        <w:rPr>
          <w:iCs/>
          <w:i/>
        </w:rPr>
        <w:t xml:space="preserve">Die Schriften des Neuen Testaments</w:t>
      </w:r>
      <w:r>
        <w:t xml:space="preserve"> </w:t>
      </w:r>
      <w:r>
        <w:t xml:space="preserve">(4 tomy, Getynga: Vandenhoeck und Ruprecht, 1911-1913), nie mógłby tego uczynić, przynajmniej nie uczciwie. Czy jednak był uczciwy? Przynajmniej w odniesieniu do Ewangelii Jana 7,53-8,11 (</w:t>
      </w:r>
      <w:r>
        <w:rPr>
          <w:iCs/>
          <w:i/>
        </w:rPr>
        <w:t xml:space="preserve">PA</w:t>
      </w:r>
      <w:r>
        <w:t xml:space="preserve">) sądzę, że nie. Twierdził, że skolacjonował około 900 manuskryptów dla tej perykopy, i na tej podstawie postulował siedem rodzin lub linii przekazu, a nawet odtworzył rzekomą archetypalną formę każdej z nich. Hodges i Farstad uwierzyli mu na słowo i odzwierciedlili jego przedstawienie dowodów w swoim aparacie krytycznym, ja zaś, z braku czegoś lepszego, odzwierciedlam aparat H-F w swoim aparacie (dla tej perykopy), z tym wyjątkiem, że gwarantuję świadectwo</w:t>
      </w:r>
      <w:r>
        <w:t xml:space="preserve"> </w:t>
      </w:r>
      <w:r>
        <w:rPr>
          <w:bCs/>
          <w:b/>
        </w:rPr>
        <w:t xml:space="preserve">M</w:t>
      </w:r>
      <w:r>
        <w:rPr>
          <w:vertAlign w:val="superscript"/>
          <w:bCs/>
          <w:b/>
        </w:rPr>
        <w:t xml:space="preserve">7</w:t>
      </w:r>
      <w:r>
        <w:t xml:space="preserve"> </w:t>
      </w:r>
      <w:r>
        <w:t xml:space="preserve">(mojej Rodziny 35) na podstawie osobistego zbadania kolacjonowań Robinsona, zobacz niżej.</w:t>
      </w:r>
    </w:p>
    <w:p>
      <w:pPr>
        <w:pStyle w:val="BodyText"/>
      </w:pPr>
      <w:r>
        <w:t xml:space="preserve">Jednak kilka lat temu Maurice Robinson przeprowadził pełne kolacjonowanie 1389 manuskryptów zawierających</w:t>
      </w:r>
      <w:r>
        <w:t xml:space="preserve"> </w:t>
      </w:r>
      <w:r>
        <w:rPr>
          <w:iCs/>
          <w:i/>
        </w:rPr>
        <w:t xml:space="preserve">PA</w:t>
      </w:r>
      <w:r>
        <w:t xml:space="preserve">,</w:t>
      </w:r>
      <w:r>
        <w:rPr>
          <w:rStyle w:val="FootnoteReference"/>
        </w:rPr>
        <w:footnoteReference w:id="248"/>
      </w:r>
      <w:r>
        <w:t xml:space="preserve"> </w:t>
      </w:r>
      <w:r>
        <w:t xml:space="preserve">a ja przez dwa miesiące miałem w swoim posiadaniu fotokopię tych kolacjonowań należącą do Williama Pierponta i większość tego czasu spędziłem na ich badaniu. Gdy to robiłem, stało się dla mnie oczywiste, że von Soden „uregulował” dane, arbitralnie „tworząc” rzekomą archetypalną formę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i mają odrębne profile, ale są nieco „grząskie”, z wystarczającym pomieszaniem wewnętrznym, aby wybór formy archetypalnej był arbitralny. W przeciwieństwie do powyższych jego</w:t>
      </w:r>
      <w:r>
        <w:t xml:space="preserve"> </w:t>
      </w:r>
      <w:r>
        <w:rPr>
          <w:bCs/>
          <w:b/>
        </w:rPr>
        <w:t xml:space="preserve">M</w:t>
      </w:r>
      <w:r>
        <w:rPr>
          <w:vertAlign w:val="superscript"/>
          <w:bCs/>
          <w:b/>
        </w:rPr>
        <w:t xml:space="preserve">7</w:t>
      </w:r>
      <w:r>
        <w:t xml:space="preserve"> </w:t>
      </w:r>
      <w:r>
        <w:t xml:space="preserve">(którą nazywam Rodziną 35) ma stabilny, jednoznaczny profil — forma archetypalna jest możliwa do wykazania, ustalona empirycznie.</w:t>
      </w:r>
    </w:p>
    <w:p>
      <w:pPr>
        <w:pStyle w:val="BodyText"/>
      </w:pPr>
      <w:r>
        <w:t xml:space="preserve">Dawno, dawno temu zostałem doprowadzony do przekonania, że praca von Sodena była stosunkowo wiarygodna. Było to ważne, ponieważ jego praca stanowi podstawę zarówno wydania Tekstu Większościowego Hodgesa-Farstada, jak i Robinsona-Pierponta. Kolacjonowania</w:t>
      </w:r>
      <w:r>
        <w:t xml:space="preserve"> </w:t>
      </w:r>
      <w:r>
        <w:rPr>
          <w:iCs/>
          <w:i/>
        </w:rPr>
        <w:t xml:space="preserve">Text und Textwert</w:t>
      </w:r>
      <w:r>
        <w:t xml:space="preserve"> </w:t>
      </w:r>
      <w:r>
        <w:t xml:space="preserve">(</w:t>
      </w:r>
      <w:r>
        <w:rPr>
          <w:iCs/>
          <w:i/>
        </w:rPr>
        <w:t xml:space="preserve">TuT</w:t>
      </w:r>
      <w:r>
        <w:t xml:space="preserve">)</w:t>
      </w:r>
      <w:r>
        <w:rPr>
          <w:rStyle w:val="FootnoteReference"/>
        </w:rPr>
        <w:footnoteReference w:id="249"/>
      </w:r>
      <w:r>
        <w:t xml:space="preserve"> </w:t>
      </w:r>
      <w:r>
        <w:t xml:space="preserve">wykazują jednak obiektywnie, że von Soden nierzadko poważnie mija się z celem. W odniesieniu do potraktowania kodeksu 223 przez von Sodena K.W. Clark napisał: „Ponadto nasze kolacjonowanie ujawniło sześćdziesiąt dwa błędy w 229 odczytach uwzględnionych przez von Sodena”.</w:t>
      </w:r>
      <w:r>
        <w:rPr>
          <w:rStyle w:val="FootnoteReference"/>
        </w:rPr>
        <w:footnoteReference w:id="250"/>
      </w:r>
      <w:r>
        <w:t xml:space="preserve"> </w:t>
      </w:r>
      <w:r>
        <w:t xml:space="preserve">27% błędów (62 ÷ 229) to zdecydowanie zbyt wiele, a to, co jest prawdą o manuskrypcie 223, może być prawdą również o innych manuskryptach. Proszę, zatrzymaj się i pomyśl o tym przez chwilę. 27% błędów nie można przypisać zwykłej nieuwadze ani nawet niedbałości, zwykła nieuwaga nie powinna przekraczać 5%. Naprawdę wygląda to tak, jakby czytelnik był celowo wprowadzany w błąd, a to jest nieuczciwe. H.C. Hoskier nie mylił się całkowicie w swojej ocenie.</w:t>
      </w:r>
    </w:p>
    <w:p>
      <w:pPr>
        <w:pStyle w:val="BodyText"/>
      </w:pPr>
      <w:r>
        <w:t xml:space="preserve">Co więcej, jak</w:t>
      </w:r>
      <w:r>
        <w:t xml:space="preserve"> </w:t>
      </w:r>
      <w:r>
        <w:rPr>
          <w:bCs/>
          <w:b/>
        </w:rPr>
        <w:t xml:space="preserve">K</w:t>
      </w:r>
      <w:r>
        <w:rPr>
          <w:vertAlign w:val="superscript"/>
          <w:bCs/>
          <w:b/>
        </w:rPr>
        <w:t xml:space="preserve">r</w:t>
      </w:r>
      <w:r>
        <w:t xml:space="preserve"> </w:t>
      </w:r>
      <w:r>
        <w:t xml:space="preserve">mógłby być rewizją</w:t>
      </w:r>
      <w:r>
        <w:t xml:space="preserve"> </w:t>
      </w:r>
      <w:r>
        <w:rPr>
          <w:bCs/>
          <w:b/>
        </w:rPr>
        <w:t xml:space="preserve">K</w:t>
      </w:r>
      <w:r>
        <w:rPr>
          <w:vertAlign w:val="superscript"/>
          <w:bCs/>
          <w:b/>
        </w:rPr>
        <w:t xml:space="preserve">x</w:t>
      </w:r>
      <w:r>
        <w:t xml:space="preserve">, skoro</w:t>
      </w:r>
      <w:r>
        <w:t xml:space="preserve"> </w:t>
      </w:r>
      <w:r>
        <w:rPr>
          <w:bCs/>
          <w:b/>
        </w:rPr>
        <w:t xml:space="preserve">K</w:t>
      </w:r>
      <w:r>
        <w:rPr>
          <w:vertAlign w:val="superscript"/>
          <w:bCs/>
          <w:b/>
        </w:rPr>
        <w:t xml:space="preserve">x</w:t>
      </w:r>
      <w:r>
        <w:t xml:space="preserve"> </w:t>
      </w:r>
      <w:r>
        <w:t xml:space="preserve">nawet nie istnieje? Sam Soden doskonale wiedział, że w</w:t>
      </w:r>
      <w:r>
        <w:t xml:space="preserve"> </w:t>
      </w:r>
      <w:r>
        <w:rPr>
          <w:iCs/>
          <w:i/>
        </w:rPr>
        <w:t xml:space="preserve">PA</w:t>
      </w:r>
      <w:r>
        <w:t xml:space="preserve"> </w:t>
      </w:r>
      <w:r>
        <w:t xml:space="preserve">nie ma</w:t>
      </w:r>
      <w:r>
        <w:t xml:space="preserve"> </w:t>
      </w:r>
      <w:r>
        <w:rPr>
          <w:bCs/>
          <w:b/>
        </w:rPr>
        <w:t xml:space="preserve">K</w:t>
      </w:r>
      <w:r>
        <w:rPr>
          <w:vertAlign w:val="superscript"/>
          <w:bCs/>
          <w:b/>
        </w:rPr>
        <w:t xml:space="preserve">x</w:t>
      </w:r>
      <w:r>
        <w:t xml:space="preserve">. Kolacjonowania H.C. Hoskiera dowodzą, że</w:t>
      </w:r>
      <w:r>
        <w:t xml:space="preserve"> </w:t>
      </w:r>
      <w:r>
        <w:rPr>
          <w:bCs/>
          <w:b/>
        </w:rPr>
        <w:t xml:space="preserve">K</w:t>
      </w:r>
      <w:r>
        <w:rPr>
          <w:vertAlign w:val="superscript"/>
          <w:bCs/>
          <w:b/>
        </w:rPr>
        <w:t xml:space="preserve">x</w:t>
      </w:r>
      <w:r>
        <w:t xml:space="preserve"> </w:t>
      </w:r>
      <w:r>
        <w:t xml:space="preserve">z pewnością nie istnieje w Objawieniu Jana. Jesteśmy wdzięczni</w:t>
      </w:r>
      <w:r>
        <w:t xml:space="preserve"> </w:t>
      </w:r>
      <w:r>
        <w:rPr>
          <w:iCs/>
          <w:i/>
        </w:rPr>
        <w:t xml:space="preserve">Institut für Neutestamentliche Textforschung</w:t>
      </w:r>
      <w:r>
        <w:t xml:space="preserve"> </w:t>
      </w:r>
      <w:r>
        <w:t xml:space="preserve">za serię</w:t>
      </w:r>
      <w:r>
        <w:t xml:space="preserve"> </w:t>
      </w:r>
      <w:r>
        <w:rPr>
          <w:iCs/>
          <w:i/>
        </w:rPr>
        <w:t xml:space="preserve">Text und Textwert</w:t>
      </w:r>
      <w:r>
        <w:t xml:space="preserve">. Uważne przyjrzenie się ich kolacjonowaniom wskazuje, że</w:t>
      </w:r>
      <w:r>
        <w:t xml:space="preserve"> </w:t>
      </w:r>
      <w:r>
        <w:rPr>
          <w:bCs/>
          <w:b/>
        </w:rPr>
        <w:t xml:space="preserve">K</w:t>
      </w:r>
      <w:r>
        <w:rPr>
          <w:vertAlign w:val="superscript"/>
          <w:bCs/>
          <w:b/>
        </w:rPr>
        <w:t xml:space="preserve">x</w:t>
      </w:r>
      <w:r>
        <w:t xml:space="preserve"> </w:t>
      </w:r>
      <w:r>
        <w:t xml:space="preserve">prawdopodobnie nie istnieje nigdzie.</w:t>
      </w:r>
    </w:p>
    <w:p>
      <w:pPr>
        <w:pStyle w:val="BodyText"/>
      </w:pPr>
      <w:r>
        <w:t xml:space="preserve">Weźmy na przykład tomy</w:t>
      </w:r>
      <w:r>
        <w:t xml:space="preserve"> </w:t>
      </w:r>
      <w:r>
        <w:rPr>
          <w:iCs/>
          <w:i/>
        </w:rPr>
        <w:t xml:space="preserve">TuT</w:t>
      </w:r>
      <w:r>
        <w:t xml:space="preserve"> </w:t>
      </w:r>
      <w:r>
        <w:t xml:space="preserve">dotyczące rozdziałów 1-10 Ewangelii Jana. Zbadano w nich łącznie 1763 manuskrypty (dla 153 zestawów wariantów), a wyniki zamieszczono w dwóch tomach. Strony 54-90 (tom 1) zawierają „Grupowania według stopni zgodności”, „zgadzające się częściej ze sobą niż z tekstem większościowym”. Użyto tylko jednego symbolu grupy, właśnie</w:t>
      </w:r>
      <w:r>
        <w:t xml:space="preserve"> </w:t>
      </w:r>
      <w:r>
        <w:rPr>
          <w:bCs/>
          <w:b/>
        </w:rPr>
        <w:t xml:space="preserve">K</w:t>
      </w:r>
      <w:r>
        <w:rPr>
          <w:vertAlign w:val="superscript"/>
          <w:bCs/>
          <w:b/>
        </w:rPr>
        <w:t xml:space="preserve">r</w:t>
      </w:r>
      <w:r>
        <w:t xml:space="preserve"> </w:t>
      </w:r>
      <w:r>
        <w:t xml:space="preserve">— pierwszy przedstawiciel rodziny, manuskrypt 18, stoi na czele grupy około 120 manuskryptów, lecz wszyscy kolejni przedstawiciele mają tylko oznaczenie</w:t>
      </w:r>
      <w:r>
        <w:t xml:space="preserve"> </w:t>
      </w:r>
      <w:r>
        <w:rPr>
          <w:bCs/>
          <w:b/>
        </w:rPr>
        <w:t xml:space="preserve">K</w:t>
      </w:r>
      <w:r>
        <w:rPr>
          <w:vertAlign w:val="superscript"/>
          <w:bCs/>
          <w:b/>
        </w:rPr>
        <w:t xml:space="preserve">r</w:t>
      </w:r>
      <w:r>
        <w:t xml:space="preserve">. Spośród 120 ostatnich sześć wykazuje zgodność na poziomie 98%, wszystkie pozostałe na poziomie 99% (74) lub 100% (40). Powiedziałbym, że Rodzina 35 w Ewangeliach ma ponad 250 przedstawicieli, tutejszy ranking opiera się tylko na 153 zestawach wariantów (zobacz jednak, co dzieje się poniżej).</w:t>
      </w:r>
    </w:p>
    <w:p>
      <w:pPr>
        <w:pStyle w:val="BodyText"/>
      </w:pPr>
      <w:r>
        <w:t xml:space="preserve">Grupa, na której czele stoi manuskrypt 18, liczy 120 manuskryptów i jest jedyną, która otrzymuje symbol grupy, będąc zdecydowanie największą. Czy istnieją jednak inne grupy o znaczącej wielkości? Wymienię je teraz w kolejności malejącej, zaczynając od tych, które liczą 40 lub więcej: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Grupa</w:t>
            </w:r>
          </w:p>
        </w:tc>
        <w:tc>
          <w:tcPr/>
          <w:p>
            <w:pPr>
              <w:pStyle w:val="Compact"/>
              <w:jc w:val="right"/>
            </w:pPr>
            <w:r>
              <w:t xml:space="preserve">Wielkość</w:t>
            </w:r>
          </w:p>
        </w:tc>
        <w:tc>
          <w:tcPr/>
          <w:p>
            <w:pPr>
              <w:pStyle w:val="Compact"/>
              <w:jc w:val="left"/>
            </w:pPr>
            <w:r>
              <w:t xml:space="preserve">Spójność</w:t>
            </w:r>
          </w:p>
        </w:tc>
      </w:tr>
      <w:tr>
        <w:tc>
          <w:tcPr/>
          <w:p>
            <w:pPr>
              <w:pStyle w:val="Compact"/>
              <w:jc w:val="left"/>
            </w:pPr>
            <w:r>
              <w:t xml:space="preserve">2103</w:t>
            </w:r>
          </w:p>
        </w:tc>
        <w:tc>
          <w:tcPr/>
          <w:p>
            <w:pPr>
              <w:pStyle w:val="Compact"/>
              <w:jc w:val="right"/>
            </w:pPr>
            <w:r>
              <w:t xml:space="preserve">52</w:t>
            </w:r>
          </w:p>
        </w:tc>
        <w:tc>
          <w:tcPr/>
          <w:p>
            <w:pPr>
              <w:pStyle w:val="Compact"/>
              <w:jc w:val="left"/>
            </w:pPr>
            <w:r>
              <w:t xml:space="preserve">95% (15), 97% (20), 98% (13), 100% (4)</w:t>
            </w:r>
          </w:p>
        </w:tc>
      </w:tr>
      <w:tr>
        <w:tc>
          <w:tcPr/>
          <w:p>
            <w:pPr>
              <w:pStyle w:val="Compact"/>
              <w:jc w:val="left"/>
            </w:pPr>
            <w:r>
              <w:t xml:space="preserve">318</w:t>
            </w:r>
          </w:p>
        </w:tc>
        <w:tc>
          <w:tcPr/>
          <w:p>
            <w:pPr>
              <w:pStyle w:val="Compact"/>
              <w:jc w:val="right"/>
            </w:pPr>
            <w:r>
              <w:t xml:space="preserve">44</w:t>
            </w:r>
          </w:p>
        </w:tc>
        <w:tc>
          <w:tcPr/>
          <w:p>
            <w:pPr>
              <w:pStyle w:val="Compact"/>
              <w:jc w:val="left"/>
            </w:pPr>
            <w:r>
              <w:t xml:space="preserve">96% (1), 97% (24), 98% (6), 99% (10), 100% (4)</w:t>
            </w:r>
          </w:p>
        </w:tc>
      </w:tr>
      <w:tr>
        <w:tc>
          <w:tcPr/>
          <w:p>
            <w:pPr>
              <w:pStyle w:val="Compact"/>
              <w:jc w:val="left"/>
            </w:pPr>
            <w:r>
              <w:t xml:space="preserve">961</w:t>
            </w:r>
          </w:p>
        </w:tc>
        <w:tc>
          <w:tcPr/>
          <w:p>
            <w:pPr>
              <w:pStyle w:val="Compact"/>
              <w:jc w:val="right"/>
            </w:pPr>
            <w:r>
              <w:t xml:space="preserve">42</w:t>
            </w:r>
          </w:p>
        </w:tc>
        <w:tc>
          <w:tcPr/>
          <w:p>
            <w:pPr>
              <w:pStyle w:val="Compact"/>
              <w:jc w:val="left"/>
            </w:pPr>
            <w:r>
              <w:t xml:space="preserve">97% (1), 98% (4), 99% (34), 100% (3)</w:t>
            </w:r>
          </w:p>
        </w:tc>
      </w:tr>
      <w:tr>
        <w:tc>
          <w:tcPr/>
          <w:p>
            <w:pPr>
              <w:pStyle w:val="Compact"/>
              <w:jc w:val="left"/>
            </w:pPr>
            <w:r>
              <w:t xml:space="preserve">1576</w:t>
            </w:r>
          </w:p>
        </w:tc>
        <w:tc>
          <w:tcPr/>
          <w:p>
            <w:pPr>
              <w:pStyle w:val="Compact"/>
              <w:jc w:val="right"/>
            </w:pPr>
            <w:r>
              <w:t xml:space="preserve">42</w:t>
            </w:r>
          </w:p>
        </w:tc>
        <w:tc>
          <w:tcPr/>
          <w:p>
            <w:pPr>
              <w:pStyle w:val="Compact"/>
              <w:jc w:val="left"/>
            </w:pPr>
            <w:r>
              <w:t xml:space="preserve">97% (1), 98% (4), 99% (34), 100% (3)</w:t>
            </w:r>
          </w:p>
        </w:tc>
      </w:tr>
      <w:tr>
        <w:tc>
          <w:tcPr/>
          <w:p>
            <w:pPr>
              <w:pStyle w:val="Compact"/>
              <w:jc w:val="left"/>
            </w:pPr>
            <w:r>
              <w:t xml:space="preserve">1247</w:t>
            </w:r>
          </w:p>
        </w:tc>
        <w:tc>
          <w:tcPr/>
          <w:p>
            <w:pPr>
              <w:pStyle w:val="Compact"/>
              <w:jc w:val="right"/>
            </w:pPr>
            <w:r>
              <w:t xml:space="preserve">41</w:t>
            </w:r>
          </w:p>
        </w:tc>
        <w:tc>
          <w:tcPr/>
          <w:p>
            <w:pPr>
              <w:pStyle w:val="Compact"/>
              <w:jc w:val="left"/>
            </w:pPr>
            <w:r>
              <w:t xml:space="preserve">97% (1), 98% (4), 99% (33), 100% (3)</w:t>
            </w:r>
          </w:p>
        </w:tc>
      </w:tr>
      <w:tr>
        <w:tc>
          <w:tcPr/>
          <w:p>
            <w:pPr>
              <w:pStyle w:val="Compact"/>
              <w:jc w:val="left"/>
            </w:pPr>
            <w:r>
              <w:t xml:space="preserve">2692</w:t>
            </w:r>
          </w:p>
        </w:tc>
        <w:tc>
          <w:tcPr/>
          <w:p>
            <w:pPr>
              <w:pStyle w:val="Compact"/>
              <w:jc w:val="right"/>
            </w:pPr>
            <w:r>
              <w:t xml:space="preserve">41</w:t>
            </w:r>
          </w:p>
        </w:tc>
        <w:tc>
          <w:tcPr/>
          <w:p>
            <w:pPr>
              <w:pStyle w:val="Compact"/>
              <w:jc w:val="left"/>
            </w:pPr>
            <w:r>
              <w:t xml:space="preserve">97% (1), 98% (4), 99% (33), 100% (3)</w:t>
            </w:r>
          </w:p>
        </w:tc>
      </w:tr>
      <w:tr>
        <w:tc>
          <w:tcPr/>
          <w:p>
            <w:pPr>
              <w:pStyle w:val="Compact"/>
              <w:jc w:val="left"/>
            </w:pPr>
            <w:r>
              <w:t xml:space="preserve">1058</w:t>
            </w:r>
          </w:p>
        </w:tc>
        <w:tc>
          <w:tcPr/>
          <w:p>
            <w:pPr>
              <w:pStyle w:val="Compact"/>
              <w:jc w:val="right"/>
            </w:pPr>
            <w:r>
              <w:t xml:space="preserve">40</w:t>
            </w:r>
          </w:p>
        </w:tc>
        <w:tc>
          <w:tcPr/>
          <w:p>
            <w:pPr>
              <w:pStyle w:val="Compact"/>
              <w:jc w:val="left"/>
            </w:pPr>
            <w:r>
              <w:t xml:space="preserve">97% (1), 98% (17), 99% (15), 100% (7)</w:t>
            </w:r>
          </w:p>
        </w:tc>
      </w:tr>
      <w:tr>
        <w:tc>
          <w:tcPr/>
          <w:p>
            <w:pPr>
              <w:pStyle w:val="Compact"/>
              <w:jc w:val="left"/>
            </w:pPr>
            <w:r>
              <w:t xml:space="preserve">1328</w:t>
            </w:r>
          </w:p>
        </w:tc>
        <w:tc>
          <w:tcPr/>
          <w:p>
            <w:pPr>
              <w:pStyle w:val="Compact"/>
              <w:jc w:val="right"/>
            </w:pPr>
            <w:r>
              <w:t xml:space="preserve">40</w:t>
            </w:r>
          </w:p>
        </w:tc>
        <w:tc>
          <w:tcPr/>
          <w:p>
            <w:pPr>
              <w:pStyle w:val="Compact"/>
              <w:jc w:val="left"/>
            </w:pPr>
            <w:r>
              <w:t xml:space="preserve">98% (6), 99% (33), 100% (1)</w:t>
            </w:r>
          </w:p>
        </w:tc>
      </w:tr>
      <w:tr>
        <w:tc>
          <w:tcPr/>
          <w:p>
            <w:pPr>
              <w:pStyle w:val="Compact"/>
              <w:jc w:val="left"/>
            </w:pPr>
            <w:r>
              <w:t xml:space="preserve">1618</w:t>
            </w:r>
          </w:p>
        </w:tc>
        <w:tc>
          <w:tcPr/>
          <w:p>
            <w:pPr>
              <w:pStyle w:val="Compact"/>
              <w:jc w:val="right"/>
            </w:pPr>
            <w:r>
              <w:t xml:space="preserve">40</w:t>
            </w:r>
          </w:p>
        </w:tc>
        <w:tc>
          <w:tcPr/>
          <w:p>
            <w:pPr>
              <w:pStyle w:val="Compact"/>
              <w:jc w:val="left"/>
            </w:pPr>
            <w:r>
              <w:t xml:space="preserve">100% (wszystkie)</w:t>
            </w:r>
          </w:p>
        </w:tc>
      </w:tr>
      <w:tr>
        <w:tc>
          <w:tcPr/>
          <w:p>
            <w:pPr>
              <w:pStyle w:val="Compact"/>
              <w:jc w:val="left"/>
            </w:pPr>
            <w:r>
              <w:t xml:space="preserve">2714</w:t>
            </w:r>
          </w:p>
        </w:tc>
        <w:tc>
          <w:tcPr/>
          <w:p>
            <w:pPr>
              <w:pStyle w:val="Compact"/>
              <w:jc w:val="right"/>
            </w:pPr>
            <w:r>
              <w:t xml:space="preserve">40</w:t>
            </w:r>
          </w:p>
        </w:tc>
        <w:tc>
          <w:tcPr/>
          <w:p>
            <w:pPr>
              <w:pStyle w:val="Compact"/>
              <w:jc w:val="left"/>
            </w:pPr>
            <w:r>
              <w:t xml:space="preserve">98% (6), 99% (33), 100% (1)</w:t>
            </w:r>
          </w:p>
        </w:tc>
      </w:tr>
    </w:tbl>
    <w:p>
      <w:pPr>
        <w:pStyle w:val="BodyText"/>
      </w:pPr>
      <w:r>
        <w:t xml:space="preserve">Otóż 961, 1576, 1247, 2692, 1328, 1618 i 2714 wszystkie należą do Rodziny 35 (</w:t>
      </w:r>
      <w:r>
        <w:rPr>
          <w:bCs/>
          <w:b/>
        </w:rPr>
        <w:t xml:space="preserve">K</w:t>
      </w:r>
      <w:r>
        <w:rPr>
          <w:vertAlign w:val="superscript"/>
          <w:bCs/>
          <w:b/>
        </w:rPr>
        <w:t xml:space="preserve">r</w:t>
      </w:r>
      <w:r>
        <w:t xml:space="preserve">), co pozostawia jedynie 2103, 318 i 1058. Gdy patrzymy na kolumnę „spójność”, zauważamy, że grupy 961, 1576, 1247 i 2692 są takie same, a po sprawdzeniu potwierdzamy, że listy manuskryptów są niemal identyczne — możemy więc dodać 40 manuskryptów do 120 już oznaczonych jako</w:t>
      </w:r>
      <w:r>
        <w:t xml:space="preserve"> </w:t>
      </w:r>
      <w:r>
        <w:rPr>
          <w:bCs/>
          <w:b/>
        </w:rPr>
        <w:t xml:space="preserve">K</w:t>
      </w:r>
      <w:r>
        <w:rPr>
          <w:vertAlign w:val="superscript"/>
          <w:bCs/>
          <w:b/>
        </w:rPr>
        <w:t xml:space="preserve">r</w:t>
      </w:r>
      <w:r>
        <w:t xml:space="preserve">. Grupy 1618 i 2714 w dużym stopniu się pokrywają, a 1328 pokrywa się częściowo, możemy więc dodać co najmniej kolejnych 20. Przyjrzyjmy się teraz trzem pozostałym: 2103, 318 i 1058. Pamiętając, że próg dla</w:t>
      </w:r>
      <w:r>
        <w:t xml:space="preserve"> </w:t>
      </w:r>
      <w:r>
        <w:rPr>
          <w:bCs/>
          <w:b/>
        </w:rPr>
        <w:t xml:space="preserve">K</w:t>
      </w:r>
      <w:r>
        <w:rPr>
          <w:vertAlign w:val="superscript"/>
          <w:bCs/>
          <w:b/>
        </w:rPr>
        <w:t xml:space="preserve">r</w:t>
      </w:r>
      <w:r>
        <w:t xml:space="preserve"> </w:t>
      </w:r>
      <w:r>
        <w:t xml:space="preserve">wynosił 98%, zauważamy, że ponad połowa grup 2103 i 318 znajduje się poniżej tego progu, grupy te nie są więc stabilne. 1058 wypada lepiej, ale niemal połowa znajduje się poniżej 99% (wszystkie grupy</w:t>
      </w:r>
      <w:r>
        <w:t xml:space="preserve"> </w:t>
      </w:r>
      <w:r>
        <w:rPr>
          <w:bCs/>
          <w:b/>
        </w:rPr>
        <w:t xml:space="preserve">f</w:t>
      </w:r>
      <w:r>
        <w:rPr>
          <w:vertAlign w:val="superscript"/>
          <w:bCs/>
          <w:b/>
        </w:rPr>
        <w:t xml:space="preserve">35</w:t>
      </w:r>
      <w:r>
        <w:t xml:space="preserve"> </w:t>
      </w:r>
      <w:r>
        <w:t xml:space="preserve">mają przeważnie 99% lub 100%). Istotne może być spostrzeżenie, że manuskrypt 1058 należy prawdopodobnie do obrzeży</w:t>
      </w:r>
      <w:r>
        <w:t xml:space="preserve"> </w:t>
      </w:r>
      <w:r>
        <w:rPr>
          <w:bCs/>
          <w:b/>
        </w:rPr>
        <w:t xml:space="preserve">f</w:t>
      </w:r>
      <w:r>
        <w:rPr>
          <w:vertAlign w:val="superscript"/>
          <w:bCs/>
          <w:b/>
        </w:rPr>
        <w:t xml:space="preserve">35</w:t>
      </w:r>
      <w:r>
        <w:t xml:space="preserve">. Gdzie zatem jest</w:t>
      </w:r>
      <w:r>
        <w:t xml:space="preserve"> </w:t>
      </w:r>
      <w:r>
        <w:rPr>
          <w:bCs/>
          <w:b/>
        </w:rPr>
        <w:t xml:space="preserve">K</w:t>
      </w:r>
      <w:r>
        <w:rPr>
          <w:vertAlign w:val="superscript"/>
          <w:bCs/>
          <w:b/>
        </w:rPr>
        <w:t xml:space="preserve">x</w:t>
      </w:r>
      <w:r>
        <w:t xml:space="preserve">?</w:t>
      </w:r>
    </w:p>
    <w:p>
      <w:pPr>
        <w:pStyle w:val="BodyText"/>
      </w:pPr>
      <w:r>
        <w:t xml:space="preserve">Wymienię teraz grupy liczące od 25 do 39 manuskryptów, w kolejności malejącej: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Grupa</w:t>
            </w:r>
          </w:p>
        </w:tc>
        <w:tc>
          <w:tcPr/>
          <w:p>
            <w:pPr>
              <w:pStyle w:val="Compact"/>
              <w:jc w:val="right"/>
            </w:pPr>
            <w:r>
              <w:t xml:space="preserve">Wielkość</w:t>
            </w:r>
          </w:p>
        </w:tc>
        <w:tc>
          <w:tcPr/>
          <w:p>
            <w:pPr>
              <w:pStyle w:val="Compact"/>
              <w:jc w:val="left"/>
            </w:pPr>
            <w:r>
              <w:t xml:space="preserve">Spójność</w:t>
            </w:r>
          </w:p>
        </w:tc>
      </w:tr>
      <w:tr>
        <w:tc>
          <w:tcPr/>
          <w:p>
            <w:pPr>
              <w:pStyle w:val="Compact"/>
              <w:jc w:val="left"/>
            </w:pPr>
            <w:r>
              <w:t xml:space="preserve">1638</w:t>
            </w:r>
          </w:p>
        </w:tc>
        <w:tc>
          <w:tcPr/>
          <w:p>
            <w:pPr>
              <w:pStyle w:val="Compact"/>
              <w:jc w:val="right"/>
            </w:pPr>
            <w:r>
              <w:t xml:space="preserve">37</w:t>
            </w:r>
          </w:p>
        </w:tc>
        <w:tc>
          <w:tcPr/>
          <w:p>
            <w:pPr>
              <w:pStyle w:val="Compact"/>
              <w:jc w:val="left"/>
            </w:pPr>
            <w:r>
              <w:t xml:space="preserve">97% (2), 98% (2), 99% (29), 100% (4)</w:t>
            </w:r>
          </w:p>
        </w:tc>
      </w:tr>
      <w:tr>
        <w:tc>
          <w:tcPr/>
          <w:p>
            <w:pPr>
              <w:pStyle w:val="Compact"/>
              <w:jc w:val="left"/>
            </w:pPr>
            <w:r>
              <w:t xml:space="preserve">710</w:t>
            </w:r>
          </w:p>
        </w:tc>
        <w:tc>
          <w:tcPr/>
          <w:p>
            <w:pPr>
              <w:pStyle w:val="Compact"/>
              <w:jc w:val="right"/>
            </w:pPr>
            <w:r>
              <w:t xml:space="preserve">34</w:t>
            </w:r>
          </w:p>
        </w:tc>
        <w:tc>
          <w:tcPr/>
          <w:p>
            <w:pPr>
              <w:pStyle w:val="Compact"/>
              <w:jc w:val="left"/>
            </w:pPr>
            <w:r>
              <w:t xml:space="preserve">94% (18), 95% (1), 96% (13), 98% (2)</w:t>
            </w:r>
          </w:p>
        </w:tc>
      </w:tr>
      <w:tr>
        <w:tc>
          <w:tcPr/>
          <w:p>
            <w:pPr>
              <w:pStyle w:val="Compact"/>
              <w:jc w:val="left"/>
            </w:pPr>
            <w:r>
              <w:t xml:space="preserve">763</w:t>
            </w:r>
          </w:p>
        </w:tc>
        <w:tc>
          <w:tcPr/>
          <w:p>
            <w:pPr>
              <w:pStyle w:val="Compact"/>
              <w:jc w:val="right"/>
            </w:pPr>
            <w:r>
              <w:t xml:space="preserve">34</w:t>
            </w:r>
          </w:p>
        </w:tc>
        <w:tc>
          <w:tcPr/>
          <w:p>
            <w:pPr>
              <w:pStyle w:val="Compact"/>
              <w:jc w:val="left"/>
            </w:pPr>
            <w:r>
              <w:t xml:space="preserve">97% (1), 99% (33)</w:t>
            </w:r>
          </w:p>
        </w:tc>
      </w:tr>
      <w:tr>
        <w:tc>
          <w:tcPr/>
          <w:p>
            <w:pPr>
              <w:pStyle w:val="Compact"/>
              <w:jc w:val="left"/>
            </w:pPr>
            <w:r>
              <w:t xml:space="preserve">1621</w:t>
            </w:r>
          </w:p>
        </w:tc>
        <w:tc>
          <w:tcPr/>
          <w:p>
            <w:pPr>
              <w:pStyle w:val="Compact"/>
              <w:jc w:val="right"/>
            </w:pPr>
            <w:r>
              <w:t xml:space="preserve">32</w:t>
            </w:r>
          </w:p>
        </w:tc>
        <w:tc>
          <w:tcPr/>
          <w:p>
            <w:pPr>
              <w:pStyle w:val="Compact"/>
              <w:jc w:val="left"/>
            </w:pPr>
            <w:r>
              <w:t xml:space="preserve">98% (1), 99% (24), 100% (7)</w:t>
            </w:r>
          </w:p>
        </w:tc>
      </w:tr>
      <w:tr>
        <w:tc>
          <w:tcPr/>
          <w:p>
            <w:pPr>
              <w:pStyle w:val="Compact"/>
              <w:jc w:val="left"/>
            </w:pPr>
            <w:r>
              <w:t xml:space="preserve">1224</w:t>
            </w:r>
          </w:p>
        </w:tc>
        <w:tc>
          <w:tcPr/>
          <w:p>
            <w:pPr>
              <w:pStyle w:val="Compact"/>
              <w:jc w:val="right"/>
            </w:pPr>
            <w:r>
              <w:t xml:space="preserve">29</w:t>
            </w:r>
          </w:p>
        </w:tc>
        <w:tc>
          <w:tcPr/>
          <w:p>
            <w:pPr>
              <w:pStyle w:val="Compact"/>
              <w:jc w:val="left"/>
            </w:pPr>
            <w:r>
              <w:t xml:space="preserve">97% (1), 99% (28)</w:t>
            </w:r>
          </w:p>
        </w:tc>
      </w:tr>
      <w:tr>
        <w:tc>
          <w:tcPr/>
          <w:p>
            <w:pPr>
              <w:pStyle w:val="Compact"/>
              <w:jc w:val="left"/>
            </w:pPr>
            <w:r>
              <w:t xml:space="preserve">66</w:t>
            </w:r>
          </w:p>
        </w:tc>
        <w:tc>
          <w:tcPr/>
          <w:p>
            <w:pPr>
              <w:pStyle w:val="Compact"/>
              <w:jc w:val="right"/>
            </w:pPr>
            <w:r>
              <w:t xml:space="preserve">28</w:t>
            </w:r>
          </w:p>
        </w:tc>
        <w:tc>
          <w:tcPr/>
          <w:p>
            <w:pPr>
              <w:pStyle w:val="Compact"/>
              <w:jc w:val="left"/>
            </w:pPr>
            <w:r>
              <w:t xml:space="preserve">98% (1), 99% (26), 100% (1)</w:t>
            </w:r>
          </w:p>
        </w:tc>
      </w:tr>
      <w:tr>
        <w:tc>
          <w:tcPr/>
          <w:p>
            <w:pPr>
              <w:pStyle w:val="Compact"/>
              <w:jc w:val="left"/>
            </w:pPr>
            <w:r>
              <w:t xml:space="preserve">394</w:t>
            </w:r>
          </w:p>
        </w:tc>
        <w:tc>
          <w:tcPr/>
          <w:p>
            <w:pPr>
              <w:pStyle w:val="Compact"/>
              <w:jc w:val="right"/>
            </w:pPr>
            <w:r>
              <w:t xml:space="preserve">27</w:t>
            </w:r>
          </w:p>
        </w:tc>
        <w:tc>
          <w:tcPr/>
          <w:p>
            <w:pPr>
              <w:pStyle w:val="Compact"/>
              <w:jc w:val="left"/>
            </w:pPr>
            <w:r>
              <w:t xml:space="preserve">99% (wszystkie)</w:t>
            </w:r>
          </w:p>
        </w:tc>
      </w:tr>
      <w:tr>
        <w:tc>
          <w:tcPr/>
          <w:p>
            <w:pPr>
              <w:pStyle w:val="Compact"/>
              <w:jc w:val="left"/>
            </w:pPr>
            <w:r>
              <w:t xml:space="preserve">1551</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1657</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2249</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685</w:t>
            </w:r>
          </w:p>
        </w:tc>
        <w:tc>
          <w:tcPr/>
          <w:p>
            <w:pPr>
              <w:pStyle w:val="Compact"/>
              <w:jc w:val="right"/>
            </w:pPr>
            <w:r>
              <w:t xml:space="preserve">25</w:t>
            </w:r>
          </w:p>
        </w:tc>
        <w:tc>
          <w:tcPr/>
          <w:p>
            <w:pPr>
              <w:pStyle w:val="Compact"/>
              <w:jc w:val="left"/>
            </w:pPr>
            <w:r>
              <w:t xml:space="preserve">99% (wszystkie)</w:t>
            </w:r>
          </w:p>
        </w:tc>
      </w:tr>
      <w:tr>
        <w:tc>
          <w:tcPr/>
          <w:p>
            <w:pPr>
              <w:pStyle w:val="Compact"/>
              <w:jc w:val="left"/>
            </w:pPr>
            <w:r>
              <w:t xml:space="preserve">1158</w:t>
            </w:r>
          </w:p>
        </w:tc>
        <w:tc>
          <w:tcPr/>
          <w:p>
            <w:pPr>
              <w:pStyle w:val="Compact"/>
              <w:jc w:val="right"/>
            </w:pPr>
            <w:r>
              <w:t xml:space="preserve">25</w:t>
            </w:r>
          </w:p>
        </w:tc>
        <w:tc>
          <w:tcPr/>
          <w:p>
            <w:pPr>
              <w:pStyle w:val="Compact"/>
              <w:jc w:val="left"/>
            </w:pPr>
            <w:r>
              <w:t xml:space="preserve">99% (wszystkie)</w:t>
            </w:r>
          </w:p>
        </w:tc>
      </w:tr>
    </w:tbl>
    <w:p>
      <w:pPr>
        <w:pStyle w:val="BodyText"/>
      </w:pPr>
      <w:r>
        <w:t xml:space="preserve">Zgadnij co: wszystkie oprócz 710 należą do Rodziny 35, wskazówkę daje jedno spojrzenie na spójność. Jeśli 710 w ogóle jest prawdziwą grupą, jest dość „grząska”. Ostatnich sześć list jest niemal identycznych, a między pozostałymi występuje znaczne pokrywanie. Mimo to do listy Rodziny 35 można prawdopodobnie dodać jeszcze kilka manuskryptów, a zbadanie pozostałych 300+ grup/manuskryptów (zależnie od miejsca wyznaczenia punktu odcięcia) bez wątpienia doda jeszcze więcej. I tak dalej. Gdzie zatem jest</w:t>
      </w:r>
      <w:r>
        <w:t xml:space="preserve"> </w:t>
      </w:r>
      <w:r>
        <w:rPr>
          <w:bCs/>
          <w:b/>
        </w:rPr>
        <w:t xml:space="preserve">K</w:t>
      </w:r>
      <w:r>
        <w:rPr>
          <w:vertAlign w:val="superscript"/>
          <w:bCs/>
          <w:b/>
        </w:rPr>
        <w:t xml:space="preserve">x</w:t>
      </w:r>
      <w:r>
        <w:t xml:space="preserve">? Drogi czytelniku, pozwól, że szepnę ci do ucha:</w:t>
      </w:r>
      <w:r>
        <w:t xml:space="preserve"> </w:t>
      </w:r>
      <w:r>
        <w:rPr>
          <w:bCs/>
          <w:b/>
        </w:rPr>
        <w:t xml:space="preserve">K</w:t>
      </w:r>
      <w:r>
        <w:rPr>
          <w:vertAlign w:val="superscript"/>
          <w:bCs/>
          <w:b/>
        </w:rPr>
        <w:t xml:space="preserve">x</w:t>
      </w:r>
      <w:r>
        <w:t xml:space="preserve"> </w:t>
      </w:r>
      <w:r>
        <w:t xml:space="preserve">nie istnieje, istniał wyłącznie w wyobraźni von Sodena. Oczywiście</w:t>
      </w:r>
      <w:r>
        <w:t xml:space="preserve"> </w:t>
      </w:r>
      <w:r>
        <w:rPr>
          <w:bCs/>
          <w:b/>
        </w:rPr>
        <w:t xml:space="preserve">K</w:t>
      </w:r>
      <w:r>
        <w:rPr>
          <w:vertAlign w:val="superscript"/>
          <w:bCs/>
          <w:b/>
        </w:rPr>
        <w:t xml:space="preserve">r</w:t>
      </w:r>
      <w:r>
        <w:t xml:space="preserve"> </w:t>
      </w:r>
      <w:r>
        <w:t xml:space="preserve">nie może być rewizją czegoś, co nigdy nie istniało.</w:t>
      </w:r>
      <w:r>
        <w:rPr>
          <w:rStyle w:val="FootnoteReference"/>
        </w:rPr>
        <w:footnoteReference w:id="251"/>
      </w:r>
    </w:p>
    <w:p>
      <w:pPr>
        <w:pStyle w:val="BodyText"/>
      </w:pPr>
      <w:r>
        <w:t xml:space="preserve">Następnie pojawia się kwestia wykazanej niezależności. Z definicji rewizja/recenzja jest zależna od swojego źródła. Jeśli w zachowanych/dostępnych materiałach (które w przypadku Nowego Testamentu są naprawdę dość obfite) nigdzie nie ma możliwego do wykazania źródła, twierdzenie o rewizji/recenzji jest nieuczciwe, nieodpowiedzialne i naganne. Proszę zobaczyć „Czy</w:t>
      </w:r>
      <w:r>
        <w:t xml:space="preserve"> </w:t>
      </w:r>
      <w:r>
        <w:rPr>
          <w:bCs/>
          <w:b/>
        </w:rPr>
        <w:t xml:space="preserve">f</w:t>
      </w:r>
      <w:r>
        <w:rPr>
          <w:vertAlign w:val="superscript"/>
          <w:bCs/>
          <w:b/>
        </w:rPr>
        <w:t xml:space="preserve">35</w:t>
      </w:r>
      <w:r>
        <w:t xml:space="preserve"> </w:t>
      </w:r>
      <w:r>
        <w:t xml:space="preserve">jest starożytna?” w części III.</w:t>
      </w:r>
    </w:p>
    <w:p>
      <w:pPr>
        <w:pStyle w:val="BodyText"/>
      </w:pPr>
      <w:r>
        <w:t xml:space="preserve">Następnie pojawia się kwestia wykazanej starożytności. Kluczowym punktem jest tutaj brak wzorca, bez wzorca nie ma zależności. Zwracam uwagę na poniższe cztery akapity, które tworzą jeden cytat odtworzony z części „Wczesne poświadczenie</w:t>
      </w:r>
      <w:r>
        <w:t xml:space="preserve"> </w:t>
      </w:r>
      <w:r>
        <w:rPr>
          <w:bCs/>
          <w:b/>
        </w:rPr>
        <w:t xml:space="preserve">f</w:t>
      </w:r>
      <w:r>
        <w:rPr>
          <w:vertAlign w:val="superscript"/>
          <w:bCs/>
          <w:b/>
        </w:rPr>
        <w:t xml:space="preserve">35</w:t>
      </w:r>
      <w:r>
        <w:t xml:space="preserve"> </w:t>
      </w:r>
      <w:r>
        <w:t xml:space="preserve">przez uncjały w Listach Ogólnych”.</w:t>
      </w:r>
    </w:p>
    <w:p>
      <w:pPr>
        <w:pStyle w:val="BlockText"/>
      </w:pPr>
      <w:r>
        <w:t xml:space="preserve">Każdy z tych dwunastu uncjałów jest wyraźnie niezależny od wszystkich pozostałych. Całkowity brak wzorca w poświadczeniu, jakie te wczesne uncjały dają</w:t>
      </w:r>
      <w:r>
        <w:t xml:space="preserve"> </w:t>
      </w:r>
      <w:r>
        <w:rPr>
          <w:bCs/>
          <w:b/>
        </w:rPr>
        <w:t xml:space="preserve">f</w:t>
      </w:r>
      <w:r>
        <w:rPr>
          <w:vertAlign w:val="superscript"/>
          <w:bCs/>
          <w:b/>
        </w:rPr>
        <w:t xml:space="preserve">35</w:t>
      </w:r>
      <w:r>
        <w:t xml:space="preserve">, równie wyraźnie pokazuje, że także</w:t>
      </w:r>
      <w:r>
        <w:t xml:space="preserve"> </w:t>
      </w:r>
      <w:r>
        <w:rPr>
          <w:bCs/>
          <w:b/>
        </w:rPr>
        <w:t xml:space="preserve">f</w:t>
      </w:r>
      <w:r>
        <w:rPr>
          <w:vertAlign w:val="superscript"/>
          <w:bCs/>
          <w:b/>
        </w:rPr>
        <w:t xml:space="preserve">35</w:t>
      </w:r>
      <w:r>
        <w:t xml:space="preserve"> </w:t>
      </w:r>
      <w:r>
        <w:t xml:space="preserve">jest niezależna od nich wszystkich, zupełnie niezależnie od 22,1% miejsc bez ich udziału. Jednak fakt, że 77,9% jednostek otrzymuje wczesne poświadczenie uncjalne bez wzorca lub zależności, pokazuje,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jest wczesny.</w:t>
      </w:r>
    </w:p>
    <w:p>
      <w:pPr>
        <w:pStyle w:val="BlockText"/>
      </w:pPr>
      <w:r>
        <w:t xml:space="preserve">Zwracam szczególną uwagę na pierwszy blok, w którym pojedynczy uncjał opowiada się po stronie</w:t>
      </w:r>
      <w:r>
        <w:t xml:space="preserve"> </w:t>
      </w:r>
      <w:r>
        <w:rPr>
          <w:bCs/>
          <w:b/>
        </w:rPr>
        <w:t xml:space="preserve">f</w:t>
      </w:r>
      <w:r>
        <w:rPr>
          <w:vertAlign w:val="superscript"/>
          <w:bCs/>
          <w:b/>
        </w:rPr>
        <w:t xml:space="preserve">35</w:t>
      </w:r>
      <w:r>
        <w:t xml:space="preserve">. Każdy z siedmiu uncjałów jest w tym miejscu z konieczności niezależny od pozostałych (oraz od</w:t>
      </w:r>
      <w:r>
        <w:t xml:space="preserve"> </w:t>
      </w:r>
      <w:r>
        <w:rPr>
          <w:bCs/>
          <w:b/>
        </w:rPr>
        <w:t xml:space="preserve">f</w:t>
      </w:r>
      <w:r>
        <w:rPr>
          <w:vertAlign w:val="superscript"/>
          <w:bCs/>
          <w:b/>
        </w:rPr>
        <w:t xml:space="preserve">35</w:t>
      </w:r>
      <w:r>
        <w:t xml:space="preserve">), a jednak łącznie poświadczają one 15% całości (119 ÷ 795). Skoro dla tych 15% nie istnieje wzorzec ani zależność, jak mamy wyjaśnić te 119 wczesnych odczytów w</w:t>
      </w:r>
      <w:r>
        <w:t xml:space="preserve"> </w:t>
      </w:r>
      <w:r>
        <w:rPr>
          <w:bCs/>
          <w:b/>
        </w:rPr>
        <w:t xml:space="preserve">f</w:t>
      </w:r>
      <w:r>
        <w:rPr>
          <w:vertAlign w:val="superscript"/>
          <w:bCs/>
          <w:b/>
        </w:rPr>
        <w:t xml:space="preserve">35</w:t>
      </w:r>
      <w:r>
        <w:t xml:space="preserve">? Czy ktoś będzie argumentował, że ktokolwiek „spreparował” pierwszy manuskrypt</w:t>
      </w:r>
      <w:r>
        <w:t xml:space="preserve"> </w:t>
      </w:r>
      <w:r>
        <w:rPr>
          <w:bCs/>
          <w:b/>
        </w:rPr>
        <w:t xml:space="preserve">f</w:t>
      </w:r>
      <w:r>
        <w:rPr>
          <w:vertAlign w:val="superscript"/>
          <w:bCs/>
          <w:b/>
        </w:rPr>
        <w:t xml:space="preserve">35</w:t>
      </w:r>
      <w:r>
        <w:t xml:space="preserve">, miał przed sobą wszystkie te uncjały i arbitralnie wziął 9 odczytów z P</w:t>
      </w:r>
      <w:r>
        <w:rPr>
          <w:vertAlign w:val="superscript"/>
        </w:rPr>
        <w:t xml:space="preserve">72</w:t>
      </w:r>
      <w:r>
        <w:t xml:space="preserve">, 2 z P</w:t>
      </w:r>
      <w:r>
        <w:rPr>
          <w:vertAlign w:val="superscript"/>
        </w:rPr>
        <w:t xml:space="preserve">100</w:t>
      </w:r>
      <w:r>
        <w:t xml:space="preserve">, 40 z ℵ i tak dalej, i tak dalej, i tak dalej? Naprawdę, jak mamy wyjaśnić te 119 wczesnych odczytów w</w:t>
      </w:r>
      <w:r>
        <w:t xml:space="preserve"> </w:t>
      </w:r>
      <w:r>
        <w:rPr>
          <w:bCs/>
          <w:b/>
        </w:rPr>
        <w:t xml:space="preserve">f</w:t>
      </w:r>
      <w:r>
        <w:rPr>
          <w:vertAlign w:val="superscript"/>
          <w:bCs/>
          <w:b/>
        </w:rPr>
        <w:t xml:space="preserve">35</w:t>
      </w:r>
      <w:r>
        <w:t xml:space="preserve">? (Gdyby ktoś zaprotestował, że uwzględnione manuskrypty z V wieku w rzeczywistości nie są aż tak wczesne, pytam: są kopiami czy oryginalnymi tworami? Jeśli są kopiami, ich egzemplarze były oczywiście wcześniejsze — wszystkie te 119 odczytów bez wątpienia istniało w III wieku).</w:t>
      </w:r>
    </w:p>
    <w:p>
      <w:pPr>
        <w:pStyle w:val="BlockText"/>
      </w:pPr>
      <w:r>
        <w:t xml:space="preserve">Przechodząc do następnego bloku, mamy kolejne 148 odczytów, w których nie istnieje wzorzec ani zależność, 119 + 148 = 267 = 34%. Naprawdę, jak mamy wyjaśnić te 267 wczesnych odczytów w</w:t>
      </w:r>
      <w:r>
        <w:t xml:space="preserve"> </w:t>
      </w:r>
      <w:r>
        <w:rPr>
          <w:bCs/>
          <w:b/>
        </w:rPr>
        <w:t xml:space="preserve">f</w:t>
      </w:r>
      <w:r>
        <w:rPr>
          <w:vertAlign w:val="superscript"/>
          <w:bCs/>
          <w:b/>
        </w:rPr>
        <w:t xml:space="preserve">35</w:t>
      </w:r>
      <w:r>
        <w:t xml:space="preserve">? Przechodząc do kolejnego bloku, mamy następne 224 odczyty, w których nie istnieje wzorzec ani zależność, 267 + 224 = 491 = 61,8%. Naprawdę, jak mamy wyjaśnić te 491 wczesnych odczytów w</w:t>
      </w:r>
      <w:r>
        <w:t xml:space="preserve"> </w:t>
      </w:r>
      <w:r>
        <w:rPr>
          <w:bCs/>
          <w:b/>
        </w:rPr>
        <w:t xml:space="preserve">f</w:t>
      </w:r>
      <w:r>
        <w:rPr>
          <w:vertAlign w:val="superscript"/>
          <w:bCs/>
          <w:b/>
        </w:rPr>
        <w:t xml:space="preserve">35</w:t>
      </w:r>
      <w:r>
        <w:t xml:space="preserve">? Przechodząc do następnego bloku, mamy kolejne 100 odczytów, w których nie istnieje wzorzec ani zależność, 491 + 100 = 591 = 74,3%. Ostatni blok podnosi łączny wynik do 77,9%.</w:t>
      </w:r>
    </w:p>
    <w:p>
      <w:pPr>
        <w:pStyle w:val="BlockText"/>
      </w:pPr>
      <w:r>
        <w:t xml:space="preserve">Twierdzenie o zależności w obliczu tych DOWODÓW uważam za nieuczciwe.</w:t>
      </w:r>
      <w:r>
        <w:t xml:space="preserve"> </w:t>
      </w:r>
      <w:r>
        <w:rPr>
          <w:bCs/>
          <w:b/>
        </w:rPr>
        <w:t xml:space="preserve">f</w:t>
      </w:r>
      <w:r>
        <w:rPr>
          <w:vertAlign w:val="superscript"/>
          <w:bCs/>
          <w:b/>
        </w:rPr>
        <w:t xml:space="preserve">35</w:t>
      </w:r>
      <w:r>
        <w:t xml:space="preserve"> </w:t>
      </w:r>
      <w:r>
        <w:t xml:space="preserve">jest wyraźnie niezależna od wszystkich tych linii przekazu, które same są niezależne. Jeśli</w:t>
      </w:r>
      <w:r>
        <w:t xml:space="preserve"> </w:t>
      </w:r>
      <w:r>
        <w:rPr>
          <w:bCs/>
          <w:b/>
        </w:rPr>
        <w:t xml:space="preserve">f</w:t>
      </w:r>
      <w:r>
        <w:rPr>
          <w:vertAlign w:val="superscript"/>
          <w:bCs/>
          <w:b/>
        </w:rPr>
        <w:t xml:space="preserve">35</w:t>
      </w:r>
      <w:r>
        <w:t xml:space="preserve"> </w:t>
      </w:r>
      <w:r>
        <w:t xml:space="preserve">jest niezależna, to z konieczności jest wczesna.</w:t>
      </w:r>
      <w:r>
        <w:t xml:space="preserve"> </w:t>
      </w:r>
      <w:r>
        <w:rPr>
          <w:bCs/>
          <w:b/>
        </w:rPr>
        <w:t xml:space="preserve">f</w:t>
      </w:r>
      <w:r>
        <w:rPr>
          <w:vertAlign w:val="superscript"/>
          <w:bCs/>
          <w:b/>
        </w:rPr>
        <w:t xml:space="preserve">35</w:t>
      </w:r>
      <w:r>
        <w:t xml:space="preserve"> </w:t>
      </w:r>
      <w:r>
        <w:t xml:space="preserve">ma wszystkie te wczesne odczyty z wystarczającego powodu: jej</w:t>
      </w:r>
      <w:r>
        <w:t xml:space="preserve"> </w:t>
      </w:r>
      <w:r>
        <w:rPr>
          <w:u w:val="single"/>
        </w:rPr>
        <w:t xml:space="preserve">tekst</w:t>
      </w:r>
      <w:r>
        <w:t xml:space="preserve"> </w:t>
      </w:r>
      <w:r>
        <w:t xml:space="preserve">jest wczesny i sięga co najmniej III wieku. Jeśli jednak</w:t>
      </w:r>
      <w:r>
        <w:t xml:space="preserve"> </w:t>
      </w:r>
      <w:r>
        <w:rPr>
          <w:bCs/>
          <w:b/>
        </w:rPr>
        <w:t xml:space="preserve">f</w:t>
      </w:r>
      <w:r>
        <w:rPr>
          <w:vertAlign w:val="superscript"/>
          <w:bCs/>
          <w:b/>
        </w:rPr>
        <w:t xml:space="preserve">35</w:t>
      </w:r>
      <w:r>
        <w:t xml:space="preserve"> </w:t>
      </w:r>
      <w:r>
        <w:t xml:space="preserve">jest niezależna od wszystkich innych linii przekazu (można wykazać, że jest niezależna od</w:t>
      </w:r>
      <w:r>
        <w:t xml:space="preserve"> </w:t>
      </w:r>
      <w:r>
        <w:rPr>
          <w:bCs/>
          <w:b/>
        </w:rPr>
        <w:t xml:space="preserve">K</w:t>
      </w:r>
      <w:r>
        <w:rPr>
          <w:vertAlign w:val="superscript"/>
          <w:bCs/>
          <w:b/>
        </w:rPr>
        <w:t xml:space="preserve">x</w:t>
      </w:r>
      <w:r>
        <w:t xml:space="preserve"> </w:t>
      </w:r>
      <w:r>
        <w:t xml:space="preserve">itd.), to musi sięgać Autografów. Jakie inne rozsądne wyjaśnienie istnieje? Gdyby ktoś chciał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w:t>
      </w:r>
    </w:p>
    <w:p>
      <w:pPr>
        <w:pStyle w:val="FirstParagraph"/>
      </w:pPr>
      <w:r>
        <w:t xml:space="preserve">Dlaczego zatem nie mamy manuskryptów</w:t>
      </w:r>
      <w:r>
        <w:t xml:space="preserve"> </w:t>
      </w:r>
      <w:r>
        <w:rPr>
          <w:bCs/>
          <w:b/>
        </w:rPr>
        <w:t xml:space="preserve">f</w:t>
      </w:r>
      <w:r>
        <w:rPr>
          <w:vertAlign w:val="superscript"/>
          <w:bCs/>
          <w:b/>
        </w:rPr>
        <w:t xml:space="preserve">35</w:t>
      </w:r>
      <w:r>
        <w:t xml:space="preserve"> </w:t>
      </w:r>
      <w:r>
        <w:t xml:space="preserve">sprzed XI wieku? Cóż, jak sądzisz, dlaczego — z nielicznymi wyjątkami — tylko manuskrypty</w:t>
      </w:r>
      <w:r>
        <w:t xml:space="preserve"> </w:t>
      </w:r>
      <w:r>
        <w:rPr>
          <w:bCs/>
          <w:b/>
        </w:rPr>
        <w:t xml:space="preserve">f</w:t>
      </w:r>
      <w:r>
        <w:rPr>
          <w:vertAlign w:val="superscript"/>
          <w:bCs/>
          <w:b/>
        </w:rPr>
        <w:t xml:space="preserve">35</w:t>
      </w:r>
      <w:r>
        <w:t xml:space="preserve"> </w:t>
      </w:r>
      <w:r>
        <w:t xml:space="preserve">mają lekcje zaznaczone na marginesach? Czy mogłoby tak być dlatego, że społeczności greckojęzyczne używały ich podczas nabożeństw i do czytania przy wspólnych posiłkach? A jaki wpływ ma stałe używanie na każdą książkę? Poddaję spokojnemu, chłodnemu i opanowanemu rozważeniu wszystkich zainteresowanych sugestię, że każdy wartościowy manuskrypt byłby stale używany, a zatem nie mógłby przetrwać przez stulecia. Kopie uznawane za niedopuszczalnie słabej jakości pozostawiano na półce, aby zbierały kurz, i to właśnie one przetrwały.</w:t>
      </w:r>
    </w:p>
    <w:p>
      <w:pPr>
        <w:pStyle w:val="BodyText"/>
      </w:pPr>
      <w:r>
        <w:t xml:space="preserve">Jakkolwiek by było, zwracam uwagę na poniższą listę manuskryptów</w:t>
      </w:r>
      <w:r>
        <w:t xml:space="preserve"> </w:t>
      </w:r>
      <w:r>
        <w:rPr>
          <w:bCs/>
          <w:b/>
        </w:rPr>
        <w:t xml:space="preserve">f</w:t>
      </w:r>
      <w:r>
        <w:rPr>
          <w:vertAlign w:val="superscript"/>
          <w:bCs/>
          <w:b/>
        </w:rPr>
        <w:t xml:space="preserve">35</w:t>
      </w:r>
      <w:r>
        <w:t xml:space="preserve"> </w:t>
      </w:r>
      <w:r>
        <w:t xml:space="preserve">z XI wieku:</w:t>
      </w:r>
    </w:p>
    <w:tbl>
      <w:tblPr>
        <w:tblStyle w:val="Table"/>
        <w:tblW w:type="pct" w:w="5000"/>
        <w:tblLook w:firstRow="1" w:lastRow="0" w:firstColumn="0" w:lastColumn="0" w:noHBand="0" w:noVBand="0" w:val="0020"/>
        <w:jc w:val="start"/>
      </w:tblPr>
      <w:tblGrid>
        <w:gridCol w:w="1863"/>
        <w:gridCol w:w="1863"/>
        <w:gridCol w:w="2329"/>
        <w:gridCol w:w="1863"/>
      </w:tblGrid>
      <w:tr>
        <w:trPr>
          <w:tblHeader w:val="true"/>
        </w:trPr>
        <w:tc>
          <w:tcPr/>
          <w:p>
            <w:pPr>
              <w:pStyle w:val="Compact"/>
              <w:jc w:val="right"/>
            </w:pPr>
            <w:r>
              <w:rPr>
                <w:bCs/>
                <w:b/>
              </w:rPr>
              <w:t xml:space="preserve">Manuskrypt</w:t>
            </w:r>
          </w:p>
        </w:tc>
        <w:tc>
          <w:tcPr/>
          <w:p>
            <w:pPr>
              <w:pStyle w:val="Compact"/>
              <w:jc w:val="left"/>
            </w:pPr>
            <w:r>
              <w:t xml:space="preserve">Miejsce</w:t>
            </w:r>
          </w:p>
        </w:tc>
        <w:tc>
          <w:tcPr/>
          <w:p>
            <w:pPr>
              <w:pStyle w:val="Compact"/>
              <w:jc w:val="center"/>
            </w:pPr>
            <w:r>
              <w:t xml:space="preserve">Zawartość</w:t>
            </w:r>
          </w:p>
        </w:tc>
        <w:tc>
          <w:tcPr/>
          <w:p>
            <w:pPr>
              <w:pStyle w:val="Compact"/>
            </w:pPr>
          </w:p>
        </w:tc>
      </w:tr>
      <w:tr>
        <w:tc>
          <w:tcPr/>
          <w:p>
            <w:pPr>
              <w:pStyle w:val="Compact"/>
              <w:jc w:val="right"/>
            </w:pPr>
            <w:r>
              <w:t xml:space="preserve">35</w:t>
            </w:r>
          </w:p>
        </w:tc>
        <w:tc>
          <w:tcPr/>
          <w:p>
            <w:pPr>
              <w:pStyle w:val="Compact"/>
              <w:jc w:val="left"/>
            </w:pPr>
            <w:r>
              <w:t xml:space="preserve">obszar egejski</w:t>
            </w:r>
          </w:p>
        </w:tc>
        <w:tc>
          <w:tcPr/>
          <w:p>
            <w:pPr>
              <w:pStyle w:val="Compact"/>
              <w:jc w:val="center"/>
            </w:pPr>
            <w:r>
              <w:t xml:space="preserve">eapr</w:t>
            </w:r>
          </w:p>
        </w:tc>
        <w:tc>
          <w:tcPr/>
          <w:p>
            <w:pPr>
              <w:pStyle w:val="Compact"/>
            </w:pPr>
          </w:p>
        </w:tc>
      </w:tr>
      <w:tr>
        <w:tc>
          <w:tcPr/>
          <w:p>
            <w:pPr>
              <w:pStyle w:val="Compact"/>
              <w:jc w:val="right"/>
            </w:pPr>
            <w:r>
              <w:t xml:space="preserve">83</w:t>
            </w:r>
          </w:p>
        </w:tc>
        <w:tc>
          <w:tcPr/>
          <w:p>
            <w:pPr>
              <w:pStyle w:val="Compact"/>
              <w:jc w:val="left"/>
            </w:pPr>
            <w:r>
              <w:t xml:space="preserve">Monachium</w:t>
            </w:r>
          </w:p>
        </w:tc>
        <w:tc>
          <w:tcPr/>
          <w:p>
            <w:pPr>
              <w:pStyle w:val="Compact"/>
              <w:jc w:val="center"/>
            </w:pPr>
            <w:r>
              <w:t xml:space="preserve">e</w:t>
            </w:r>
          </w:p>
        </w:tc>
        <w:tc>
          <w:tcPr/>
          <w:p>
            <w:pPr>
              <w:pStyle w:val="Compact"/>
            </w:pPr>
          </w:p>
        </w:tc>
      </w:tr>
      <w:tr>
        <w:tc>
          <w:tcPr/>
          <w:p>
            <w:pPr>
              <w:pStyle w:val="Compact"/>
              <w:jc w:val="right"/>
            </w:pPr>
            <w:r>
              <w:t xml:space="preserve">(125)</w:t>
            </w:r>
          </w:p>
        </w:tc>
        <w:tc>
          <w:tcPr/>
          <w:p>
            <w:pPr>
              <w:pStyle w:val="Compact"/>
              <w:jc w:val="left"/>
            </w:pPr>
            <w:r>
              <w:t xml:space="preserve">Wiedeń</w:t>
            </w:r>
          </w:p>
        </w:tc>
        <w:tc>
          <w:tcPr/>
          <w:p>
            <w:pPr>
              <w:pStyle w:val="Compact"/>
              <w:jc w:val="center"/>
            </w:pPr>
            <w:r>
              <w:t xml:space="preserve">e</w:t>
            </w:r>
          </w:p>
        </w:tc>
        <w:tc>
          <w:tcPr/>
          <w:p>
            <w:pPr>
              <w:pStyle w:val="Compact"/>
            </w:pPr>
          </w:p>
        </w:tc>
      </w:tr>
      <w:tr>
        <w:tc>
          <w:tcPr/>
          <w:p>
            <w:pPr>
              <w:pStyle w:val="Compact"/>
              <w:jc w:val="right"/>
            </w:pPr>
            <w:r>
              <w:t xml:space="preserve">(476)</w:t>
            </w:r>
          </w:p>
        </w:tc>
        <w:tc>
          <w:tcPr/>
          <w:p>
            <w:pPr>
              <w:pStyle w:val="Compact"/>
              <w:jc w:val="left"/>
            </w:pPr>
            <w:r>
              <w:t xml:space="preserve">Londyn</w:t>
            </w:r>
          </w:p>
        </w:tc>
        <w:tc>
          <w:tcPr/>
          <w:p>
            <w:pPr>
              <w:pStyle w:val="Compact"/>
              <w:jc w:val="center"/>
            </w:pPr>
            <w:r>
              <w:t xml:space="preserve">e</w:t>
            </w:r>
          </w:p>
        </w:tc>
        <w:tc>
          <w:tcPr/>
          <w:p>
            <w:pPr>
              <w:pStyle w:val="Compact"/>
              <w:jc w:val="left"/>
            </w:pPr>
            <w:r>
              <w:t xml:space="preserve">(</w:t>
            </w:r>
            <w:r>
              <w:rPr>
                <w:bCs/>
                <w:b/>
              </w:rPr>
              <w:t xml:space="preserve">f</w:t>
            </w:r>
            <w:r>
              <w:rPr>
                <w:vertAlign w:val="superscript"/>
                <w:bCs/>
                <w:b/>
              </w:rPr>
              <w:t xml:space="preserve">35</w:t>
            </w:r>
            <w:r>
              <w:t xml:space="preserve"> </w:t>
            </w:r>
            <w:r>
              <w:t xml:space="preserve">w Ewangelii Jana)</w:t>
            </w:r>
          </w:p>
        </w:tc>
      </w:tr>
      <w:tr>
        <w:tc>
          <w:tcPr/>
          <w:p>
            <w:pPr>
              <w:pStyle w:val="Compact"/>
              <w:jc w:val="right"/>
            </w:pPr>
            <w:r>
              <w:t xml:space="preserve">(516)</w:t>
            </w:r>
          </w:p>
        </w:tc>
        <w:tc>
          <w:tcPr/>
          <w:p>
            <w:pPr>
              <w:pStyle w:val="Compact"/>
              <w:jc w:val="left"/>
            </w:pPr>
            <w:r>
              <w:t xml:space="preserve">Oksford</w:t>
            </w:r>
          </w:p>
        </w:tc>
        <w:tc>
          <w:tcPr/>
          <w:p>
            <w:pPr>
              <w:pStyle w:val="Compact"/>
              <w:jc w:val="center"/>
            </w:pPr>
            <w:r>
              <w:t xml:space="preserve">e</w:t>
            </w:r>
          </w:p>
        </w:tc>
        <w:tc>
          <w:tcPr/>
          <w:p>
            <w:pPr>
              <w:pStyle w:val="Compact"/>
            </w:pPr>
          </w:p>
        </w:tc>
      </w:tr>
      <w:tr>
        <w:tc>
          <w:tcPr/>
          <w:p>
            <w:pPr>
              <w:pStyle w:val="Compact"/>
              <w:jc w:val="right"/>
            </w:pPr>
            <w:r>
              <w:t xml:space="preserve">547</w:t>
            </w:r>
          </w:p>
        </w:tc>
        <w:tc>
          <w:tcPr/>
          <w:p>
            <w:pPr>
              <w:pStyle w:val="Compact"/>
              <w:jc w:val="left"/>
            </w:pPr>
            <w:r>
              <w:t xml:space="preserve">Karakallu</w:t>
            </w:r>
          </w:p>
        </w:tc>
        <w:tc>
          <w:tcPr/>
          <w:p>
            <w:pPr>
              <w:pStyle w:val="Compact"/>
              <w:jc w:val="center"/>
            </w:pPr>
            <w:r>
              <w:t xml:space="preserve">eap</w:t>
            </w:r>
          </w:p>
        </w:tc>
        <w:tc>
          <w:tcPr/>
          <w:p>
            <w:pPr>
              <w:pStyle w:val="Compact"/>
            </w:pPr>
          </w:p>
        </w:tc>
      </w:tr>
      <w:tr>
        <w:tc>
          <w:tcPr/>
          <w:p>
            <w:pPr>
              <w:pStyle w:val="Compact"/>
              <w:jc w:val="right"/>
            </w:pPr>
            <w:r>
              <w:t xml:space="preserve">(585)</w:t>
            </w:r>
          </w:p>
        </w:tc>
        <w:tc>
          <w:tcPr/>
          <w:p>
            <w:pPr>
              <w:pStyle w:val="Compact"/>
              <w:jc w:val="left"/>
            </w:pPr>
            <w:r>
              <w:t xml:space="preserve">Modena</w:t>
            </w:r>
          </w:p>
        </w:tc>
        <w:tc>
          <w:tcPr/>
          <w:p>
            <w:pPr>
              <w:pStyle w:val="Compact"/>
              <w:jc w:val="center"/>
            </w:pPr>
            <w:r>
              <w:t xml:space="preserve">e</w:t>
            </w:r>
          </w:p>
        </w:tc>
        <w:tc>
          <w:tcPr/>
          <w:p>
            <w:pPr>
              <w:pStyle w:val="Compact"/>
            </w:pPr>
          </w:p>
        </w:tc>
      </w:tr>
      <w:tr>
        <w:tc>
          <w:tcPr/>
          <w:p>
            <w:pPr>
              <w:pStyle w:val="Compact"/>
              <w:jc w:val="right"/>
            </w:pPr>
            <w:r>
              <w:t xml:space="preserve">746</w:t>
            </w:r>
          </w:p>
        </w:tc>
        <w:tc>
          <w:tcPr/>
          <w:p>
            <w:pPr>
              <w:pStyle w:val="Compact"/>
              <w:jc w:val="left"/>
            </w:pPr>
            <w:r>
              <w:t xml:space="preserve">Paryż</w:t>
            </w:r>
          </w:p>
        </w:tc>
        <w:tc>
          <w:tcPr/>
          <w:p>
            <w:pPr>
              <w:pStyle w:val="Compact"/>
              <w:jc w:val="center"/>
            </w:pPr>
            <w:r>
              <w:t xml:space="preserve">e</w:t>
            </w:r>
          </w:p>
        </w:tc>
        <w:tc>
          <w:tcPr/>
          <w:p>
            <w:pPr>
              <w:pStyle w:val="Compact"/>
            </w:pPr>
          </w:p>
        </w:tc>
      </w:tr>
      <w:tr>
        <w:tc>
          <w:tcPr/>
          <w:p>
            <w:pPr>
              <w:pStyle w:val="Compact"/>
              <w:jc w:val="right"/>
            </w:pPr>
            <w:r>
              <w:t xml:space="preserve">(1164)</w:t>
            </w:r>
          </w:p>
        </w:tc>
        <w:tc>
          <w:tcPr/>
          <w:p>
            <w:pPr>
              <w:pStyle w:val="Compact"/>
              <w:jc w:val="left"/>
            </w:pPr>
            <w:r>
              <w:t xml:space="preserve">Patmos</w:t>
            </w:r>
          </w:p>
        </w:tc>
        <w:tc>
          <w:tcPr/>
          <w:p>
            <w:pPr>
              <w:pStyle w:val="Compact"/>
              <w:jc w:val="center"/>
            </w:pPr>
            <w:r>
              <w:t xml:space="preserve">e</w:t>
            </w:r>
          </w:p>
        </w:tc>
        <w:tc>
          <w:tcPr/>
          <w:p>
            <w:pPr>
              <w:pStyle w:val="Compact"/>
            </w:pPr>
          </w:p>
        </w:tc>
      </w:tr>
      <w:tr>
        <w:tc>
          <w:tcPr/>
          <w:p>
            <w:pPr>
              <w:pStyle w:val="Compact"/>
              <w:jc w:val="right"/>
            </w:pPr>
            <w:r>
              <w:t xml:space="preserve">1384</w:t>
            </w:r>
          </w:p>
        </w:tc>
        <w:tc>
          <w:tcPr/>
          <w:p>
            <w:pPr>
              <w:pStyle w:val="Compact"/>
              <w:jc w:val="left"/>
            </w:pPr>
            <w:r>
              <w:t xml:space="preserve">Andros</w:t>
            </w:r>
          </w:p>
        </w:tc>
        <w:tc>
          <w:tcPr/>
          <w:p>
            <w:pPr>
              <w:pStyle w:val="Compact"/>
              <w:jc w:val="center"/>
            </w:pPr>
            <w:r>
              <w:t xml:space="preserve">eapr</w:t>
            </w:r>
          </w:p>
        </w:tc>
        <w:tc>
          <w:tcPr/>
          <w:p>
            <w:pPr>
              <w:pStyle w:val="Compact"/>
            </w:pPr>
          </w:p>
        </w:tc>
      </w:tr>
      <w:tr>
        <w:tc>
          <w:tcPr/>
          <w:p>
            <w:pPr>
              <w:pStyle w:val="Compact"/>
              <w:jc w:val="right"/>
            </w:pPr>
            <w:r>
              <w:t xml:space="preserve">1435</w:t>
            </w:r>
          </w:p>
        </w:tc>
        <w:tc>
          <w:tcPr/>
          <w:p>
            <w:pPr>
              <w:pStyle w:val="Compact"/>
              <w:jc w:val="left"/>
            </w:pPr>
            <w:r>
              <w:t xml:space="preserve">Vatopediu</w:t>
            </w:r>
          </w:p>
        </w:tc>
        <w:tc>
          <w:tcPr/>
          <w:p>
            <w:pPr>
              <w:pStyle w:val="Compact"/>
              <w:jc w:val="center"/>
            </w:pPr>
            <w:r>
              <w:t xml:space="preserve">e</w:t>
            </w:r>
          </w:p>
        </w:tc>
        <w:tc>
          <w:tcPr/>
          <w:p>
            <w:pPr>
              <w:pStyle w:val="Compact"/>
            </w:pPr>
          </w:p>
        </w:tc>
      </w:tr>
      <w:tr>
        <w:tc>
          <w:tcPr/>
          <w:p>
            <w:pPr>
              <w:pStyle w:val="Compact"/>
              <w:jc w:val="right"/>
            </w:pPr>
            <w:r>
              <w:t xml:space="preserve">(1483)</w:t>
            </w:r>
          </w:p>
        </w:tc>
        <w:tc>
          <w:tcPr/>
          <w:p>
            <w:pPr>
              <w:pStyle w:val="Compact"/>
              <w:jc w:val="left"/>
            </w:pPr>
            <w:r>
              <w:t xml:space="preserve">M. Lavras</w:t>
            </w:r>
          </w:p>
        </w:tc>
        <w:tc>
          <w:tcPr/>
          <w:p>
            <w:pPr>
              <w:pStyle w:val="Compact"/>
              <w:jc w:val="center"/>
            </w:pPr>
            <w:r>
              <w:t xml:space="preserve">e</w:t>
            </w:r>
          </w:p>
        </w:tc>
        <w:tc>
          <w:tcPr/>
          <w:p>
            <w:pPr>
              <w:pStyle w:val="Compact"/>
            </w:pPr>
          </w:p>
        </w:tc>
      </w:tr>
      <w:tr>
        <w:tc>
          <w:tcPr/>
          <w:p>
            <w:pPr>
              <w:pStyle w:val="Compact"/>
              <w:jc w:val="right"/>
            </w:pPr>
            <w:r>
              <w:t xml:space="preserve">(1841)</w:t>
            </w:r>
          </w:p>
        </w:tc>
        <w:tc>
          <w:tcPr/>
          <w:p>
            <w:pPr>
              <w:pStyle w:val="Compact"/>
              <w:jc w:val="left"/>
            </w:pPr>
            <w:r>
              <w:t xml:space="preserve">Lesbos</w:t>
            </w:r>
          </w:p>
        </w:tc>
        <w:tc>
          <w:tcPr/>
          <w:p>
            <w:pPr>
              <w:pStyle w:val="Compact"/>
              <w:jc w:val="center"/>
            </w:pPr>
            <w:r>
              <w:t xml:space="preserve">apr</w:t>
            </w:r>
          </w:p>
        </w:tc>
        <w:tc>
          <w:tcPr/>
          <w:p>
            <w:pPr>
              <w:pStyle w:val="Compact"/>
              <w:jc w:val="left"/>
            </w:pPr>
            <w:r>
              <w:t xml:space="preserve">(IX/X wiek — być może</w:t>
            </w:r>
            <w:r>
              <w:t xml:space="preserve"> </w:t>
            </w:r>
            <w:r>
              <w:rPr>
                <w:bCs/>
                <w:b/>
              </w:rPr>
              <w:t xml:space="preserve">f</w:t>
            </w:r>
            <w:r>
              <w:rPr>
                <w:vertAlign w:val="superscript"/>
                <w:bCs/>
                <w:b/>
              </w:rPr>
              <w:t xml:space="preserve">35</w:t>
            </w:r>
            <w:r>
              <w:t xml:space="preserve"> </w:t>
            </w:r>
            <w:r>
              <w:t xml:space="preserve">u Pawła)</w:t>
            </w:r>
          </w:p>
        </w:tc>
      </w:tr>
      <w:tr>
        <w:tc>
          <w:tcPr/>
          <w:p>
            <w:pPr>
              <w:pStyle w:val="Compact"/>
              <w:jc w:val="right"/>
            </w:pPr>
            <w:r>
              <w:t xml:space="preserve">1897</w:t>
            </w:r>
          </w:p>
        </w:tc>
        <w:tc>
          <w:tcPr/>
          <w:p>
            <w:pPr>
              <w:pStyle w:val="Compact"/>
              <w:jc w:val="left"/>
            </w:pPr>
            <w:r>
              <w:t xml:space="preserve">Jerozolima</w:t>
            </w:r>
          </w:p>
        </w:tc>
        <w:tc>
          <w:tcPr/>
          <w:p>
            <w:pPr>
              <w:pStyle w:val="Compact"/>
              <w:jc w:val="center"/>
            </w:pPr>
            <w:r>
              <w:t xml:space="preserve">ap</w:t>
            </w:r>
          </w:p>
        </w:tc>
        <w:tc>
          <w:tcPr/>
          <w:p>
            <w:pPr>
              <w:pStyle w:val="Compact"/>
              <w:jc w:val="left"/>
            </w:pPr>
            <w:r>
              <w:t xml:space="preserve">(dokonałem pełnego kolacjonowania i wygląda równie staro)</w:t>
            </w:r>
          </w:p>
        </w:tc>
      </w:tr>
      <w:tr>
        <w:tc>
          <w:tcPr/>
          <w:p>
            <w:pPr>
              <w:pStyle w:val="Compact"/>
              <w:jc w:val="right"/>
            </w:pPr>
            <w:r>
              <w:t xml:space="preserve">2253</w:t>
            </w:r>
          </w:p>
        </w:tc>
        <w:tc>
          <w:tcPr/>
          <w:p>
            <w:pPr>
              <w:pStyle w:val="Compact"/>
              <w:jc w:val="left"/>
            </w:pPr>
            <w:r>
              <w:t xml:space="preserve">Tirana</w:t>
            </w:r>
          </w:p>
        </w:tc>
        <w:tc>
          <w:tcPr/>
          <w:p>
            <w:pPr>
              <w:pStyle w:val="Compact"/>
              <w:jc w:val="center"/>
            </w:pPr>
            <w:r>
              <w:t xml:space="preserve">e</w:t>
            </w:r>
          </w:p>
        </w:tc>
        <w:tc>
          <w:tcPr/>
          <w:p>
            <w:pPr>
              <w:pStyle w:val="Compact"/>
              <w:jc w:val="left"/>
            </w:pPr>
            <w:r>
              <w:t xml:space="preserve">(materiał wprowadzający wskazuje na datę z XI wieku)</w:t>
            </w:r>
          </w:p>
        </w:tc>
      </w:tr>
      <w:tr>
        <w:tc>
          <w:tcPr/>
          <w:p>
            <w:pPr>
              <w:pStyle w:val="Compact"/>
              <w:jc w:val="right"/>
            </w:pPr>
            <w:r>
              <w:t xml:space="preserve">2587</w:t>
            </w:r>
          </w:p>
        </w:tc>
        <w:tc>
          <w:tcPr/>
          <w:p>
            <w:pPr>
              <w:pStyle w:val="Compact"/>
              <w:jc w:val="left"/>
            </w:pPr>
            <w:r>
              <w:t xml:space="preserve">Watykan</w:t>
            </w:r>
          </w:p>
        </w:tc>
        <w:tc>
          <w:tcPr/>
          <w:p>
            <w:pPr>
              <w:pStyle w:val="Compact"/>
              <w:jc w:val="center"/>
            </w:pPr>
            <w:r>
              <w:t xml:space="preserve">ap</w:t>
            </w:r>
          </w:p>
        </w:tc>
        <w:tc>
          <w:tcPr/>
          <w:p>
            <w:pPr>
              <w:pStyle w:val="Compact"/>
            </w:pPr>
          </w:p>
        </w:tc>
      </w:tr>
      <w:tr>
        <w:tc>
          <w:tcPr/>
          <w:p>
            <w:pPr>
              <w:pStyle w:val="Compact"/>
              <w:jc w:val="right"/>
            </w:pPr>
            <w:r>
              <w:t xml:space="preserve">2723</w:t>
            </w:r>
          </w:p>
        </w:tc>
        <w:tc>
          <w:tcPr/>
          <w:p>
            <w:pPr>
              <w:pStyle w:val="Compact"/>
              <w:jc w:val="left"/>
            </w:pPr>
            <w:r>
              <w:t xml:space="preserve">Trikala</w:t>
            </w:r>
          </w:p>
        </w:tc>
        <w:tc>
          <w:tcPr/>
          <w:p>
            <w:pPr>
              <w:pStyle w:val="Compact"/>
              <w:jc w:val="center"/>
            </w:pPr>
            <w:r>
              <w:t xml:space="preserve">apr</w:t>
            </w:r>
          </w:p>
        </w:tc>
        <w:tc>
          <w:tcPr/>
          <w:p>
            <w:pPr>
              <w:pStyle w:val="Compact"/>
            </w:pPr>
          </w:p>
        </w:tc>
      </w:tr>
      <w:tr>
        <w:tc>
          <w:tcPr/>
          <w:p>
            <w:pPr>
              <w:pStyle w:val="Compact"/>
              <w:jc w:val="right"/>
            </w:pPr>
            <w:r>
              <w:t xml:space="preserve">(2817)</w:t>
            </w:r>
          </w:p>
        </w:tc>
        <w:tc>
          <w:tcPr/>
          <w:p>
            <w:pPr>
              <w:pStyle w:val="Compact"/>
              <w:jc w:val="left"/>
            </w:pPr>
            <w:r>
              <w:t xml:space="preserve">Bazylea</w:t>
            </w:r>
          </w:p>
        </w:tc>
        <w:tc>
          <w:tcPr/>
          <w:p>
            <w:pPr>
              <w:pStyle w:val="Compact"/>
              <w:jc w:val="center"/>
            </w:pPr>
            <w:r>
              <w:t xml:space="preserve">p</w:t>
            </w:r>
          </w:p>
        </w:tc>
        <w:tc>
          <w:tcPr/>
          <w:p>
            <w:pPr>
              <w:pStyle w:val="Compact"/>
            </w:pPr>
          </w:p>
        </w:tc>
      </w:tr>
    </w:tbl>
    <w:p>
      <w:pPr>
        <w:pStyle w:val="BodyText"/>
      </w:pPr>
      <w:r>
        <w:t xml:space="preserve">Manuskrypty w nawiasach wydają się marginalnymi członkami rodziny albo są mieszane. Na początek zauważamy, że wymieniono 18 manuskryptów i każdy znajduje się w innym miejscu (oczywiście niektóre z tych, które obecnie znajdują się w Europie Zachodniej, mogły zostać pozyskane z tego samego klasztoru). Co więcej, skoro różnią się wewnętrznie, reprezentują tyle samo egzemplarzy. Ponieważ egzemplarze z konieczności muszą istnieć przed sporządzeniem na ich podstawie jakichkolwiek kopii, a wiele/większość/(wszystkie?) z tych egzemplarzy musiało być z kolei oparte na odrębnych egzemplarzach, nawet gdyby ktoś twierdził, że dokonano recenzji, nie mogła ona powstać później niż w VIII wieku — to po prostu niemożliwe. Oczywiście dlatego, że trzeba uwzględnić rozmieszczenie geograficzne.</w:t>
      </w:r>
    </w:p>
    <w:p>
      <w:pPr>
        <w:pStyle w:val="BodyText"/>
      </w:pPr>
      <w:r>
        <w:t xml:space="preserve">Czy ktoś spreparował archetyp</w:t>
      </w:r>
      <w:r>
        <w:t xml:space="preserve"> </w:t>
      </w:r>
      <w:r>
        <w:rPr>
          <w:bCs/>
          <w:b/>
        </w:rPr>
        <w:t xml:space="preserve">f</w:t>
      </w:r>
      <w:r>
        <w:rPr>
          <w:vertAlign w:val="superscript"/>
          <w:bCs/>
          <w:b/>
        </w:rPr>
        <w:t xml:space="preserve">35</w:t>
      </w:r>
      <w:r>
        <w:t xml:space="preserve"> </w:t>
      </w:r>
      <w:r>
        <w:t xml:space="preserve">w VIII wieku? Kto? Dlaczego? I jak mógł on rozprzestrzenić się po całym świecie śródziemnomorskim? Manuskrypty</w:t>
      </w:r>
      <w:r>
        <w:t xml:space="preserve"> </w:t>
      </w:r>
      <w:r>
        <w:rPr>
          <w:bCs/>
          <w:b/>
        </w:rPr>
        <w:t xml:space="preserve">f</w:t>
      </w:r>
      <w:r>
        <w:rPr>
          <w:vertAlign w:val="superscript"/>
          <w:bCs/>
          <w:b/>
        </w:rPr>
        <w:t xml:space="preserve">35</w:t>
      </w:r>
      <w:r>
        <w:t xml:space="preserve"> </w:t>
      </w:r>
      <w:r>
        <w:t xml:space="preserve">znajdują się wszędzie — w Jerozolimie, na Synaju, w Atenach, Konstantynopolu, Trikali, Kalawricie, Ochrydzie, na Patmos, w Karditsie, Rzymie, Sparcie, Meteorach, Wenecji, na Lesbos i w większości klasztorów na górze Athos (które reprezentowały różne „denominacje”) itd. (Gdyby na Cyprze istniało sześć klasztorów — jeden anglikański, jeden Zborów Bożych, jeden baptystyczny, jeden Kościoła Chrystusowego, jeden metodystyczny i jeden prezbiteriański — w jakim stopniu porównywałyby ze sobą notatki? Czy natura ludzka się zmieniła?)</w:t>
      </w:r>
    </w:p>
    <w:p>
      <w:pPr>
        <w:pStyle w:val="BodyText"/>
      </w:pPr>
      <w:r>
        <w:t xml:space="preserve">Jednak masa bizantyjska (</w:t>
      </w:r>
      <w:r>
        <w:rPr>
          <w:bCs/>
          <w:b/>
        </w:rPr>
        <w:t xml:space="preserve">K</w:t>
      </w:r>
      <w:r>
        <w:rPr>
          <w:vertAlign w:val="superscript"/>
          <w:bCs/>
          <w:b/>
        </w:rPr>
        <w:t xml:space="preserve">x</w:t>
      </w:r>
      <w:r>
        <w:t xml:space="preserve">) kontrolowała co najmniej 60% strumienia przekazu (</w:t>
      </w:r>
      <w:r>
        <w:rPr>
          <w:bCs/>
          <w:b/>
        </w:rPr>
        <w:t xml:space="preserve">f</w:t>
      </w:r>
      <w:r>
        <w:rPr>
          <w:vertAlign w:val="superscript"/>
          <w:bCs/>
          <w:b/>
        </w:rPr>
        <w:t xml:space="preserve">35</w:t>
      </w:r>
      <w:r>
        <w:t xml:space="preserve"> </w:t>
      </w:r>
      <w:r>
        <w:t xml:space="preserve">= ok. 18%), jak coś spreparowanego w VIII wieku mogło rozprzestrzenić się tak daleko, tak szybko i z taką czystością? Jak wzbudziło taką lojalność? Wszystko, co wiemy o historii przekazywania Tekstu, odpowiada, że nie mogło i tego nie zrobiło. Po prostu niemożliwe jest, aby</w:t>
      </w:r>
      <w:r>
        <w:t xml:space="preserve"> </w:t>
      </w:r>
      <w:r>
        <w:rPr>
          <w:bCs/>
          <w:b/>
        </w:rPr>
        <w:t xml:space="preserve">f</w:t>
      </w:r>
      <w:r>
        <w:rPr>
          <w:vertAlign w:val="superscript"/>
          <w:bCs/>
          <w:b/>
        </w:rPr>
        <w:t xml:space="preserve">35</w:t>
      </w:r>
      <w:r>
        <w:t xml:space="preserve"> </w:t>
      </w:r>
      <w:r>
        <w:t xml:space="preserve">została „spreparowana” w którymkolwiek momencie po IV wieku. Wierność, z jaką kopiowano</w:t>
      </w:r>
      <w:r>
        <w:t xml:space="preserve"> </w:t>
      </w:r>
      <w:r>
        <w:rPr>
          <w:bCs/>
          <w:b/>
        </w:rPr>
        <w:t xml:space="preserve">f</w:t>
      </w:r>
      <w:r>
        <w:rPr>
          <w:vertAlign w:val="superscript"/>
          <w:bCs/>
          <w:b/>
        </w:rPr>
        <w:t xml:space="preserve">35</w:t>
      </w:r>
      <w:r>
        <w:t xml:space="preserve"> </w:t>
      </w:r>
      <w:r>
        <w:t xml:space="preserve">— poziom wierności wobec</w:t>
      </w:r>
      <w:r>
        <w:t xml:space="preserve"> </w:t>
      </w:r>
      <w:r>
        <w:rPr>
          <w:bCs/>
          <w:b/>
        </w:rPr>
        <w:t xml:space="preserve">f</w:t>
      </w:r>
      <w:r>
        <w:rPr>
          <w:vertAlign w:val="superscript"/>
          <w:bCs/>
          <w:b/>
        </w:rPr>
        <w:t xml:space="preserve">35</w:t>
      </w:r>
      <w:r>
        <w:t xml:space="preserve"> </w:t>
      </w:r>
      <w:r>
        <w:t xml:space="preserve">jest znacznie wyższy niż wobec jakiejkolwiek innej linii przekazu — wskazuje, że nigdy nie została „spreparowana”, sięga Oryginału.</w:t>
      </w:r>
      <w:r>
        <w:rPr>
          <w:rStyle w:val="FootnoteReference"/>
        </w:rPr>
        <w:footnoteReference w:id="252"/>
      </w:r>
    </w:p>
    <w:p>
      <w:pPr>
        <w:pStyle w:val="BodyText"/>
      </w:pPr>
      <w:r>
        <w:t xml:space="preserve">Następnie pojawia się milczenie historii. Chociaż już o nim wspomniałem, zasługuje na szczególną uwagę. Pozwólcie, że zapożyczę fragment z mojego omówienia „Recenzji lucjańskiej”.</w:t>
      </w:r>
      <w:r>
        <w:rPr>
          <w:rStyle w:val="FootnoteReference"/>
        </w:rPr>
        <w:footnoteReference w:id="253"/>
      </w:r>
      <w:r>
        <w:t xml:space="preserve"> </w:t>
      </w:r>
      <w:r>
        <w:t xml:space="preserve">John William Burgon udzielił wystarczającej odpowiedzi na ten wymysł.</w:t>
      </w:r>
    </w:p>
    <w:p>
      <w:pPr>
        <w:pStyle w:val="BlockText"/>
      </w:pPr>
      <w:r>
        <w:t xml:space="preserve">Jednak poza rażącym wewnętrznym nieprawdopodobieństwem rzekomej Recenzji — całkowity brak choćby jednej cząstki dowodu, tradycyjnego czy jakiegokolwiek innego, że kiedykolwiek rzeczywiście miała miejsce, należy uznać za zabójczy dla hipotezy, że</w:t>
      </w:r>
      <w:r>
        <w:t xml:space="preserve"> </w:t>
      </w:r>
      <w:r>
        <w:rPr>
          <w:iCs/>
          <w:i/>
        </w:rPr>
        <w:t xml:space="preserve">miała</w:t>
      </w:r>
      <w:r>
        <w:t xml:space="preserve"> </w:t>
      </w:r>
      <w:r>
        <w:t xml:space="preserve">miejsce. Jest po prostu niewiarygodne, by wydarzenie o takiej wadze i znaczeniu nie pozostawiło po sobie żadnego śladu w historii.</w:t>
      </w:r>
      <w:r>
        <w:rPr>
          <w:rStyle w:val="FootnoteReference"/>
        </w:rPr>
        <w:footnoteReference w:id="254"/>
      </w:r>
    </w:p>
    <w:p>
      <w:pPr>
        <w:pStyle w:val="FirstParagraph"/>
      </w:pPr>
      <w:r>
        <w:t xml:space="preserve">Nie wystarczy, by ktoś powiedział, że argument z milczenia niczego nie dowodzi. W sprawie o takiej „wadze i znaczeniu” jest on rozstrzygający. Sir Frederick G. Kenyon również uznał tę część teorii Horta za bezpodstawną.</w:t>
      </w:r>
    </w:p>
    <w:p>
      <w:pPr>
        <w:pStyle w:val="BlockText"/>
      </w:pPr>
      <w:r>
        <w:t xml:space="preserve">Brak dowodów wskazuje w przeciwną stronę, byłoby bowiem bardzo dziwne, gdyby Lucjan rzeczywiście zredagował oba Testamenty, a w późniejszych czasach wspominano jedynie jego pracę nad Starym Testamentem.</w:t>
      </w:r>
      <w:r>
        <w:t xml:space="preserve"> </w:t>
      </w:r>
      <w:r>
        <w:rPr>
          <w:bCs/>
          <w:b/>
        </w:rPr>
        <w:t xml:space="preserve">Ten sam argument przemawia przeciwko każdej teorii celowej rewizji dokonanej w jakimkolwiek określonym momencie</w:t>
      </w:r>
      <w:r>
        <w:t xml:space="preserve"> </w:t>
      </w:r>
      <w:r>
        <w:t xml:space="preserve">(wyróżnienie dodane). Znamy imiona kilku rewizorów Septuaginty i Wulgaty i byłoby dziwne, gdyby wszyscy historycy i pisarze kościelni pominęli odnotowanie lub wspomnienie takiego wydarzenia jak celowa rewizja Nowego Testamentu w jego oryginalnej grece.</w:t>
      </w:r>
      <w:r>
        <w:rPr>
          <w:rStyle w:val="FootnoteReference"/>
        </w:rPr>
        <w:footnoteReference w:id="255"/>
      </w:r>
    </w:p>
    <w:p>
      <w:pPr>
        <w:pStyle w:val="FirstParagraph"/>
      </w:pPr>
      <w:r>
        <w:t xml:space="preserve">No proszę, czy w tym, co stwierdzili Burgon i Kenyon, jest coś tajemniczego? Czy nie jest to oczywiste? Proszę, zatrzymaj się i pomyśl o tym przez chwilę. Milczenie historii „należy uznać za zabójcze dla hipotezy”.</w:t>
      </w:r>
      <w:r>
        <w:t xml:space="preserve"> </w:t>
      </w:r>
      <w:r>
        <w:rPr>
          <w:iCs/>
          <w:i/>
        </w:rPr>
        <w:t xml:space="preserve">Selah</w:t>
      </w:r>
      <w:r>
        <w:t xml:space="preserve">.</w:t>
      </w:r>
    </w:p>
    <w:p>
      <w:pPr>
        <w:pStyle w:val="BodyText"/>
      </w:pPr>
      <w:r>
        <w:t xml:space="preserve">Następnie pojawia się kwestia „podaży i popytu”. Osoby katalogujące manuskrypty Nowego Testamentu informują nas, że pod względem liczby zachowanych manuskryptów przodują XII i XIII wiek, a po nich, w tej kolejności, XIV, XI, XV, XVI i X wiek. Manuskryptów z XIII wieku jest ponad cztery razy więcej niż z X, lecz greka koine była oczywiście językiem żywym w większym stopniu w X wieku niż w XIII, a zatem istniał większy popyt, a więc i większa podaż. Innymi słowy, wiele setek naprawdę czystych manuskryptów z X wieku przepadło. Przetrwał większy odsetek naprawdę dobrych manuskryptów wytworzonych w XIV wieku niż tych wytworzonych w XI, i tak dalej. Dlatego wśród manuskryptów bizantyjskich występuje stopniowo rosnący poziom zgodności — odsetek zgodności jest wyższy w XIV wieku niż w X. Gdybyśmy jednak żyli w X wieku i przeprowadzili szeroki przegląd manuskryptów, znaleźlibyśmy niemal taki sam poziom zgodności (być może 98%). To samo dotyczyłoby sytuacji, gdybyśmy żyli w VIII, VI, IV lub II wieku. Innymi słowy,</w:t>
      </w:r>
      <w:r>
        <w:t xml:space="preserve"> </w:t>
      </w:r>
      <w:r>
        <w:rPr>
          <w:bCs/>
          <w:b/>
        </w:rPr>
        <w:t xml:space="preserve">ZACHOWANE MANUSKRYPTY Z PIERWSZYCH DZIESIĘCIU WIEKÓW NIE SĄ REPREZENTATYWNE DLA RZECZYWISTEGO STANU RZECZY W TAMTYM CZASIE.</w:t>
      </w:r>
    </w:p>
    <w:p>
      <w:pPr>
        <w:pStyle w:val="BodyText"/>
      </w:pPr>
      <w:r>
        <w:t xml:space="preserve">Podsumowując, ufam, że czytelnik nie uzna mnie za nierozsądnego, jeśli poproszę, aby odtąd wszystkie dobrze poinformowane osoby zaprzestały nazywania Rodziny 35 (</w:t>
      </w:r>
      <w:r>
        <w:rPr>
          <w:bCs/>
          <w:b/>
        </w:rPr>
        <w:t xml:space="preserve">K</w:t>
      </w:r>
      <w:r>
        <w:rPr>
          <w:vertAlign w:val="superscript"/>
          <w:bCs/>
          <w:b/>
        </w:rPr>
        <w:t xml:space="preserve">r</w:t>
      </w:r>
      <w:r>
        <w:t xml:space="preserve">) rewizją dokonaną w jakimkolwiek czasie. Co za dużo, to niezdrowo!</w:t>
      </w:r>
      <w:r>
        <w:t xml:space="preserve"> </w:t>
      </w:r>
      <w:r>
        <w:rPr>
          <w:bCs/>
          <w:b/>
        </w:rPr>
        <w:t xml:space="preserve">Precz z kaczkami dziennikarskimi!</w:t>
      </w:r>
    </w:p>
    <w:bookmarkEnd w:id="256"/>
    <w:bookmarkStart w:id="268" w:name="sposób-traktowania-kr-przez-von-sodena"/>
    <w:p>
      <w:pPr>
        <w:pStyle w:val="Heading2"/>
      </w:pPr>
      <w:r>
        <w:t xml:space="preserve">Sposób traktowania</w:t>
      </w:r>
      <w:r>
        <w:t xml:space="preserve"> </w:t>
      </w:r>
      <w:r>
        <w:rPr>
          <w:bCs/>
          <w:b/>
        </w:rPr>
        <w:t xml:space="preserve">K</w:t>
      </w:r>
      <w:r>
        <w:rPr>
          <w:vertAlign w:val="superscript"/>
          <w:bCs/>
          <w:b/>
        </w:rPr>
        <w:t xml:space="preserve">r</w:t>
      </w:r>
      <w:r>
        <w:t xml:space="preserve"> </w:t>
      </w:r>
      <w:r>
        <w:t xml:space="preserve">przez von Sodena</w:t>
      </w:r>
    </w:p>
    <w:p>
      <w:pPr>
        <w:pStyle w:val="FirstParagraph"/>
      </w:pPr>
      <w:r>
        <w:t xml:space="preserve">Krytykowano mnie za to, że nigdy w uporządkowany sposób nie odpowiedziałem na „argumenty” von Sodena, za pomocą których uznał on swój</w:t>
      </w:r>
      <w:r>
        <w:t xml:space="preserve"> </w:t>
      </w:r>
      <w:r>
        <w:rPr>
          <w:bCs/>
          <w:b/>
        </w:rPr>
        <w:t xml:space="preserve">K</w:t>
      </w:r>
      <w:r>
        <w:rPr>
          <w:vertAlign w:val="superscript"/>
          <w:bCs/>
          <w:b/>
        </w:rPr>
        <w:t xml:space="preserve">r</w:t>
      </w:r>
      <w:r>
        <w:t xml:space="preserve"> </w:t>
      </w:r>
      <w:r>
        <w:t xml:space="preserve">za późną rewizję — nigdy nie zrobiłem dla niego tego, co zrobiłem dla Horta. Ponieważ są dziś ludzie, którzy nadal uważają jego „argumenty” za zasadne, przyznaję, że powinienem był to zrobić. Zwróciłem się do dr. Jakoba van Bruggena o pomoc w sprawie von Sodena. Rozpoczął swoją odpowiedź stwierdzeniem, że von Soden „wygłasza twierdzenia i podaje opisy, lecz nie przedstawia argumentów ani dowodów”. Jak zatem można obalić „argumenty”, które nie istnieją? Ponieważ jednak oczekuje się jakiejś odpowiedzi, ocenię te „twierdzenia”.</w:t>
      </w:r>
    </w:p>
    <w:p>
      <w:pPr>
        <w:numPr>
          <w:ilvl w:val="0"/>
          <w:numId w:val="1012"/>
        </w:numPr>
      </w:pPr>
      <w:r>
        <w:t xml:space="preserve">Von Soden zauważył, że w bibliotekach Europy Zachodniej znajdowało się stosunkowo niewiele manuskryptów</w:t>
      </w:r>
      <w:r>
        <w:t xml:space="preserve"> </w:t>
      </w:r>
      <w:r>
        <w:rPr>
          <w:bCs/>
          <w:b/>
        </w:rPr>
        <w:t xml:space="preserve">K</w:t>
      </w:r>
      <w:r>
        <w:rPr>
          <w:vertAlign w:val="superscript"/>
          <w:bCs/>
          <w:b/>
        </w:rPr>
        <w:t xml:space="preserve">r</w:t>
      </w:r>
      <w:r>
        <w:t xml:space="preserve">, co prawdopodobnie jest prawdą. Następnie jednak wyraził opinię, że była to okoliczność negatywna, przemawiająca przeciwko</w:t>
      </w:r>
      <w:r>
        <w:t xml:space="preserve"> </w:t>
      </w:r>
      <w:r>
        <w:rPr>
          <w:bCs/>
          <w:b/>
        </w:rPr>
        <w:t xml:space="preserve">K</w:t>
      </w:r>
      <w:r>
        <w:rPr>
          <w:vertAlign w:val="superscript"/>
          <w:bCs/>
          <w:b/>
        </w:rPr>
        <w:t xml:space="preserve">r</w:t>
      </w:r>
      <w:r>
        <w:t xml:space="preserve">.</w:t>
      </w:r>
      <w:r>
        <w:rPr>
          <w:rStyle w:val="FootnoteReference"/>
        </w:rPr>
        <w:footnoteReference w:id="257"/>
      </w:r>
      <w:r>
        <w:t xml:space="preserve"> </w:t>
      </w:r>
      <w:r>
        <w:t xml:space="preserve">Najwyraźniej zapomniał, że aż do reformacji protestanckiej Europę Zachodnią zdominował Kościół rzymski, a ten Kościół posługiwał się łaciną, nie greką. Co gorsza, tylko papież mógł interpretować Pismo, a jedynie duchowieństwu wolno było je w ogóle czytać. Zwykłym ludziom, laikatowi, było to zabronione. Kto zatem w całej Europie Zachodniej w XIV wieku miałby jakikolwiek pożytek z greckich manuskryptów? Były osobliwościami, eksponatami muzealnymi, które można było znaleźć wyłącznie w bibliotekach lub muzeach.</w:t>
      </w:r>
      <w:r>
        <w:t xml:space="preserve"> </w:t>
      </w:r>
      <w:r>
        <w:rPr>
          <w:u w:val="single"/>
        </w:rPr>
        <w:t xml:space="preserve">Wszystkie manuskrypty Nowego Testamentu znajdujące się w tych bibliotekach pochodziły ze Wschodu</w:t>
      </w:r>
      <w:r>
        <w:t xml:space="preserve">. Muzeum Brytyjskie (obecnie Biblioteka) ma pokaźną kolekcję, jak ją pozyskało? Zostały podarowane przez podróżników, którzy kupili je na Wschodzie. Po rozważeniu wszystkiego przedkładam czytelnikowi, że liczba manuskryptów</w:t>
      </w:r>
      <w:r>
        <w:t xml:space="preserve"> </w:t>
      </w:r>
      <w:r>
        <w:rPr>
          <w:bCs/>
          <w:b/>
        </w:rPr>
        <w:t xml:space="preserve">K</w:t>
      </w:r>
      <w:r>
        <w:rPr>
          <w:vertAlign w:val="superscript"/>
          <w:bCs/>
          <w:b/>
        </w:rPr>
        <w:t xml:space="preserve">r</w:t>
      </w:r>
      <w:r>
        <w:t xml:space="preserve"> </w:t>
      </w:r>
      <w:r>
        <w:t xml:space="preserve">na Zachodzie jest nieistotna dla wieku i natury tego typu tekstu i nie powinna być przywoływana jako argument.</w:t>
      </w:r>
    </w:p>
    <w:p>
      <w:pPr>
        <w:numPr>
          <w:ilvl w:val="0"/>
          <w:numId w:val="1012"/>
        </w:numPr>
      </w:pPr>
      <w:r>
        <w:t xml:space="preserve">Von Soden wielokrotnie wspominał dobrze znany fakt, że manuskrypty</w:t>
      </w:r>
      <w:r>
        <w:t xml:space="preserve"> </w:t>
      </w:r>
      <w:r>
        <w:rPr>
          <w:bCs/>
          <w:b/>
        </w:rPr>
        <w:t xml:space="preserve">K</w:t>
      </w:r>
      <w:r>
        <w:rPr>
          <w:vertAlign w:val="superscript"/>
          <w:bCs/>
          <w:b/>
        </w:rPr>
        <w:t xml:space="preserve">r</w:t>
      </w:r>
      <w:r>
        <w:t xml:space="preserve"> </w:t>
      </w:r>
      <w:r>
        <w:t xml:space="preserve">charakteryzuje rozbudowany aparat liturgiczny na marginesach, obejmujący również słowa „początek” i „koniec” wpisane w sam Tekst, lecz atramentem innego koloru, zazwyczaj czerwonym, aby czytelnik dokładnie wiedział, gdzie zacząć i gdzie skończyć. Chociaż niektóre manuskrypty nienależące do</w:t>
      </w:r>
      <w:r>
        <w:t xml:space="preserve"> </w:t>
      </w:r>
      <w:r>
        <w:rPr>
          <w:bCs/>
          <w:b/>
        </w:rPr>
        <w:t xml:space="preserve">K</w:t>
      </w:r>
      <w:r>
        <w:rPr>
          <w:vertAlign w:val="superscript"/>
          <w:bCs/>
          <w:b/>
        </w:rPr>
        <w:t xml:space="preserve">r</w:t>
      </w:r>
      <w:r>
        <w:t xml:space="preserve"> </w:t>
      </w:r>
      <w:r>
        <w:t xml:space="preserve">mają na marginesach pewne oznaczenia lekcji, żadne nie mają aparatu tak rozbudowanego jak</w:t>
      </w:r>
      <w:r>
        <w:t xml:space="preserve"> </w:t>
      </w:r>
      <w:r>
        <w:rPr>
          <w:bCs/>
          <w:b/>
        </w:rPr>
        <w:t xml:space="preserve">K</w:t>
      </w:r>
      <w:r>
        <w:rPr>
          <w:vertAlign w:val="superscript"/>
          <w:bCs/>
          <w:b/>
        </w:rPr>
        <w:t xml:space="preserve">r</w:t>
      </w:r>
      <w:r>
        <w:t xml:space="preserve">, z wyjątkiem tego, co Frederik Wisse</w:t>
      </w:r>
      <w:r>
        <w:rPr>
          <w:rStyle w:val="FootnoteReference"/>
        </w:rPr>
        <w:footnoteReference w:id="258"/>
      </w:r>
      <w:r>
        <w:t xml:space="preserve"> </w:t>
      </w:r>
      <w:r>
        <w:t xml:space="preserve">nazwał w Ewangelii Łukasza Zespołem 17, składającym się z mniej niż dziesięciu manuskryptów (</w:t>
      </w:r>
      <w:r>
        <w:rPr>
          <w:bCs/>
          <w:b/>
        </w:rPr>
        <w:t xml:space="preserve">K</w:t>
      </w:r>
      <w:r>
        <w:rPr>
          <w:vertAlign w:val="superscript"/>
          <w:bCs/>
          <w:b/>
        </w:rPr>
        <w:t xml:space="preserve">r</w:t>
      </w:r>
      <w:r>
        <w:t xml:space="preserve"> </w:t>
      </w:r>
      <w:r>
        <w:t xml:space="preserve">ma ich w Ewangeliach ponad 250). O ile mi wiadomo, są to jedyne dwie grupy mające tak rozbudowany aparat, obecność tego aparatu stanowi więc praktycznie cechę diagnostyczną jego</w:t>
      </w:r>
      <w:r>
        <w:t xml:space="preserve"> </w:t>
      </w:r>
      <w:r>
        <w:rPr>
          <w:bCs/>
          <w:b/>
        </w:rPr>
        <w:t xml:space="preserve">K</w:t>
      </w:r>
      <w:r>
        <w:rPr>
          <w:vertAlign w:val="superscript"/>
          <w:bCs/>
          <w:b/>
        </w:rPr>
        <w:t xml:space="preserve">r</w:t>
      </w:r>
      <w:r>
        <w:t xml:space="preserve"> </w:t>
      </w:r>
      <w:r>
        <w:t xml:space="preserve">(mojej Rodziny 35,</w:t>
      </w:r>
      <w:r>
        <w:t xml:space="preserve"> </w:t>
      </w:r>
      <w:r>
        <w:rPr>
          <w:bCs/>
          <w:b/>
        </w:rPr>
        <w:t xml:space="preserve">f</w:t>
      </w:r>
      <w:r>
        <w:rPr>
          <w:vertAlign w:val="superscript"/>
          <w:bCs/>
          <w:b/>
        </w:rPr>
        <w:t xml:space="preserve">35</w:t>
      </w:r>
      <w:r>
        <w:t xml:space="preserve">). Tyle jest faktem, lecz co to znaczy?</w:t>
      </w:r>
    </w:p>
    <w:p>
      <w:pPr>
        <w:pStyle w:val="FirstParagraph"/>
      </w:pPr>
      <w:r>
        <w:t xml:space="preserve">Von Soden wyraził opinię, że okoliczność ta wskazuje, iż jego</w:t>
      </w:r>
      <w:r>
        <w:t xml:space="preserve"> </w:t>
      </w:r>
      <w:r>
        <w:rPr>
          <w:bCs/>
          <w:b/>
        </w:rPr>
        <w:t xml:space="preserve">K</w:t>
      </w:r>
      <w:r>
        <w:rPr>
          <w:vertAlign w:val="superscript"/>
          <w:bCs/>
          <w:b/>
        </w:rPr>
        <w:t xml:space="preserve">r</w:t>
      </w:r>
      <w:r>
        <w:t xml:space="preserve"> </w:t>
      </w:r>
      <w:r>
        <w:t xml:space="preserve">był rewizją liturgiczną sporządzoną w Konstantynopolu w XII wieku, nie przedstawił jednak ani strzępka dowodu na poparcie swojej opinii. (Próbował bronić XII wieku, zmieniając datowanie trzech znanych mu manuskryptów</w:t>
      </w:r>
      <w:r>
        <w:t xml:space="preserve"> </w:t>
      </w:r>
      <w:r>
        <w:rPr>
          <w:bCs/>
          <w:b/>
        </w:rPr>
        <w:t xml:space="preserve">K</w:t>
      </w:r>
      <w:r>
        <w:rPr>
          <w:vertAlign w:val="superscript"/>
          <w:bCs/>
          <w:b/>
        </w:rPr>
        <w:t xml:space="preserve">r</w:t>
      </w:r>
      <w:r>
        <w:t xml:space="preserve"> </w:t>
      </w:r>
      <w:r>
        <w:t xml:space="preserve">z XI wieku). (Mam kopie co najmniej dziesięciu takich manuskryptów, a istnieją też inne, będę jednak argumentował, że kwestia ta jest nieistotna). Otóż dla każdego powinno być oczywiste, że sporządzenie kopii w dwóch kolorach, z rozbudowanym aparatem, wymaga więcej czasu i wysiłku niż sporządzenie kopii w jednym kolorze, bez takiego aparatu. Dlaczego więc ludzie to robili? Musiał istnieć popyt na takie kopie. Jaki jednak czynnik lub jakie czynniki mogły napędzać taki popyt?</w:t>
      </w:r>
    </w:p>
    <w:p>
      <w:pPr>
        <w:pStyle w:val="BodyText"/>
      </w:pPr>
      <w:r>
        <w:t xml:space="preserve">Manuskrypt z aparatem liturgicznym był oczywiście przygotowany do publicznego czytania, do głośnego odczytywania przed słuchaczami. Do prywatnego czytania i studiowania potrzebny jest tekst bez zakłóceń. Von Soden zauważył nawet, że poszczególne litery w jego manuskryptach</w:t>
      </w:r>
      <w:r>
        <w:t xml:space="preserve"> </w:t>
      </w:r>
      <w:r>
        <w:rPr>
          <w:bCs/>
          <w:b/>
        </w:rPr>
        <w:t xml:space="preserve">K</w:t>
      </w:r>
      <w:r>
        <w:rPr>
          <w:vertAlign w:val="superscript"/>
          <w:bCs/>
          <w:b/>
        </w:rPr>
        <w:t xml:space="preserve">r</w:t>
      </w:r>
      <w:r>
        <w:t xml:space="preserve"> </w:t>
      </w:r>
      <w:r>
        <w:t xml:space="preserve">bywały nieco większe niż w manuskryptach nienależących do</w:t>
      </w:r>
      <w:r>
        <w:t xml:space="preserve"> </w:t>
      </w:r>
      <w:r>
        <w:rPr>
          <w:bCs/>
          <w:b/>
        </w:rPr>
        <w:t xml:space="preserve">K</w:t>
      </w:r>
      <w:r>
        <w:rPr>
          <w:vertAlign w:val="superscript"/>
          <w:bCs/>
          <w:b/>
        </w:rPr>
        <w:t xml:space="preserve">r</w:t>
      </w:r>
      <w:r>
        <w:t xml:space="preserve">. Dlaczego zatem tak było? Przypuszczalnie po to, by ułatwić publiczne czytanie. Dlaczego więc</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jest zdecydowanie największą rodziną w obrębie szerokiej tradycji bizantyjskiej? I dlaczego jej przedstawiciele są rozproszeni po całym świecie śródziemnomorskim? Ile osób potrafiło czytać grekę koine i ile z nich mogło sobie pozwolić na prywatny egzemplarz Nowego Testamentu? W końcu „podaż i popyt” działa zarówno w Kościele, jak i w świecie.</w:t>
      </w:r>
    </w:p>
    <w:p>
      <w:pPr>
        <w:pStyle w:val="BodyText"/>
      </w:pPr>
      <w:r>
        <w:t xml:space="preserve">W 2014 roku spędziłem dziewięć nocy na półwyspie góry Athos, gdzie znajduje się dwadzieścia niezależnych klasztorów. Odwiedziłem pięć z nich (w tym cztery najwyższe w hierarchii), spałem w trzech i jadłem posiłki w dwóch. Do dziś mnisi i goście jedzą w milczeniu, podczas gdy jeden mnich głośno czyta Pismo. Klasztory szczycą się tym, że kierują się tradycją, która — jak twierdzą — sięga najwcześniejszych wieków. Czy nie jest rozsądne wnioskować, że tradycja ta obejmuje czytanie Pisma podczas posiłków? Czy nie używaliby manuskryptów przygotowanych właśnie do publicznego czytania? Do jakiego typu tekstu należą te manuskrypty? I dlaczego używali właśnie tego typu tekstu?</w:t>
      </w:r>
    </w:p>
    <w:p>
      <w:pPr>
        <w:pStyle w:val="BodyText"/>
      </w:pPr>
      <w:r>
        <w:t xml:space="preserve">Zupełnie niezależnie od Talmudu wiemy z Nowego Testamentu, że w żydowskich synagogach istniał zwyczaj czytania pism Starego Testamentu podczas zgromadzeń szabatowych. Sam Pan Jezus tak uczynił, jak zapisano w Ewangelii Łukasza 4,16-19. Na „Soborze Jerozolimskim” Jakub zakończył swoją decyzję słowami: „Mojżesz bowiem od dawnych pokoleń ma w każdym mieście tych, którzy go głoszą, gdyż czytany jest w synagogach w każdy szabat” (Dzieje Apostolskie 15,21). Apostoł Paweł zawsze rozpoczynał swoją służbę w nowym mieście od żydowskiej synagogi, jeśli jakaś tam była. Zauważ, co mówi Dzieje Apostolskie 13,15: „Po odczytaniu Prawa i Proroków przełożeni synagogi posłali do nich…”. W synagodze Paweł zazwyczaj rozpoczynał swoją przemowę słowami: „Mężowie Izraelici i wy, którzy boicie się Boga”, przy czym „wy, którzy boicie się Boga” odnosiło się do obecnych tam pogan.</w:t>
      </w:r>
    </w:p>
    <w:p>
      <w:pPr>
        <w:pStyle w:val="BodyText"/>
      </w:pPr>
      <w:r>
        <w:t xml:space="preserve">Otóż na samym początku wspólnota chrześcijańska składała się głównie z Żydów i takich pogan, i w naturalny sposób kontynuowali oni praktykę czytania Pisma podczas swoich cotygodniowych zgromadzeń. Przypomnij sobie, co doprowadziło do ustanowienia urzędu diakona w Dziejach Apostolskich 6. „Nie jest rzeczą właściwą, żebyśmy zaniedbali Słowo Boże, aby usługiwać przy stołach” (werset 2). „My zaś oddamy się nieustannie modlitwie i posłudze Słowa” (werset 4). Oczywiście w tamtym czasie ich Biblią był Stary Testament, pierwsza Ewangelia, Ewangelia Mateusza, została bowiem opublikowana dopiero w roku 38/39. Ponieważ jednak pisma Nowego Testamentu od samego początku uznawano za Pismo, naturalne było, że dołączono je do Starego Testamentu, a z czasem prawdopodobnie zajęły pierwsze miejsce. Zauważ, co Justyn Męczennik napisał w swojej</w:t>
      </w:r>
      <w:r>
        <w:t xml:space="preserve"> </w:t>
      </w:r>
      <w:r>
        <w:rPr>
          <w:iCs/>
          <w:i/>
        </w:rPr>
        <w:t xml:space="preserve">Pierwszej Apologii</w:t>
      </w:r>
      <w:r>
        <w:t xml:space="preserve"> </w:t>
      </w:r>
      <w:r>
        <w:t xml:space="preserve">(około 150 roku po Chr.):</w:t>
      </w:r>
    </w:p>
    <w:p>
      <w:pPr>
        <w:pStyle w:val="BlockText"/>
      </w:pPr>
      <w:r>
        <w:t xml:space="preserve">W dniu zwanym niedzielą wszyscy, którzy mieszkają w miastach lub na wsi, gromadzą się w jednym miejscu, i czytane są pamiętniki Apostołów albo pisma proroków, tak długo, jak pozwala na to czas, następnie, gdy lektor skończy, przewodniczący (przewodniczący zgromadzeniu) ustnie poucza i zachęca do naśladowania tych dobrych rzeczy.</w:t>
      </w:r>
      <w:r>
        <w:rPr>
          <w:rStyle w:val="FootnoteReference"/>
        </w:rPr>
        <w:footnoteReference w:id="259"/>
      </w:r>
    </w:p>
    <w:p>
      <w:pPr>
        <w:pStyle w:val="FirstParagraph"/>
      </w:pPr>
      <w:r>
        <w:t xml:space="preserve">„Pamiętniki Apostołów” były Ewangeliami, jakie znamy (</w:t>
      </w:r>
      <w:r>
        <w:rPr>
          <w:iCs/>
          <w:i/>
        </w:rPr>
        <w:t xml:space="preserve">Pierwsza Apologia</w:t>
      </w:r>
      <w:r>
        <w:t xml:space="preserve"> </w:t>
      </w:r>
      <w:r>
        <w:t xml:space="preserve">66). Jeśli rozważy się sposób używania przez Justyna wyrażenia „pamiętniki Apostołów” we wszystkich jego pismach, można bezpiecznie dojść do wniosku, że trafnie odnosi je do dwóch apostołów (Mateusza i Jana) oraz dwóch towarzyszy apostołów (Marka i Łukasza), których wyodrębnił. Justyn używał wyrażenia „pamiętniki Apostołów” w odniesieniu do czterech Ewangelii, lecz nigdy nie używał go w odniesieniu do ewangelii gnostyckich lub apokryficznych.</w:t>
      </w:r>
      <w:r>
        <w:rPr>
          <w:rStyle w:val="FootnoteReference"/>
        </w:rPr>
        <w:footnoteReference w:id="260"/>
      </w:r>
    </w:p>
    <w:p>
      <w:pPr>
        <w:pStyle w:val="BodyText"/>
      </w:pPr>
      <w:r>
        <w:t xml:space="preserve">Zauważ, że Ewangelie wymieniono jako pierwsze, przed „pismami proroków”, co odnosiło się do Starego Testamentu. Justyn wyraźnie pokazuje, że chrześcijanie kontynuowali praktykę czytania Pisma podczas cotygodniowych zgromadzeń i, jak należało oczekiwać, pisma Nowego Testamentu zaczęto preferować. Nie mamy dowodów, że praktykę czytania Pisma podczas publicznych zgromadzeń kiedykolwiek zarzucono, przynajmniej na Wschodzie. W rzeczy samej, samo istnienie manuskryptów lekcjonarzowych byłoby dowodem, że praktyka ta trwała. Jeśli „Kanony Euzebiusza” rzeczywiście zostały sporządzone przez Euzebiusza z Cezarei (zm. 339), mamy dowód z początku IV wieku, a on z pewnością jedynie ujednolicił to, co już praktykowano w kościołach. Gdy więc mnisi z góry Athos twierdzą, że ich praktyka sięga najdawniejszych czasów, mają rację.</w:t>
      </w:r>
      <w:r>
        <w:t xml:space="preserve"> </w:t>
      </w:r>
      <w:r>
        <w:rPr>
          <w:bCs/>
          <w:b/>
        </w:rPr>
        <w:t xml:space="preserve">Żadne z powyższych nie mówi nam jednak, jakiego typu tekstu używano</w:t>
      </w:r>
      <w:r>
        <w:t xml:space="preserve">, a na mnie spoczywa obowiązek zajęcia się tą kwestią.</w:t>
      </w:r>
    </w:p>
    <w:p>
      <w:pPr>
        <w:pStyle w:val="BodyText"/>
      </w:pPr>
      <w:r>
        <w:t xml:space="preserve">Najpierw jednak dowody lekcjonarzowe wprost przeczą twierdzeniu von Sodena, że system powstał w Konstantynopolu w XII wieku. Według</w:t>
      </w:r>
      <w:r>
        <w:t xml:space="preserve"> </w:t>
      </w:r>
      <w:r>
        <w:rPr>
          <w:iCs/>
          <w:i/>
        </w:rPr>
        <w:t xml:space="preserve">Kurzgefasste Liste</w:t>
      </w:r>
      <w:r>
        <w:rPr>
          <w:rStyle w:val="FootnoteReference"/>
        </w:rPr>
        <w:footnoteReference w:id="261"/>
      </w:r>
      <w:r>
        <w:t xml:space="preserve"> </w:t>
      </w:r>
      <w:r>
        <w:t xml:space="preserve">(luty 2018) mamy jeden zachowany lekcjonarz z IV wieku, dwa z V, dwa z VI, dwa z VII, piętnaście z VIII, 113 z IX, 162 z X i 303 z XI. Nawet jeśli zmniejszymy wszystkie te liczby o połowę (aby zapobiec sporom), dowodzą one, że von Soden całkowicie się mylił. Tak się składa, że wśród zachowanych lekcjonarzy druga co do wielkości rodzina zawiera tekst</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jest jednak mała w porównaniu z rodziną dominującą, lecz proszę zauważyć: różnica dotyczy sformułowań, a nie wyboru lekcji. Von Soden twierdził również, że tekst</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został narzucony przez władzę kościelną. Jeśli tak było, dlaczego zdecydowana większość lekcjonarzy ma inny tekst? I jak coś stworzonego w XII wieku mogło wyprzeć starożytną praktykę? Von Soden ponownie całkowicie się mylił.</w:t>
      </w:r>
    </w:p>
    <w:p>
      <w:pPr>
        <w:pStyle w:val="BodyText"/>
      </w:pPr>
      <w:r>
        <w:t xml:space="preserve">Dla każdego powinno być oczywiste, że używane książki się zużywają, im częściej są używane, tym szybciej się zużywają. Najwcześniejsze manuskrypty przetrwały, ponieważ nikt nie chciał ich używać, nie były też kopiowane (po co marnować dobry pergamin?). Jeśli wspólnoty używały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do publicznego czytania, kopie te zostałyby zużyte i nie mogłyby fizycznie przetrwać. Brak wczesnych manuskryptów</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niekoniecznie stanowi więc argument przeciwko temu typowi tekstu.</w:t>
      </w:r>
    </w:p>
    <w:p>
      <w:pPr>
        <w:numPr>
          <w:ilvl w:val="0"/>
          <w:numId w:val="1013"/>
        </w:numPr>
        <w:pStyle w:val="Compact"/>
      </w:pPr>
      <w:r>
        <w:t xml:space="preserve">Von Soden zauważył, i słusznie, że manuskrypty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charakteryzuje znacznie mniej wariantów niż manuskrypty innych typów. Jego wyjaśnienie było takie, że jego</w:t>
      </w:r>
      <w:r>
        <w:t xml:space="preserve"> </w:t>
      </w:r>
      <w:r>
        <w:rPr>
          <w:bCs/>
          <w:b/>
        </w:rPr>
        <w:t xml:space="preserve">K</w:t>
      </w:r>
      <w:r>
        <w:rPr>
          <w:vertAlign w:val="superscript"/>
          <w:bCs/>
          <w:b/>
        </w:rPr>
        <w:t xml:space="preserve">r</w:t>
      </w:r>
      <w:r>
        <w:t xml:space="preserve"> </w:t>
      </w:r>
      <w:r>
        <w:t xml:space="preserve">stanowił rewizję narzuconą przez władzę kościelną, był tekstem kontrolowanym. W obrębie dyscypliny pojęcie tekstu kontrolowanego rozszerzono na cały tekst bizantyjski. Na przykład na stronie 11* angielskiego „Wprowadzenia” redaktorzy</w:t>
      </w:r>
      <w:r>
        <w:t xml:space="preserve"> </w:t>
      </w:r>
      <w:r>
        <w:rPr>
          <w:iCs/>
          <w:i/>
        </w:rPr>
        <w:t xml:space="preserve">Editio Critica Maior</w:t>
      </w:r>
      <w:r>
        <w:t xml:space="preserve"> </w:t>
      </w:r>
      <w:r>
        <w:t xml:space="preserve">Listu Jakuba</w:t>
      </w:r>
      <w:r>
        <w:rPr>
          <w:rStyle w:val="FootnoteReference"/>
        </w:rPr>
        <w:footnoteReference w:id="262"/>
      </w:r>
      <w:r>
        <w:t xml:space="preserve"> </w:t>
      </w:r>
      <w:r>
        <w:t xml:space="preserve">określają tekst bizantyjski (obejmujący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jako „starannie kontrolowany”.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jest zdecydowanie największą i najbardziej spójną (wewnętrznie zgodną) linią przekazu w obrębie szerokiej rzeki bizantyjskiej, jeśli więc kontrolowana była masa bizantyjska,</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byłby kontrolowany w jeszcze większym stopniu.</w:t>
      </w:r>
    </w:p>
    <w:p>
      <w:pPr>
        <w:pStyle w:val="FirstParagraph"/>
      </w:pPr>
      <w:r>
        <w:t xml:space="preserve">Otóż jeśli tekst jest „kontrolowany”, ktoś musi dokonywać kontrolowania — jeśli nie ma</w:t>
      </w:r>
      <w:r>
        <w:t xml:space="preserve"> </w:t>
      </w:r>
      <w:r>
        <w:rPr>
          <w:u w:val="single"/>
        </w:rPr>
        <w:t xml:space="preserve">kontrolera</w:t>
      </w:r>
      <w:r>
        <w:t xml:space="preserve">, nie może być</w:t>
      </w:r>
      <w:r>
        <w:t xml:space="preserve"> </w:t>
      </w:r>
      <w:r>
        <w:rPr>
          <w:u w:val="single"/>
        </w:rPr>
        <w:t xml:space="preserve">kontrolowania</w:t>
      </w:r>
      <w:r>
        <w:t xml:space="preserve">. Kto zatem może nim być? Widzę trzy możliwości: ludzie, Szatan, Bóg. O ile mi wiadomo, wszyscy, którzy nazywają tekst bizantyjski „kontrolowanym”, wykluczają ze swojego modelu czynnik nadprzyrodzony, według nich kontrolowania dokonują więc ludzie, niezależnie od wpływu nadprzyrodzonego. Ponieważ rzekoma kontrola musiała działać przez ponad tysiąc lat, nie mogła być sprawowana przez jedną osobę. Kto jednak mógł kontrolować cały świat śródziemnomorski? Przez ponad tysiąc lat Kościół rzymski posługiwał się łaciną, nie greką. Czy w Kościołach prawosławnych kiedykolwiek istniała działająca władza centralna? Z pewnością nie przez tysiąc lat i nie w całym świecie śródziemnomorskim. Kto zatem dokonywał kontrolowania?</w:t>
      </w:r>
    </w:p>
    <w:p>
      <w:pPr>
        <w:pStyle w:val="BodyText"/>
      </w:pPr>
      <w:r>
        <w:t xml:space="preserve">Co więcej, rzekoma kontrola była najwyraźniej dość luźna, manuskrypty są bowiem pełne przypadkowych błędów, niezależnie od wspólnych zależności. Rozważ wniosek, do którego doszedł F. Wisse po skolacjonowaniu i przeanalizowaniu 1386 greckich manuskryptów zawierających rozdziały 1, 10 i 20 Ewangelii Łukasza (trzy pełne rozdziały). Opisał 37 linii przekazu oraz 89 „odszczepieńców”, manuskryptów tak indywidualnie odmiennych, że nie można ich było pogrupować. Spośród 37 grup 36 mieści się w szerokiej rzece bizantyjskiej, a w ich obrębie Wisse opisał 70 podgrup. Jaki rodzaj „kontroli” mógł więc dopuścić do takiej sytuacji? Ufam, że moi czytelnicy nie uznają mnie za nierozsądnego, gdy powiem, iż wobec tak konkretnych dowodów teza o „kontrolowanym” tekście bizantyjskim (z wyłączeniem czynnika nadprzyrodzonego) jest dla mnie mało przekonująca. Jak zatem mamy wyjaśnić występującą w nim względną jednolitość?</w:t>
      </w:r>
    </w:p>
    <w:p>
      <w:pPr>
        <w:pStyle w:val="BodyText"/>
      </w:pPr>
      <w:r>
        <w:t xml:space="preserve">Mam nadzieję, że moi czytelnicy wiedzą, iż osobiście nalegam, aby czynnik nadprzyrodzony uwzględniać w każdym modelu krytyki tekstu Nowego Testamentu. Zarówno Bóg, jak i Szatan z pewnością istnieją i obaj nieustannie interesują się losami Tekstu Nowego Testamentu. Od pewnego czasu bronię Boskiego zachowania Tekstu Nowego Testamentu w konkretnych kategoriach. Co ciekawe, osoby utrzymujące, że tekst bizantyjski był kontrolowany, zazwyczaj odrzucają wszelkie pojęcie Boskiego zachowania. Oczywiście jeśli nie wierzą w Boskie natchnienie, nie będą wierzyć w zachowanie. Ktoś, kto zaprzecza istnieniu Suwerennego Stwórcy, będzie logicznie utrzymywał, że nieistniejąca istota nie może niczego uczynić. Jak jednak taka osoba może wyjaśnić tekst bizantyjski? Przedkładam, że żadna hipoteza naturalistyczna nie jest w stanie wyjaśnić Rodziny 35 (</w:t>
      </w:r>
      <w:r>
        <w:rPr>
          <w:bCs/>
          <w:b/>
        </w:rPr>
        <w:t xml:space="preserve">K</w:t>
      </w:r>
      <w:r>
        <w:rPr>
          <w:vertAlign w:val="superscript"/>
          <w:bCs/>
          <w:b/>
        </w:rPr>
        <w:t xml:space="preserve">r</w:t>
      </w:r>
      <w:r>
        <w:t xml:space="preserve">).</w:t>
      </w:r>
    </w:p>
    <w:p>
      <w:pPr>
        <w:pStyle w:val="BodyText"/>
      </w:pPr>
      <w:r>
        <w:t xml:space="preserve">Szatan z pewnością nie uczyniłby niczego, by pomóc zachować Tekst Nowego Testamentu, każde jego zaangażowanie miałoby na celu wypaczenie tekstu, a tym samym podważenie jego autorytetu. (Powiedziałbym, że skoncentrował swoje wysiłki w Egipcie). W innym miejscu argumentowałem, że przekazywanie Tekstu Nowego Testamentu było przeważnie „normalne”, a normalność była określana przez Kościół chrześcijański. Dlaczego sporządzano kopie? Ponieważ zbory ich potrzebowały. Dlaczego zbory ich „potrzebowały”? Ponieważ rozumiały, że pisma Nowego Testamentu były natchnione przez Boga, i czytano je oraz omawiano podczas cotygodniowych zgromadzeń. Argumentowanie, że pierwsi chrześcijanie mylili się w tym rozumieniu, byłoby nie na temat. To rozumienie (błędne lub nie) determinowało ich stosunek do pism Nowego Testamentu, a ten kontrolował sporządzanie kopii. Jeśli większość osób sporządzających kopie stanowili szczerzy (mniej lub bardziej) chrześcijanie, wykonywali swoją pracę z należytą starannością (jedni większą, inni mniejszą). Ci, którzy mieli mocne przekonanie o natchnieniu, byliby szczególnie staranni.</w:t>
      </w:r>
    </w:p>
    <w:p>
      <w:pPr>
        <w:pStyle w:val="BodyText"/>
      </w:pPr>
      <w:r>
        <w:t xml:space="preserve">Przedkładam, że zachowane manuskrypty odzwierciedlają powyższy opis.</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zdecydowanie największa i najbardziej spójna grupa (być może jedyna grupa istniejąca we wszystkich 27 księgach), reprezentuje rdzeń przekazu, a jej przedstawiciele zostali sporządzeni przez kopistów mających wysokie przekonanie o natchnieniu (o czym świadczy nadzwyczajna staranność ich pracy). Poza tym rdzeniem istnieje wiele odnóg lub strumyków, które w różnym stopniu od niego odbiegają i które powstały w różnych czasach i miejscach. Mnich jedynie wypełniający religijny obowiązek sporządzał „przeciętną” kopię bizantyjską, wystarczająco dobrą do praktycznie wszystkich celów praktycznych, lecz niespełniającą standardu</w:t>
      </w:r>
      <w:r>
        <w:t xml:space="preserve"> </w:t>
      </w:r>
      <w:r>
        <w:rPr>
          <w:bCs/>
          <w:b/>
        </w:rPr>
        <w:t xml:space="preserve">f</w:t>
      </w:r>
      <w:r>
        <w:rPr>
          <w:vertAlign w:val="superscript"/>
          <w:bCs/>
          <w:b/>
        </w:rPr>
        <w:t xml:space="preserve">35</w:t>
      </w:r>
      <w:r>
        <w:t xml:space="preserve">.</w:t>
      </w:r>
    </w:p>
    <w:p>
      <w:pPr>
        <w:pStyle w:val="BodyText"/>
      </w:pPr>
      <w:r>
        <w:t xml:space="preserve">Czy tekst bizantyjski był zatem „kontrolowany”? Oczywiście nie w żadnym ścisłym sensie. Kontrolę sprawowało wspólne przekonanie (wewnątrz wspólnoty chrześcijańskiej), że Nowy Testament był natchniony przez Boga. To przekonanie podyktowało mnożenie kopii sporządzanych z należytą starannością. Ta należyta staranność znajduje odzwierciedlenie w podstawowej jednolitości masy bizantyjskiej. Wyjaśnienie niewiarygodnie starannego przekazu odzwierciedlonego w przedstawicielach</w:t>
      </w:r>
      <w:r>
        <w:t xml:space="preserve"> </w:t>
      </w:r>
      <w:r>
        <w:rPr>
          <w:bCs/>
          <w:b/>
        </w:rPr>
        <w:t xml:space="preserve">f</w:t>
      </w:r>
      <w:r>
        <w:rPr>
          <w:vertAlign w:val="superscript"/>
          <w:bCs/>
          <w:b/>
        </w:rPr>
        <w:t xml:space="preserve">35</w:t>
      </w:r>
      <w:r>
        <w:t xml:space="preserve"> </w:t>
      </w:r>
      <w:r>
        <w:t xml:space="preserve">wymaga jednak czegoś więcej.</w:t>
      </w:r>
    </w:p>
    <w:p>
      <w:pPr>
        <w:pStyle w:val="BodyText"/>
      </w:pPr>
      <w:r>
        <w:t xml:space="preserve">Spośród manuskryptów</w:t>
      </w:r>
      <w:r>
        <w:t xml:space="preserve"> </w:t>
      </w:r>
      <w:r>
        <w:rPr>
          <w:bCs/>
          <w:b/>
        </w:rPr>
        <w:t xml:space="preserve">f</w:t>
      </w:r>
      <w:r>
        <w:rPr>
          <w:vertAlign w:val="superscript"/>
          <w:bCs/>
          <w:b/>
        </w:rPr>
        <w:t xml:space="preserve">35</w:t>
      </w:r>
      <w:r>
        <w:t xml:space="preserve">, które sam skolacjonowałem, mam doskonałe kopie archetypu rodziny (ustalonego empirycznie) w następującej liczbie: 29 dla Listu do Filemona, 15 dla 2 Listu do Tesaloniczan, 9 dla Listu do Tytusa, 6 dla Listu do Galacjan, 4 dla Listu do Efezjan i co najmniej jedną dla 22 spośród 27 ksiąg Nowego Testamentu (a o wiele więcej różni się jedną literą!). Są to manuskrypty z całego świata śródziemnomorskiego, reprezentujące pięć stuleci. Jaki zatem rodzaj kontroli mógł wytworzyć tak niewiarygodny poziom doskonałości — kontroli sprawowanej w odizolowanych klasztorach rozsianych po świecie śródziemnomorskim i przez pięć stuleci? Nie znamy żadnego ludzkiego czynnika, który mógłby tego dokonać. Jeśli czynnik ten nie był ludzki, musiał być Boski. Ponieważ von Soden z pewnością nie myślał o kontroli nadprzyrodzonej, ponownie całkowicie się mylił.</w:t>
      </w:r>
    </w:p>
    <w:p>
      <w:pPr>
        <w:numPr>
          <w:ilvl w:val="0"/>
          <w:numId w:val="1014"/>
        </w:numPr>
        <w:pStyle w:val="Compact"/>
      </w:pPr>
      <w:r>
        <w:t xml:space="preserve">Von Soden miał obsesję na punkcie fragmentu o kobiecie cudzołożnej (Ewangelia Jana 7,53-8,11) (najwyraźniej sądził, że dostarczy on klucza do całego Nowego Testamentu). On i jego zespół skolacjonowali ponad 900 manuskryptów dla tych dwunastu wersetów (znacznie więcej niż dla jakiegokolwiek innego fragmentu Nowego Testamentu). Sprowadził te 900 manuskryptów do siedmiu rodzin lub linii przekazu, które nazwał</w:t>
      </w:r>
      <w:r>
        <w:t xml:space="preserve"> </w:t>
      </w:r>
      <w:r>
        <w:rPr>
          <w:bCs/>
          <w:b/>
        </w:rPr>
        <w:t xml:space="preserve">M</w:t>
      </w:r>
      <w:r>
        <w:rPr>
          <w:vertAlign w:val="superscript"/>
          <w:bCs/>
          <w:b/>
        </w:rPr>
        <w:t xml:space="preserve">1,2,3,4,5,6,7</w:t>
      </w:r>
      <w:r>
        <w:t xml:space="preserve"> </w:t>
      </w:r>
      <w:r>
        <w:t xml:space="preserve">(M jest pierwszą literą słowa „cudzołóstwo” po grecku). Na stronie 524 przedstawił stemma, w którym jego</w:t>
      </w:r>
      <w:r>
        <w:t xml:space="preserve"> </w:t>
      </w:r>
      <w:r>
        <w:rPr>
          <w:bCs/>
          <w:b/>
        </w:rPr>
        <w:t xml:space="preserve">M</w:t>
      </w:r>
      <w:r>
        <w:rPr>
          <w:vertAlign w:val="superscript"/>
          <w:bCs/>
          <w:b/>
        </w:rPr>
        <w:t xml:space="preserve">1</w:t>
      </w:r>
      <w:r>
        <w:t xml:space="preserve"> </w:t>
      </w:r>
      <w:r>
        <w:t xml:space="preserve">znajdowała się najbliżej Źródła, a</w:t>
      </w:r>
      <w:r>
        <w:t xml:space="preserve"> </w:t>
      </w:r>
      <w:r>
        <w:rPr>
          <w:bCs/>
          <w:b/>
        </w:rPr>
        <w:t xml:space="preserve">M</w:t>
      </w:r>
      <w:r>
        <w:rPr>
          <w:vertAlign w:val="superscript"/>
          <w:bCs/>
          <w:b/>
        </w:rPr>
        <w:t xml:space="preserve">7</w:t>
      </w:r>
      <w:r>
        <w:t xml:space="preserve"> </w:t>
      </w:r>
      <w:r>
        <w:t xml:space="preserve">najdalej od tego Źródła. Trzy ostatnie rodziny były zdecydowanie największe, każda z nich była większa niż pierwsze cztery razem wzięte, do tego stopnia, że dowolne dwie spośród tych trzech stanowiły większość całości. Von Soden argumentował, że jego</w:t>
      </w:r>
      <w:r>
        <w:t xml:space="preserve"> </w:t>
      </w:r>
      <w:r>
        <w:rPr>
          <w:bCs/>
          <w:b/>
        </w:rPr>
        <w:t xml:space="preserve">M</w:t>
      </w:r>
      <w:r>
        <w:rPr>
          <w:vertAlign w:val="superscript"/>
          <w:bCs/>
          <w:b/>
        </w:rPr>
        <w:t xml:space="preserve">7</w:t>
      </w:r>
      <w:r>
        <w:t xml:space="preserve"> </w:t>
      </w:r>
      <w:r>
        <w:t xml:space="preserve">była kompozycją opartą na jego</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a zatem była od nich późniejsza i gorsza.</w:t>
      </w:r>
    </w:p>
    <w:p>
      <w:pPr>
        <w:pStyle w:val="FirstParagraph"/>
      </w:pPr>
      <w:r>
        <w:t xml:space="preserve">Przypomina to sposób traktowania przez Horta jego tekstu „syryjskiego”. Hort przedstawił jednak osiem rzekomych „konflacji” w obrębie swojego tekstu syryjskiego i na tej podstawie potępił go dla całego Nowego Testamentu. Otóż prawdziwa konflacja jest z definicji wtórna (jeśli można udowodnić, że dwa krótsze odczyty nie są niezależnymi uproszczeniami oryginalnego, dłuższego odczytu). W „Perykopie”</w:t>
      </w:r>
      <w:r>
        <w:t xml:space="preserve"> </w:t>
      </w:r>
      <w:r>
        <w:rPr>
          <w:bCs/>
          <w:b/>
        </w:rPr>
        <w:t xml:space="preserve">M</w:t>
      </w:r>
      <w:r>
        <w:rPr>
          <w:vertAlign w:val="superscript"/>
          <w:bCs/>
          <w:b/>
        </w:rPr>
        <w:t xml:space="preserve">7</w:t>
      </w:r>
      <w:r>
        <w:t xml:space="preserve"> </w:t>
      </w:r>
      <w:r>
        <w:t xml:space="preserve">nie zawiera jednak żadnych „konflacji”, na jakiej więc obiektywnej podstawie von Soden twierdził, że opierała się na</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 obrębie Perykopy istnieją 32 zestawy wariantów istotne dla tych trzech dużych grup, które teraz odtworzę. Proszę czytelnika, aby spróbował przeanalizować dowody bez uprzednich założeń.</w:t>
      </w:r>
    </w:p>
    <w:p>
      <w:pPr>
        <w:pStyle w:val="BodyText"/>
      </w:pPr>
      <w:r>
        <w:t xml:space="preserve">Poniższe informacje opierają się na pełnym kolacjonowaniu przez Maurice’a A. Robinsona 1389 manuskryptów zawierających Perykopę, Ewangelię Jana 7,53-8,11.</w:t>
      </w:r>
      <w:r>
        <w:rPr>
          <w:rStyle w:val="FootnoteReference"/>
        </w:rPr>
        <w:footnoteReference w:id="263"/>
      </w:r>
      <w:r>
        <w:t xml:space="preserve"> </w:t>
      </w:r>
      <w:r>
        <w:t xml:space="preserve">Próbowałem ustalić profil odczytów dla każdej z trzech głównych grup manuskryptów,</w:t>
      </w:r>
      <w:r>
        <w:t xml:space="preserve"> </w:t>
      </w:r>
      <w:r>
        <w:rPr>
          <w:bCs/>
          <w:b/>
        </w:rPr>
        <w:t xml:space="preserve">M</w:t>
      </w:r>
      <w:r>
        <w:rPr>
          <w:vertAlign w:val="superscript"/>
          <w:bCs/>
          <w:b/>
        </w:rPr>
        <w:t xml:space="preserve">5,6,7</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Werset</w:t>
            </w:r>
          </w:p>
        </w:tc>
        <w:tc>
          <w:tcPr/>
          <w:p>
            <w:pPr>
              <w:pStyle w:val="Compact"/>
              <w:jc w:val="right"/>
            </w:pPr>
            <w:r>
              <w:t xml:space="preserve">Zestaw</w:t>
            </w:r>
          </w:p>
        </w:tc>
        <w:tc>
          <w:tcPr/>
          <w:p>
            <w:pPr>
              <w:pStyle w:val="Compact"/>
              <w:jc w:val="left"/>
            </w:pPr>
            <w:r>
              <w:rPr>
                <w:bCs/>
                <w:b/>
              </w:rPr>
              <w:t xml:space="preserve">M</w:t>
            </w:r>
            <w:r>
              <w:rPr>
                <w:vertAlign w:val="superscript"/>
                <w:bCs/>
                <w:b/>
              </w:rPr>
              <w:t xml:space="preserve">7</w:t>
            </w:r>
          </w:p>
        </w:tc>
        <w:tc>
          <w:tcPr/>
          <w:p>
            <w:pPr>
              <w:pStyle w:val="Compact"/>
              <w:jc w:val="left"/>
            </w:pPr>
            <w:r>
              <w:rPr>
                <w:bCs/>
                <w:b/>
              </w:rPr>
              <w:t xml:space="preserve">M</w:t>
            </w:r>
            <w:r>
              <w:rPr>
                <w:vertAlign w:val="superscript"/>
                <w:bCs/>
                <w:b/>
              </w:rPr>
              <w:t xml:space="preserve">6</w:t>
            </w:r>
          </w:p>
        </w:tc>
        <w:tc>
          <w:tcPr/>
          <w:p>
            <w:pPr>
              <w:pStyle w:val="Compact"/>
              <w:jc w:val="left"/>
            </w:pPr>
            <w:r>
              <w:rPr>
                <w:bCs/>
                <w:b/>
              </w:rPr>
              <w:t xml:space="preserve">M</w:t>
            </w:r>
            <w:r>
              <w:rPr>
                <w:vertAlign w:val="superscript"/>
                <w:bCs/>
                <w:b/>
              </w:rPr>
              <w:t xml:space="preserve">5</w:t>
            </w:r>
          </w:p>
        </w:tc>
      </w:tr>
      <w:tr>
        <w:tc>
          <w:tcPr/>
          <w:p>
            <w:pPr>
              <w:pStyle w:val="Compact"/>
              <w:jc w:val="left"/>
            </w:pPr>
            <w:r>
              <w:t xml:space="preserve">7,53</w:t>
            </w:r>
          </w:p>
        </w:tc>
        <w:tc>
          <w:tcPr/>
          <w:p>
            <w:pPr>
              <w:pStyle w:val="Compact"/>
              <w:jc w:val="right"/>
            </w:pPr>
            <w:r>
              <w:t xml:space="preserve">01</w:t>
            </w:r>
          </w:p>
        </w:tc>
        <w:tc>
          <w:tcPr/>
          <w:p>
            <w:pPr>
              <w:pStyle w:val="Compact"/>
              <w:jc w:val="left"/>
            </w:pPr>
            <w:r>
              <w:t xml:space="preserve">απηλθεν</w:t>
            </w:r>
          </w:p>
        </w:tc>
        <w:tc>
          <w:tcPr/>
          <w:p>
            <w:pPr>
              <w:pStyle w:val="Compact"/>
              <w:jc w:val="left"/>
            </w:pPr>
            <w:r>
              <w:t xml:space="preserve">απηλθεν / απηλθον</w:t>
            </w:r>
          </w:p>
        </w:tc>
        <w:tc>
          <w:tcPr/>
          <w:p>
            <w:pPr>
              <w:pStyle w:val="Compact"/>
              <w:jc w:val="left"/>
            </w:pPr>
            <w:r>
              <w:t xml:space="preserve">**επορευθη / επορευθησαν</w:t>
            </w:r>
          </w:p>
        </w:tc>
      </w:tr>
      <w:tr>
        <w:tc>
          <w:tcPr/>
          <w:p>
            <w:pPr>
              <w:pStyle w:val="Compact"/>
              <w:jc w:val="left"/>
            </w:pPr>
            <w:r>
              <w:t xml:space="preserve">8,1</w:t>
            </w:r>
          </w:p>
        </w:tc>
        <w:tc>
          <w:tcPr/>
          <w:p>
            <w:pPr>
              <w:pStyle w:val="Compact"/>
              <w:jc w:val="right"/>
            </w:pPr>
            <w:r>
              <w:t xml:space="preserve">02</w:t>
            </w:r>
          </w:p>
        </w:tc>
        <w:tc>
          <w:tcPr/>
          <w:p>
            <w:pPr>
              <w:pStyle w:val="Compact"/>
              <w:jc w:val="left"/>
            </w:pPr>
            <w:r>
              <w:t xml:space="preserve">Ιησους δε</w:t>
            </w:r>
          </w:p>
        </w:tc>
        <w:tc>
          <w:tcPr/>
          <w:p>
            <w:pPr>
              <w:pStyle w:val="Compact"/>
              <w:jc w:val="left"/>
            </w:pPr>
            <w:r>
              <w:t xml:space="preserve">**και ο Ιησους δε / και ο Ιησους</w:t>
            </w:r>
          </w:p>
        </w:tc>
        <w:tc>
          <w:tcPr/>
          <w:p>
            <w:pPr>
              <w:pStyle w:val="Compact"/>
              <w:jc w:val="left"/>
            </w:pPr>
            <w:r>
              <w:t xml:space="preserve">Ιησους δε</w:t>
            </w:r>
          </w:p>
        </w:tc>
      </w:tr>
      <w:tr>
        <w:tc>
          <w:tcPr/>
          <w:p>
            <w:pPr>
              <w:pStyle w:val="Compact"/>
              <w:jc w:val="left"/>
            </w:pPr>
            <w:r>
              <w:t xml:space="preserve">8,2</w:t>
            </w:r>
          </w:p>
        </w:tc>
        <w:tc>
          <w:tcPr/>
          <w:p>
            <w:pPr>
              <w:pStyle w:val="Compact"/>
              <w:jc w:val="right"/>
            </w:pPr>
            <w:r>
              <w:t xml:space="preserve">03</w:t>
            </w:r>
          </w:p>
        </w:tc>
        <w:tc>
          <w:tcPr/>
          <w:p>
            <w:pPr>
              <w:pStyle w:val="Compact"/>
              <w:jc w:val="left"/>
            </w:pPr>
            <w:r>
              <w:t xml:space="preserve">(βαθεως) = pominięcie</w:t>
            </w:r>
          </w:p>
        </w:tc>
        <w:tc>
          <w:tcPr/>
          <w:p>
            <w:pPr>
              <w:pStyle w:val="Compact"/>
              <w:jc w:val="left"/>
            </w:pPr>
            <w:r>
              <w:t xml:space="preserve">**βαθεως / βαθεος</w:t>
            </w:r>
          </w:p>
        </w:tc>
        <w:tc>
          <w:tcPr/>
          <w:p>
            <w:pPr>
              <w:pStyle w:val="Compact"/>
              <w:jc w:val="left"/>
            </w:pPr>
            <w:r>
              <w:t xml:space="preserve">(βαθεως)</w:t>
            </w:r>
          </w:p>
        </w:tc>
      </w:tr>
      <w:tr>
        <w:tc>
          <w:tcPr/>
          <w:p>
            <w:pPr>
              <w:pStyle w:val="Compact"/>
              <w:jc w:val="left"/>
            </w:pPr>
            <w:r>
              <w:t xml:space="preserve">8,2</w:t>
            </w:r>
          </w:p>
        </w:tc>
        <w:tc>
          <w:tcPr/>
          <w:p>
            <w:pPr>
              <w:pStyle w:val="Compact"/>
              <w:jc w:val="right"/>
            </w:pPr>
            <w:r>
              <w:t xml:space="preserve">04</w:t>
            </w:r>
          </w:p>
        </w:tc>
        <w:tc>
          <w:tcPr/>
          <w:p>
            <w:pPr>
              <w:pStyle w:val="Compact"/>
              <w:jc w:val="left"/>
            </w:pPr>
            <w:r>
              <w:t xml:space="preserve">παρεγενετο</w:t>
            </w:r>
          </w:p>
        </w:tc>
        <w:tc>
          <w:tcPr/>
          <w:p>
            <w:pPr>
              <w:pStyle w:val="Compact"/>
              <w:jc w:val="left"/>
            </w:pPr>
            <w:r>
              <w:t xml:space="preserve">**ηλθεν ο Ιησους</w:t>
            </w:r>
          </w:p>
        </w:tc>
        <w:tc>
          <w:tcPr/>
          <w:p>
            <w:pPr>
              <w:pStyle w:val="Compact"/>
              <w:jc w:val="left"/>
            </w:pPr>
            <w:r>
              <w:t xml:space="preserve">παρεγενετο</w:t>
            </w:r>
          </w:p>
        </w:tc>
      </w:tr>
      <w:tr>
        <w:tc>
          <w:tcPr/>
          <w:p>
            <w:pPr>
              <w:pStyle w:val="Compact"/>
              <w:jc w:val="left"/>
            </w:pPr>
            <w:r>
              <w:t xml:space="preserve">8,2</w:t>
            </w:r>
          </w:p>
        </w:tc>
        <w:tc>
          <w:tcPr/>
          <w:p>
            <w:pPr>
              <w:pStyle w:val="Compact"/>
              <w:jc w:val="right"/>
            </w:pPr>
            <w:r>
              <w:t xml:space="preserve">05</w:t>
            </w:r>
          </w:p>
        </w:tc>
        <w:tc>
          <w:tcPr/>
          <w:p>
            <w:pPr>
              <w:pStyle w:val="Compact"/>
              <w:jc w:val="left"/>
            </w:pPr>
            <w:r>
              <w:t xml:space="preserve">προς αυτον</w:t>
            </w:r>
          </w:p>
        </w:tc>
        <w:tc>
          <w:tcPr/>
          <w:p>
            <w:pPr>
              <w:pStyle w:val="Compact"/>
              <w:jc w:val="left"/>
            </w:pPr>
            <w:r>
              <w:t xml:space="preserve">προς αυτον</w:t>
            </w:r>
          </w:p>
        </w:tc>
        <w:tc>
          <w:tcPr/>
          <w:p>
            <w:pPr>
              <w:pStyle w:val="Compact"/>
              <w:jc w:val="left"/>
            </w:pPr>
            <w:r>
              <w:t xml:space="preserve">**(προς αυτον)</w:t>
            </w:r>
          </w:p>
        </w:tc>
      </w:tr>
      <w:tr>
        <w:tc>
          <w:tcPr/>
          <w:p>
            <w:pPr>
              <w:pStyle w:val="Compact"/>
              <w:jc w:val="left"/>
            </w:pPr>
            <w:r>
              <w:t xml:space="preserve">8,3</w:t>
            </w:r>
          </w:p>
        </w:tc>
        <w:tc>
          <w:tcPr/>
          <w:p>
            <w:pPr>
              <w:pStyle w:val="Compact"/>
              <w:jc w:val="right"/>
            </w:pPr>
            <w:r>
              <w:t xml:space="preserve">06</w:t>
            </w:r>
          </w:p>
        </w:tc>
        <w:tc>
          <w:tcPr/>
          <w:p>
            <w:pPr>
              <w:pStyle w:val="Compact"/>
              <w:jc w:val="left"/>
            </w:pPr>
            <w:r>
              <w:t xml:space="preserve">προς αυτον</w:t>
            </w:r>
          </w:p>
        </w:tc>
        <w:tc>
          <w:tcPr/>
          <w:p>
            <w:pPr>
              <w:pStyle w:val="Compact"/>
              <w:jc w:val="left"/>
            </w:pPr>
            <w:r>
              <w:t xml:space="preserve">(προς αυτον) / προς αυτον</w:t>
            </w:r>
          </w:p>
        </w:tc>
        <w:tc>
          <w:tcPr/>
          <w:p>
            <w:pPr>
              <w:pStyle w:val="Compact"/>
              <w:jc w:val="left"/>
            </w:pPr>
            <w:r>
              <w:t xml:space="preserve">προς αυτον</w:t>
            </w:r>
          </w:p>
        </w:tc>
      </w:tr>
      <w:tr>
        <w:tc>
          <w:tcPr/>
          <w:p>
            <w:pPr>
              <w:pStyle w:val="Compact"/>
              <w:jc w:val="left"/>
            </w:pPr>
            <w:r>
              <w:t xml:space="preserve">8,3</w:t>
            </w:r>
          </w:p>
        </w:tc>
        <w:tc>
          <w:tcPr/>
          <w:p>
            <w:pPr>
              <w:pStyle w:val="Compact"/>
              <w:jc w:val="right"/>
            </w:pPr>
            <w:r>
              <w:t xml:space="preserve">07</w:t>
            </w:r>
          </w:p>
        </w:tc>
        <w:tc>
          <w:tcPr/>
          <w:p>
            <w:pPr>
              <w:pStyle w:val="Compact"/>
              <w:jc w:val="left"/>
            </w:pPr>
            <w:r>
              <w:t xml:space="preserve">επι</w:t>
            </w:r>
          </w:p>
        </w:tc>
        <w:tc>
          <w:tcPr/>
          <w:p>
            <w:pPr>
              <w:pStyle w:val="Compact"/>
              <w:jc w:val="left"/>
            </w:pPr>
            <w:r>
              <w:t xml:space="preserve">επι</w:t>
            </w:r>
          </w:p>
        </w:tc>
        <w:tc>
          <w:tcPr/>
          <w:p>
            <w:pPr>
              <w:pStyle w:val="Compact"/>
              <w:jc w:val="left"/>
            </w:pPr>
            <w:r>
              <w:t xml:space="preserve">**εν</w:t>
            </w:r>
          </w:p>
        </w:tc>
      </w:tr>
      <w:tr>
        <w:tc>
          <w:tcPr/>
          <w:p>
            <w:pPr>
              <w:pStyle w:val="Compact"/>
              <w:jc w:val="left"/>
            </w:pPr>
            <w:r>
              <w:t xml:space="preserve">8,3</w:t>
            </w:r>
          </w:p>
        </w:tc>
        <w:tc>
          <w:tcPr/>
          <w:p>
            <w:pPr>
              <w:pStyle w:val="Compact"/>
              <w:jc w:val="right"/>
            </w:pPr>
            <w:r>
              <w:t xml:space="preserve">08</w:t>
            </w:r>
          </w:p>
        </w:tc>
        <w:tc>
          <w:tcPr/>
          <w:p>
            <w:pPr>
              <w:pStyle w:val="Compact"/>
              <w:jc w:val="left"/>
            </w:pPr>
            <w:r>
              <w:t xml:space="preserve">κατειλημμενην</w:t>
            </w:r>
          </w:p>
        </w:tc>
        <w:tc>
          <w:tcPr/>
          <w:p>
            <w:pPr>
              <w:pStyle w:val="Compact"/>
              <w:jc w:val="left"/>
            </w:pPr>
            <w:r>
              <w:t xml:space="preserve">κατειλημμενην</w:t>
            </w:r>
          </w:p>
        </w:tc>
        <w:tc>
          <w:tcPr/>
          <w:p>
            <w:pPr>
              <w:pStyle w:val="Compact"/>
              <w:jc w:val="left"/>
            </w:pPr>
            <w:r>
              <w:t xml:space="preserve">**καταληφθεισαν</w:t>
            </w:r>
          </w:p>
        </w:tc>
      </w:tr>
      <w:tr>
        <w:tc>
          <w:tcPr/>
          <w:p>
            <w:pPr>
              <w:pStyle w:val="Compact"/>
              <w:jc w:val="left"/>
            </w:pPr>
            <w:r>
              <w:t xml:space="preserve">8,3</w:t>
            </w:r>
          </w:p>
        </w:tc>
        <w:tc>
          <w:tcPr/>
          <w:p>
            <w:pPr>
              <w:pStyle w:val="Compact"/>
              <w:jc w:val="right"/>
            </w:pPr>
            <w:r>
              <w:t xml:space="preserve">09</w:t>
            </w:r>
          </w:p>
        </w:tc>
        <w:tc>
          <w:tcPr/>
          <w:p>
            <w:pPr>
              <w:pStyle w:val="Compact"/>
              <w:jc w:val="left"/>
            </w:pPr>
            <w:r>
              <w:t xml:space="preserve">εν μεσω</w:t>
            </w:r>
          </w:p>
        </w:tc>
        <w:tc>
          <w:tcPr/>
          <w:p>
            <w:pPr>
              <w:pStyle w:val="Compact"/>
              <w:jc w:val="left"/>
            </w:pPr>
            <w:r>
              <w:t xml:space="preserve">εν τω μεσω / εν μεσω</w:t>
            </w:r>
          </w:p>
        </w:tc>
        <w:tc>
          <w:tcPr/>
          <w:p>
            <w:pPr>
              <w:pStyle w:val="Compact"/>
              <w:jc w:val="left"/>
            </w:pPr>
            <w:r>
              <w:t xml:space="preserve">εν μεσω</w:t>
            </w:r>
          </w:p>
        </w:tc>
      </w:tr>
      <w:tr>
        <w:tc>
          <w:tcPr/>
          <w:p>
            <w:pPr>
              <w:pStyle w:val="Compact"/>
              <w:jc w:val="left"/>
            </w:pPr>
            <w:r>
              <w:t xml:space="preserve">8,4</w:t>
            </w:r>
          </w:p>
        </w:tc>
        <w:tc>
          <w:tcPr/>
          <w:p>
            <w:pPr>
              <w:pStyle w:val="Compact"/>
              <w:jc w:val="right"/>
            </w:pPr>
            <w:r>
              <w:t xml:space="preserve">10</w:t>
            </w:r>
          </w:p>
        </w:tc>
        <w:tc>
          <w:tcPr/>
          <w:p>
            <w:pPr>
              <w:pStyle w:val="Compact"/>
              <w:jc w:val="left"/>
            </w:pPr>
            <w:r>
              <w:t xml:space="preserve">λεγουσιν</w:t>
            </w:r>
          </w:p>
        </w:tc>
        <w:tc>
          <w:tcPr/>
          <w:p>
            <w:pPr>
              <w:pStyle w:val="Compact"/>
              <w:jc w:val="left"/>
            </w:pPr>
            <w:r>
              <w:t xml:space="preserve">**ειπον</w:t>
            </w:r>
          </w:p>
        </w:tc>
        <w:tc>
          <w:tcPr/>
          <w:p>
            <w:pPr>
              <w:pStyle w:val="Compact"/>
              <w:jc w:val="left"/>
            </w:pPr>
            <w:r>
              <w:t xml:space="preserve">λεγουσιν</w:t>
            </w:r>
          </w:p>
        </w:tc>
      </w:tr>
      <w:tr>
        <w:tc>
          <w:tcPr/>
          <w:p>
            <w:pPr>
              <w:pStyle w:val="Compact"/>
              <w:jc w:val="left"/>
            </w:pPr>
            <w:r>
              <w:t xml:space="preserve">8,4</w:t>
            </w:r>
          </w:p>
        </w:tc>
        <w:tc>
          <w:tcPr/>
          <w:p>
            <w:pPr>
              <w:pStyle w:val="Compact"/>
              <w:jc w:val="right"/>
            </w:pPr>
            <w:r>
              <w:t xml:space="preserve">11</w:t>
            </w:r>
          </w:p>
        </w:tc>
        <w:tc>
          <w:tcPr/>
          <w:p>
            <w:pPr>
              <w:pStyle w:val="Compact"/>
              <w:jc w:val="left"/>
            </w:pPr>
            <w:r>
              <w:t xml:space="preserve">(πειραζοντες)</w:t>
            </w:r>
          </w:p>
        </w:tc>
        <w:tc>
          <w:tcPr/>
          <w:p>
            <w:pPr>
              <w:pStyle w:val="Compact"/>
              <w:jc w:val="left"/>
            </w:pPr>
            <w:r>
              <w:t xml:space="preserve">(πειραζοντες)</w:t>
            </w:r>
          </w:p>
        </w:tc>
        <w:tc>
          <w:tcPr/>
          <w:p>
            <w:pPr>
              <w:pStyle w:val="Compact"/>
              <w:jc w:val="left"/>
            </w:pPr>
            <w:r>
              <w:t xml:space="preserve">**πειραζοντες</w:t>
            </w:r>
          </w:p>
        </w:tc>
      </w:tr>
      <w:tr>
        <w:tc>
          <w:tcPr/>
          <w:p>
            <w:pPr>
              <w:pStyle w:val="Compact"/>
              <w:jc w:val="left"/>
            </w:pPr>
            <w:r>
              <w:t xml:space="preserve">8,4</w:t>
            </w:r>
          </w:p>
        </w:tc>
        <w:tc>
          <w:tcPr/>
          <w:p>
            <w:pPr>
              <w:pStyle w:val="Compact"/>
              <w:jc w:val="right"/>
            </w:pPr>
            <w:r>
              <w:t xml:space="preserve">12</w:t>
            </w:r>
          </w:p>
        </w:tc>
        <w:tc>
          <w:tcPr/>
          <w:p>
            <w:pPr>
              <w:pStyle w:val="Compact"/>
              <w:jc w:val="left"/>
            </w:pPr>
            <w:r>
              <w:t xml:space="preserve">ταυτην ευρομεν</w:t>
            </w:r>
          </w:p>
        </w:tc>
        <w:tc>
          <w:tcPr/>
          <w:p>
            <w:pPr>
              <w:pStyle w:val="Compact"/>
              <w:jc w:val="left"/>
            </w:pPr>
            <w:r>
              <w:t xml:space="preserve">ταυτην ευρομεν</w:t>
            </w:r>
          </w:p>
        </w:tc>
        <w:tc>
          <w:tcPr/>
          <w:p>
            <w:pPr>
              <w:pStyle w:val="Compact"/>
              <w:jc w:val="left"/>
            </w:pPr>
            <w:r>
              <w:t xml:space="preserve">**αυτη η γυνη κατεληφθη / ειληπται / κατειληπται</w:t>
            </w:r>
          </w:p>
        </w:tc>
      </w:tr>
      <w:tr>
        <w:tc>
          <w:tcPr/>
          <w:p>
            <w:pPr>
              <w:pStyle w:val="Compact"/>
              <w:jc w:val="left"/>
            </w:pPr>
            <w:r>
              <w:t xml:space="preserve">8,4</w:t>
            </w:r>
          </w:p>
        </w:tc>
        <w:tc>
          <w:tcPr/>
          <w:p>
            <w:pPr>
              <w:pStyle w:val="Compact"/>
              <w:jc w:val="right"/>
            </w:pPr>
            <w:r>
              <w:t xml:space="preserve">13</w:t>
            </w:r>
          </w:p>
        </w:tc>
        <w:tc>
          <w:tcPr/>
          <w:p>
            <w:pPr>
              <w:pStyle w:val="Compact"/>
              <w:jc w:val="left"/>
            </w:pPr>
            <w:r>
              <w:t xml:space="preserve">επαυτοφωρω</w:t>
            </w:r>
          </w:p>
        </w:tc>
        <w:tc>
          <w:tcPr/>
          <w:p>
            <w:pPr>
              <w:pStyle w:val="Compact"/>
              <w:jc w:val="left"/>
            </w:pPr>
            <w:r>
              <w:t xml:space="preserve">επαυτοφωρω / -φορω / -φορως</w:t>
            </w:r>
          </w:p>
        </w:tc>
        <w:tc>
          <w:tcPr/>
          <w:p>
            <w:pPr>
              <w:pStyle w:val="Compact"/>
              <w:jc w:val="left"/>
            </w:pPr>
            <w:r>
              <w:t xml:space="preserve">επαυτοφωρω / -φορω</w:t>
            </w:r>
          </w:p>
        </w:tc>
      </w:tr>
      <w:tr>
        <w:tc>
          <w:tcPr/>
          <w:p>
            <w:pPr>
              <w:pStyle w:val="Compact"/>
              <w:jc w:val="left"/>
            </w:pPr>
            <w:r>
              <w:t xml:space="preserve">8,4</w:t>
            </w:r>
          </w:p>
        </w:tc>
        <w:tc>
          <w:tcPr/>
          <w:p>
            <w:pPr>
              <w:pStyle w:val="Compact"/>
              <w:jc w:val="right"/>
            </w:pPr>
            <w:r>
              <w:t xml:space="preserve">14</w:t>
            </w:r>
          </w:p>
        </w:tc>
        <w:tc>
          <w:tcPr/>
          <w:p>
            <w:pPr>
              <w:pStyle w:val="Compact"/>
              <w:jc w:val="left"/>
            </w:pPr>
            <w:r>
              <w:t xml:space="preserve">μοιχευομενην</w:t>
            </w:r>
          </w:p>
        </w:tc>
        <w:tc>
          <w:tcPr/>
          <w:p>
            <w:pPr>
              <w:pStyle w:val="Compact"/>
              <w:jc w:val="left"/>
            </w:pPr>
            <w:r>
              <w:t xml:space="preserve">μοιχευομενην / -νη</w:t>
            </w:r>
          </w:p>
        </w:tc>
        <w:tc>
          <w:tcPr/>
          <w:p>
            <w:pPr>
              <w:pStyle w:val="Compact"/>
              <w:jc w:val="left"/>
            </w:pPr>
            <w:r>
              <w:t xml:space="preserve">**μοιχευομενη</w:t>
            </w:r>
          </w:p>
        </w:tc>
      </w:tr>
      <w:tr>
        <w:tc>
          <w:tcPr/>
          <w:p>
            <w:pPr>
              <w:pStyle w:val="Compact"/>
              <w:jc w:val="left"/>
            </w:pPr>
            <w:r>
              <w:t xml:space="preserve">8,5</w:t>
            </w:r>
          </w:p>
        </w:tc>
        <w:tc>
          <w:tcPr/>
          <w:p>
            <w:pPr>
              <w:pStyle w:val="Compact"/>
              <w:jc w:val="right"/>
            </w:pPr>
            <w:r>
              <w:t xml:space="preserve">15</w:t>
            </w:r>
          </w:p>
        </w:tc>
        <w:tc>
          <w:tcPr/>
          <w:p>
            <w:pPr>
              <w:pStyle w:val="Compact"/>
              <w:jc w:val="left"/>
            </w:pPr>
            <w:r>
              <w:t xml:space="preserve">ημων Μωσης</w:t>
            </w:r>
          </w:p>
        </w:tc>
        <w:tc>
          <w:tcPr/>
          <w:p>
            <w:pPr>
              <w:pStyle w:val="Compact"/>
              <w:jc w:val="left"/>
            </w:pPr>
            <w:r>
              <w:t xml:space="preserve">ημων Μωσης / υμων Μωσης / Μ. ενετ. ημιν / Μωση</w:t>
            </w:r>
          </w:p>
        </w:tc>
        <w:tc>
          <w:tcPr/>
          <w:p>
            <w:pPr>
              <w:pStyle w:val="Compact"/>
              <w:jc w:val="left"/>
            </w:pPr>
            <w:r>
              <w:t xml:space="preserve">**Μωσης ημιν</w:t>
            </w:r>
          </w:p>
        </w:tc>
      </w:tr>
      <w:tr>
        <w:tc>
          <w:tcPr/>
          <w:p>
            <w:pPr>
              <w:pStyle w:val="Compact"/>
              <w:jc w:val="left"/>
            </w:pPr>
            <w:r>
              <w:t xml:space="preserve">8,5</w:t>
            </w:r>
          </w:p>
        </w:tc>
        <w:tc>
          <w:tcPr/>
          <w:p>
            <w:pPr>
              <w:pStyle w:val="Compact"/>
              <w:jc w:val="right"/>
            </w:pPr>
            <w:r>
              <w:t xml:space="preserve">16</w:t>
            </w:r>
          </w:p>
        </w:tc>
        <w:tc>
          <w:tcPr/>
          <w:p>
            <w:pPr>
              <w:pStyle w:val="Compact"/>
              <w:jc w:val="left"/>
            </w:pPr>
            <w:r>
              <w:t xml:space="preserve">λιθοβολεισθαι</w:t>
            </w:r>
          </w:p>
        </w:tc>
        <w:tc>
          <w:tcPr/>
          <w:p>
            <w:pPr>
              <w:pStyle w:val="Compact"/>
              <w:jc w:val="left"/>
            </w:pPr>
            <w:r>
              <w:t xml:space="preserve">**λιθαζειν</w:t>
            </w:r>
          </w:p>
        </w:tc>
        <w:tc>
          <w:tcPr/>
          <w:p>
            <w:pPr>
              <w:pStyle w:val="Compact"/>
              <w:jc w:val="left"/>
            </w:pPr>
            <w:r>
              <w:t xml:space="preserve">λιθοβολεισθαι</w:t>
            </w:r>
          </w:p>
        </w:tc>
      </w:tr>
      <w:tr>
        <w:tc>
          <w:tcPr/>
          <w:p>
            <w:pPr>
              <w:pStyle w:val="Compact"/>
              <w:jc w:val="left"/>
            </w:pPr>
            <w:r>
              <w:t xml:space="preserve">8,5</w:t>
            </w:r>
          </w:p>
        </w:tc>
        <w:tc>
          <w:tcPr/>
          <w:p>
            <w:pPr>
              <w:pStyle w:val="Compact"/>
              <w:jc w:val="right"/>
            </w:pPr>
            <w:r>
              <w:t xml:space="preserve">17</w:t>
            </w:r>
          </w:p>
        </w:tc>
        <w:tc>
          <w:tcPr/>
          <w:p>
            <w:pPr>
              <w:pStyle w:val="Compact"/>
              <w:jc w:val="left"/>
            </w:pPr>
            <w:r>
              <w:t xml:space="preserve">(περι αυτης)</w:t>
            </w:r>
          </w:p>
        </w:tc>
        <w:tc>
          <w:tcPr/>
          <w:p>
            <w:pPr>
              <w:pStyle w:val="Compact"/>
              <w:jc w:val="left"/>
            </w:pPr>
            <w:r>
              <w:t xml:space="preserve">(περι αυτης) / περι αυτης</w:t>
            </w:r>
          </w:p>
        </w:tc>
        <w:tc>
          <w:tcPr/>
          <w:p>
            <w:pPr>
              <w:pStyle w:val="Compact"/>
              <w:jc w:val="left"/>
            </w:pPr>
            <w:r>
              <w:t xml:space="preserve">(περι αυτης)</w:t>
            </w:r>
          </w:p>
        </w:tc>
      </w:tr>
      <w:tr>
        <w:tc>
          <w:tcPr/>
          <w:p>
            <w:pPr>
              <w:pStyle w:val="Compact"/>
              <w:jc w:val="left"/>
            </w:pPr>
            <w:r>
              <w:t xml:space="preserve">8,6</w:t>
            </w:r>
          </w:p>
        </w:tc>
        <w:tc>
          <w:tcPr/>
          <w:p>
            <w:pPr>
              <w:pStyle w:val="Compact"/>
              <w:jc w:val="right"/>
            </w:pPr>
            <w:r>
              <w:t xml:space="preserve">18</w:t>
            </w:r>
          </w:p>
        </w:tc>
        <w:tc>
          <w:tcPr/>
          <w:p>
            <w:pPr>
              <w:pStyle w:val="Compact"/>
              <w:jc w:val="left"/>
            </w:pPr>
            <w:r>
              <w:t xml:space="preserve">κατηγοριαν κατ</w:t>
            </w:r>
          </w:p>
        </w:tc>
        <w:tc>
          <w:tcPr/>
          <w:p>
            <w:pPr>
              <w:pStyle w:val="Compact"/>
              <w:jc w:val="left"/>
            </w:pPr>
            <w:r>
              <w:t xml:space="preserve">κατηγοριαν κατ</w:t>
            </w:r>
          </w:p>
        </w:tc>
        <w:tc>
          <w:tcPr/>
          <w:p>
            <w:pPr>
              <w:pStyle w:val="Compact"/>
              <w:jc w:val="left"/>
            </w:pPr>
            <w:r>
              <w:t xml:space="preserve">**κατηγορειν</w:t>
            </w:r>
          </w:p>
        </w:tc>
      </w:tr>
      <w:tr>
        <w:tc>
          <w:tcPr/>
          <w:p>
            <w:pPr>
              <w:pStyle w:val="Compact"/>
              <w:jc w:val="left"/>
            </w:pPr>
            <w:r>
              <w:t xml:space="preserve">8,6</w:t>
            </w:r>
          </w:p>
        </w:tc>
        <w:tc>
          <w:tcPr/>
          <w:p>
            <w:pPr>
              <w:pStyle w:val="Compact"/>
              <w:jc w:val="right"/>
            </w:pPr>
            <w:r>
              <w:t xml:space="preserve">19</w:t>
            </w:r>
          </w:p>
        </w:tc>
        <w:tc>
          <w:tcPr/>
          <w:p>
            <w:pPr>
              <w:pStyle w:val="Compact"/>
              <w:jc w:val="left"/>
            </w:pPr>
            <w:r>
              <w:t xml:space="preserve">μη προσποιουμενος</w:t>
            </w:r>
          </w:p>
        </w:tc>
        <w:tc>
          <w:tcPr/>
          <w:p>
            <w:pPr>
              <w:pStyle w:val="Compact"/>
              <w:jc w:val="left"/>
            </w:pPr>
            <w:r>
              <w:t xml:space="preserve">(μη προσποιουμενος) / μη προσποιουμενος</w:t>
            </w:r>
          </w:p>
        </w:tc>
        <w:tc>
          <w:tcPr/>
          <w:p>
            <w:pPr>
              <w:pStyle w:val="Compact"/>
              <w:jc w:val="left"/>
            </w:pPr>
            <w:r>
              <w:t xml:space="preserve">μη προσποιουμενος</w:t>
            </w:r>
          </w:p>
        </w:tc>
      </w:tr>
      <w:tr>
        <w:tc>
          <w:tcPr/>
          <w:p>
            <w:pPr>
              <w:pStyle w:val="Compact"/>
              <w:jc w:val="left"/>
            </w:pPr>
            <w:r>
              <w:t xml:space="preserve">8,7</w:t>
            </w:r>
          </w:p>
        </w:tc>
        <w:tc>
          <w:tcPr/>
          <w:p>
            <w:pPr>
              <w:pStyle w:val="Compact"/>
              <w:jc w:val="right"/>
            </w:pPr>
            <w:r>
              <w:t xml:space="preserve">20</w:t>
            </w:r>
          </w:p>
        </w:tc>
        <w:tc>
          <w:tcPr/>
          <w:p>
            <w:pPr>
              <w:pStyle w:val="Compact"/>
              <w:jc w:val="left"/>
            </w:pPr>
            <w:r>
              <w:t xml:space="preserve">ερωτωντες</w:t>
            </w:r>
          </w:p>
        </w:tc>
        <w:tc>
          <w:tcPr/>
          <w:p>
            <w:pPr>
              <w:pStyle w:val="Compact"/>
              <w:jc w:val="left"/>
            </w:pPr>
            <w:r>
              <w:t xml:space="preserve">ερωτωντες / επερωτωντες</w:t>
            </w:r>
          </w:p>
        </w:tc>
        <w:tc>
          <w:tcPr/>
          <w:p>
            <w:pPr>
              <w:pStyle w:val="Compact"/>
              <w:jc w:val="left"/>
            </w:pPr>
            <w:r>
              <w:t xml:space="preserve">ερωτωντες</w:t>
            </w:r>
          </w:p>
        </w:tc>
      </w:tr>
      <w:tr>
        <w:tc>
          <w:tcPr/>
          <w:p>
            <w:pPr>
              <w:pStyle w:val="Compact"/>
              <w:jc w:val="left"/>
            </w:pPr>
            <w:r>
              <w:t xml:space="preserve">8,7</w:t>
            </w:r>
          </w:p>
        </w:tc>
        <w:tc>
          <w:tcPr/>
          <w:p>
            <w:pPr>
              <w:pStyle w:val="Compact"/>
              <w:jc w:val="right"/>
            </w:pPr>
            <w:r>
              <w:t xml:space="preserve">21</w:t>
            </w:r>
          </w:p>
        </w:tc>
        <w:tc>
          <w:tcPr/>
          <w:p>
            <w:pPr>
              <w:pStyle w:val="Compact"/>
              <w:jc w:val="left"/>
            </w:pPr>
            <w:r>
              <w:t xml:space="preserve">ανακυψας</w:t>
            </w:r>
          </w:p>
        </w:tc>
        <w:tc>
          <w:tcPr/>
          <w:p>
            <w:pPr>
              <w:pStyle w:val="Compact"/>
              <w:jc w:val="left"/>
            </w:pPr>
            <w:r>
              <w:t xml:space="preserve">αναβλεψας / ανακυψας</w:t>
            </w:r>
          </w:p>
        </w:tc>
        <w:tc>
          <w:tcPr/>
          <w:p>
            <w:pPr>
              <w:pStyle w:val="Compact"/>
              <w:jc w:val="left"/>
            </w:pPr>
            <w:r>
              <w:t xml:space="preserve">ανακυψας</w:t>
            </w:r>
          </w:p>
        </w:tc>
      </w:tr>
      <w:tr>
        <w:tc>
          <w:tcPr/>
          <w:p>
            <w:pPr>
              <w:pStyle w:val="Compact"/>
              <w:jc w:val="left"/>
            </w:pPr>
            <w:r>
              <w:t xml:space="preserve">8,7</w:t>
            </w:r>
          </w:p>
        </w:tc>
        <w:tc>
          <w:tcPr/>
          <w:p>
            <w:pPr>
              <w:pStyle w:val="Compact"/>
              <w:jc w:val="right"/>
            </w:pPr>
            <w:r>
              <w:t xml:space="preserve">22</w:t>
            </w:r>
          </w:p>
        </w:tc>
        <w:tc>
          <w:tcPr/>
          <w:p>
            <w:pPr>
              <w:pStyle w:val="Compact"/>
              <w:jc w:val="left"/>
            </w:pPr>
            <w:r>
              <w:t xml:space="preserve">προς αυτους</w:t>
            </w:r>
          </w:p>
        </w:tc>
        <w:tc>
          <w:tcPr/>
          <w:p>
            <w:pPr>
              <w:pStyle w:val="Compact"/>
              <w:jc w:val="left"/>
            </w:pPr>
            <w:r>
              <w:t xml:space="preserve">**αυτοις</w:t>
            </w:r>
          </w:p>
        </w:tc>
        <w:tc>
          <w:tcPr/>
          <w:p>
            <w:pPr>
              <w:pStyle w:val="Compact"/>
              <w:jc w:val="left"/>
            </w:pPr>
            <w:r>
              <w:t xml:space="preserve">προς αυτους</w:t>
            </w:r>
          </w:p>
        </w:tc>
      </w:tr>
      <w:tr>
        <w:tc>
          <w:tcPr/>
          <w:p>
            <w:pPr>
              <w:pStyle w:val="Compact"/>
              <w:jc w:val="left"/>
            </w:pPr>
            <w:r>
              <w:t xml:space="preserve">8,7</w:t>
            </w:r>
          </w:p>
        </w:tc>
        <w:tc>
          <w:tcPr/>
          <w:p>
            <w:pPr>
              <w:pStyle w:val="Compact"/>
              <w:jc w:val="right"/>
            </w:pPr>
            <w:r>
              <w:t xml:space="preserve">23</w:t>
            </w:r>
          </w:p>
        </w:tc>
        <w:tc>
          <w:tcPr/>
          <w:p>
            <w:pPr>
              <w:pStyle w:val="Compact"/>
              <w:jc w:val="left"/>
            </w:pPr>
            <w:r>
              <w:t xml:space="preserve">**τον λιθον επ αυτη βαλετω</w:t>
            </w:r>
          </w:p>
        </w:tc>
        <w:tc>
          <w:tcPr/>
          <w:p>
            <w:pPr>
              <w:pStyle w:val="Compact"/>
              <w:jc w:val="left"/>
            </w:pPr>
            <w:r>
              <w:t xml:space="preserve">**λιθον βαλετω επ αυτην</w:t>
            </w:r>
          </w:p>
        </w:tc>
        <w:tc>
          <w:tcPr/>
          <w:p>
            <w:pPr>
              <w:pStyle w:val="Compact"/>
              <w:jc w:val="left"/>
            </w:pPr>
            <w:r>
              <w:t xml:space="preserve">**επ αυτην τον λιθον βαλετω</w:t>
            </w:r>
          </w:p>
        </w:tc>
      </w:tr>
      <w:tr>
        <w:tc>
          <w:tcPr/>
          <w:p>
            <w:pPr>
              <w:pStyle w:val="Compact"/>
              <w:jc w:val="left"/>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w:t>
            </w:r>
          </w:p>
        </w:tc>
        <w:tc>
          <w:tcPr/>
          <w:p>
            <w:pPr>
              <w:pStyle w:val="Compact"/>
              <w:jc w:val="left"/>
            </w:pPr>
            <w:r>
              <w:t xml:space="preserve">(και υπο της συνειδησεως ελεγχομενοι) / και υπο της συνειδησεως ελεγχομενοι</w:t>
            </w:r>
          </w:p>
        </w:tc>
        <w:tc>
          <w:tcPr/>
          <w:p>
            <w:pPr>
              <w:pStyle w:val="Compact"/>
              <w:jc w:val="left"/>
            </w:pPr>
            <w:r>
              <w:t xml:space="preserve">και υπο της συνειδησεως ελεγχομενοι</w:t>
            </w:r>
          </w:p>
        </w:tc>
      </w:tr>
      <w:tr>
        <w:tc>
          <w:tcPr/>
          <w:p>
            <w:pPr>
              <w:pStyle w:val="Compact"/>
              <w:jc w:val="left"/>
            </w:pPr>
            <w:r>
              <w:t xml:space="preserve">8,9</w:t>
            </w:r>
          </w:p>
        </w:tc>
        <w:tc>
          <w:tcPr/>
          <w:p>
            <w:pPr>
              <w:pStyle w:val="Compact"/>
              <w:jc w:val="right"/>
            </w:pPr>
            <w:r>
              <w:t xml:space="preserve">25</w:t>
            </w:r>
          </w:p>
        </w:tc>
        <w:tc>
          <w:tcPr/>
          <w:p>
            <w:pPr>
              <w:pStyle w:val="Compact"/>
              <w:jc w:val="left"/>
            </w:pPr>
            <w:r>
              <w:t xml:space="preserve">εως των εσχατων</w:t>
            </w:r>
          </w:p>
        </w:tc>
        <w:tc>
          <w:tcPr/>
          <w:p>
            <w:pPr>
              <w:pStyle w:val="Compact"/>
              <w:jc w:val="left"/>
            </w:pPr>
            <w:r>
              <w:t xml:space="preserve">εως των εσχατων</w:t>
            </w:r>
          </w:p>
        </w:tc>
        <w:tc>
          <w:tcPr/>
          <w:p>
            <w:pPr>
              <w:pStyle w:val="Compact"/>
              <w:jc w:val="left"/>
            </w:pPr>
            <w:r>
              <w:t xml:space="preserve">**(εως των εσχατων)</w:t>
            </w:r>
          </w:p>
        </w:tc>
      </w:tr>
      <w:tr>
        <w:tc>
          <w:tcPr/>
          <w:p>
            <w:pPr>
              <w:pStyle w:val="Compact"/>
              <w:jc w:val="left"/>
            </w:pPr>
            <w:r>
              <w:t xml:space="preserve">8,9</w:t>
            </w:r>
          </w:p>
        </w:tc>
        <w:tc>
          <w:tcPr/>
          <w:p>
            <w:pPr>
              <w:pStyle w:val="Compact"/>
              <w:jc w:val="right"/>
            </w:pPr>
            <w:r>
              <w:t xml:space="preserve">26</w:t>
            </w:r>
          </w:p>
        </w:tc>
        <w:tc>
          <w:tcPr/>
          <w:p>
            <w:pPr>
              <w:pStyle w:val="Compact"/>
              <w:jc w:val="left"/>
            </w:pPr>
            <w:r>
              <w:t xml:space="preserve">μονος ο Ιησους</w:t>
            </w:r>
          </w:p>
        </w:tc>
        <w:tc>
          <w:tcPr/>
          <w:p>
            <w:pPr>
              <w:pStyle w:val="Compact"/>
              <w:jc w:val="left"/>
            </w:pPr>
            <w:r>
              <w:t xml:space="preserve">ο Ιησους μονος / μονος</w:t>
            </w:r>
          </w:p>
        </w:tc>
        <w:tc>
          <w:tcPr/>
          <w:p>
            <w:pPr>
              <w:pStyle w:val="Compact"/>
              <w:jc w:val="left"/>
            </w:pPr>
            <w:r>
              <w:t xml:space="preserve">μονος ο Ιησους</w:t>
            </w:r>
          </w:p>
        </w:tc>
      </w:tr>
      <w:tr>
        <w:tc>
          <w:tcPr/>
          <w:p>
            <w:pPr>
              <w:pStyle w:val="Compact"/>
              <w:jc w:val="left"/>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c>
          <w:tcPr/>
          <w:p>
            <w:pPr>
              <w:pStyle w:val="Compact"/>
              <w:jc w:val="left"/>
            </w:pPr>
            <w:r>
              <w:t xml:space="preserve">**ειδεν αυτην και</w:t>
            </w:r>
          </w:p>
        </w:tc>
        <w:tc>
          <w:tcPr/>
          <w:p>
            <w:pPr>
              <w:pStyle w:val="Compact"/>
              <w:jc w:val="left"/>
            </w:pPr>
            <w:r>
              <w:t xml:space="preserve">και μηδενα θεασαμενος πλην της γυναικος</w:t>
            </w:r>
          </w:p>
        </w:tc>
      </w:tr>
      <w:tr>
        <w:tc>
          <w:tcPr/>
          <w:p>
            <w:pPr>
              <w:pStyle w:val="Compact"/>
              <w:jc w:val="left"/>
            </w:pPr>
            <w:r>
              <w:t xml:space="preserve">8,10</w:t>
            </w:r>
          </w:p>
        </w:tc>
        <w:tc>
          <w:tcPr/>
          <w:p>
            <w:pPr>
              <w:pStyle w:val="Compact"/>
              <w:jc w:val="right"/>
            </w:pPr>
            <w:r>
              <w:t xml:space="preserve">28</w:t>
            </w:r>
          </w:p>
        </w:tc>
        <w:tc>
          <w:tcPr/>
          <w:p>
            <w:pPr>
              <w:pStyle w:val="Compact"/>
              <w:jc w:val="left"/>
            </w:pPr>
            <w:r>
              <w:t xml:space="preserve">αυτη</w:t>
            </w:r>
          </w:p>
        </w:tc>
        <w:tc>
          <w:tcPr/>
          <w:p>
            <w:pPr>
              <w:pStyle w:val="Compact"/>
              <w:jc w:val="left"/>
            </w:pPr>
            <w:r>
              <w:t xml:space="preserve">**(αυτη) γυναι</w:t>
            </w:r>
          </w:p>
        </w:tc>
        <w:tc>
          <w:tcPr/>
          <w:p>
            <w:pPr>
              <w:pStyle w:val="Compact"/>
              <w:jc w:val="left"/>
            </w:pPr>
            <w:r>
              <w:t xml:space="preserve">αυτη / αυτη γυναι</w:t>
            </w:r>
          </w:p>
        </w:tc>
      </w:tr>
      <w:tr>
        <w:tc>
          <w:tcPr/>
          <w:p>
            <w:pPr>
              <w:pStyle w:val="Compact"/>
              <w:jc w:val="left"/>
            </w:pPr>
            <w:r>
              <w:t xml:space="preserve">8,10</w:t>
            </w:r>
          </w:p>
        </w:tc>
        <w:tc>
          <w:tcPr/>
          <w:p>
            <w:pPr>
              <w:pStyle w:val="Compact"/>
              <w:jc w:val="right"/>
            </w:pPr>
            <w:r>
              <w:t xml:space="preserve">29</w:t>
            </w:r>
          </w:p>
        </w:tc>
        <w:tc>
          <w:tcPr/>
          <w:p>
            <w:pPr>
              <w:pStyle w:val="Compact"/>
              <w:jc w:val="left"/>
            </w:pPr>
            <w:r>
              <w:t xml:space="preserve">εκεινοι οι κατηγοροι σου</w:t>
            </w:r>
          </w:p>
        </w:tc>
        <w:tc>
          <w:tcPr/>
          <w:p>
            <w:pPr>
              <w:pStyle w:val="Compact"/>
              <w:jc w:val="left"/>
            </w:pPr>
            <w:r>
              <w:t xml:space="preserve">εκεινοι οι κατηγοροι σου / οι κατηγοροισου</w:t>
            </w:r>
          </w:p>
        </w:tc>
        <w:tc>
          <w:tcPr/>
          <w:p>
            <w:pPr>
              <w:pStyle w:val="Compact"/>
              <w:jc w:val="left"/>
            </w:pPr>
            <w:r>
              <w:t xml:space="preserve">εκεινοι οι κατηγοροι σου</w:t>
            </w:r>
          </w:p>
        </w:tc>
      </w:tr>
      <w:tr>
        <w:tc>
          <w:tcPr/>
          <w:p>
            <w:pPr>
              <w:pStyle w:val="Compact"/>
              <w:jc w:val="left"/>
            </w:pPr>
            <w:r>
              <w:t xml:space="preserve">8,11</w:t>
            </w:r>
          </w:p>
        </w:tc>
        <w:tc>
          <w:tcPr/>
          <w:p>
            <w:pPr>
              <w:pStyle w:val="Compact"/>
              <w:jc w:val="right"/>
            </w:pPr>
            <w:r>
              <w:t xml:space="preserve">30</w:t>
            </w:r>
          </w:p>
        </w:tc>
        <w:tc>
          <w:tcPr/>
          <w:p>
            <w:pPr>
              <w:pStyle w:val="Compact"/>
              <w:jc w:val="left"/>
            </w:pPr>
            <w:r>
              <w:t xml:space="preserve">ειπεν δε αυτη ο Ιησους</w:t>
            </w:r>
          </w:p>
        </w:tc>
        <w:tc>
          <w:tcPr/>
          <w:p>
            <w:pPr>
              <w:pStyle w:val="Compact"/>
              <w:jc w:val="left"/>
            </w:pPr>
            <w:r>
              <w:t xml:space="preserve">ειπεν δε αυτη ο Ιησους</w:t>
            </w:r>
          </w:p>
        </w:tc>
        <w:tc>
          <w:tcPr/>
          <w:p>
            <w:pPr>
              <w:pStyle w:val="Compact"/>
              <w:jc w:val="left"/>
            </w:pPr>
            <w:r>
              <w:t xml:space="preserve">**ειπεν δε ο Ιησους</w:t>
            </w:r>
          </w:p>
        </w:tc>
      </w:tr>
      <w:tr>
        <w:tc>
          <w:tcPr/>
          <w:p>
            <w:pPr>
              <w:pStyle w:val="Compact"/>
              <w:jc w:val="left"/>
            </w:pPr>
            <w:r>
              <w:t xml:space="preserve">8,11</w:t>
            </w:r>
          </w:p>
        </w:tc>
        <w:tc>
          <w:tcPr/>
          <w:p>
            <w:pPr>
              <w:pStyle w:val="Compact"/>
              <w:jc w:val="right"/>
            </w:pPr>
            <w:r>
              <w:t xml:space="preserve">31</w:t>
            </w:r>
          </w:p>
        </w:tc>
        <w:tc>
          <w:tcPr/>
          <w:p>
            <w:pPr>
              <w:pStyle w:val="Compact"/>
              <w:jc w:val="left"/>
            </w:pPr>
            <w:r>
              <w:t xml:space="preserve">κατακρινω</w:t>
            </w:r>
          </w:p>
        </w:tc>
        <w:tc>
          <w:tcPr/>
          <w:p>
            <w:pPr>
              <w:pStyle w:val="Compact"/>
              <w:jc w:val="left"/>
            </w:pPr>
            <w:r>
              <w:t xml:space="preserve">κατακρινω</w:t>
            </w:r>
          </w:p>
        </w:tc>
        <w:tc>
          <w:tcPr/>
          <w:p>
            <w:pPr>
              <w:pStyle w:val="Compact"/>
              <w:jc w:val="left"/>
            </w:pPr>
            <w:r>
              <w:t xml:space="preserve">**κρινω / κατακρινω</w:t>
            </w:r>
          </w:p>
        </w:tc>
      </w:tr>
      <w:tr>
        <w:tc>
          <w:tcPr/>
          <w:p>
            <w:pPr>
              <w:pStyle w:val="Compact"/>
              <w:jc w:val="left"/>
            </w:pPr>
            <w:r>
              <w:t xml:space="preserve">8,11</w:t>
            </w:r>
          </w:p>
        </w:tc>
        <w:tc>
          <w:tcPr/>
          <w:p>
            <w:pPr>
              <w:pStyle w:val="Compact"/>
              <w:jc w:val="right"/>
            </w:pPr>
            <w:r>
              <w:t xml:space="preserve">32</w:t>
            </w:r>
          </w:p>
        </w:tc>
        <w:tc>
          <w:tcPr/>
          <w:p>
            <w:pPr>
              <w:pStyle w:val="Compact"/>
              <w:jc w:val="left"/>
            </w:pPr>
            <w:r>
              <w:t xml:space="preserve">και απο του νυν</w:t>
            </w:r>
          </w:p>
        </w:tc>
        <w:tc>
          <w:tcPr/>
          <w:p>
            <w:pPr>
              <w:pStyle w:val="Compact"/>
              <w:jc w:val="left"/>
            </w:pPr>
            <w:r>
              <w:t xml:space="preserve">και απο του νυν / απο του νυν και</w:t>
            </w:r>
          </w:p>
        </w:tc>
        <w:tc>
          <w:tcPr/>
          <w:p>
            <w:pPr>
              <w:pStyle w:val="Compact"/>
              <w:jc w:val="left"/>
            </w:pPr>
            <w:r>
              <w:t xml:space="preserve">**και</w:t>
            </w:r>
          </w:p>
        </w:tc>
      </w:tr>
    </w:tbl>
    <w:p>
      <w:pPr>
        <w:pStyle w:val="BodyText"/>
      </w:pPr>
      <w:r>
        <w:rPr>
          <w:bCs/>
          <w:b/>
        </w:rPr>
        <w:t xml:space="preserve">M</w:t>
      </w:r>
      <w:r>
        <w:rPr>
          <w:vertAlign w:val="superscript"/>
          <w:bCs/>
          <w:b/>
        </w:rPr>
        <w:t xml:space="preserve">7</w:t>
      </w:r>
      <w:r>
        <w:t xml:space="preserve"> </w:t>
      </w:r>
      <w:r>
        <w:t xml:space="preserve">ma jeden wyraźny, jednoznaczny i niebudzący wątpliwości profil/mozaikę, określony przez 127 manuskryptów — nie ma między nimi żadnego zróżnicowania wewnętrznego (wszystkie 127 są dokładnie takie same we wszystkich dwunastu wersetach). Stanowi to uderzający kontrast z</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Na potrzeby odróżnienia ich od siebie nawzajem oraz od</w:t>
      </w:r>
      <w:r>
        <w:t xml:space="preserve"> </w:t>
      </w:r>
      <w:r>
        <w:rPr>
          <w:bCs/>
          <w:b/>
        </w:rPr>
        <w:t xml:space="preserve">7</w:t>
      </w:r>
      <w:r>
        <w:t xml:space="preserve"> </w:t>
      </w:r>
      <w:r>
        <w:t xml:space="preserve">można uzyskać częściowy profil zarówno dla</w:t>
      </w:r>
      <w:r>
        <w:t xml:space="preserve"> </w:t>
      </w:r>
      <w:r>
        <w:rPr>
          <w:bCs/>
          <w:b/>
        </w:rPr>
        <w:t xml:space="preserve">5</w:t>
      </w:r>
      <w:r>
        <w:t xml:space="preserve">, jak i</w:t>
      </w:r>
      <w:r>
        <w:t xml:space="preserve"> </w:t>
      </w:r>
      <w:r>
        <w:rPr>
          <w:bCs/>
          <w:b/>
        </w:rPr>
        <w:t xml:space="preserve">6</w:t>
      </w:r>
      <w:r>
        <w:t xml:space="preserve">, lecz mają one tak wiele zróżnicowania wewnętrznego, że nie widzę sposobu na uzyskanie obiektywnie określonego archetypu rodziny. Użyłem **, aby wyróżnić warianty, które można by nazwać „kręgosłupem” rodziny, w celu odróżnienia jej od pozostałych. Jak czytelnik może sprawdzić,</w:t>
      </w:r>
      <w:r>
        <w:t xml:space="preserve"> </w:t>
      </w:r>
      <w:r>
        <w:rPr>
          <w:bCs/>
          <w:b/>
        </w:rPr>
        <w:t xml:space="preserve">6</w:t>
      </w:r>
      <w:r>
        <w:t xml:space="preserve"> </w:t>
      </w:r>
      <w:r>
        <w:t xml:space="preserve">ma podział wewnętrzny nie mniej niż 15 razy na 32, co nie podnosi jej współczynnika wiarygodności.</w:t>
      </w:r>
      <w:r>
        <w:t xml:space="preserve"> </w:t>
      </w:r>
      <w:r>
        <w:rPr>
          <w:bCs/>
          <w:b/>
        </w:rPr>
        <w:t xml:space="preserve">5</w:t>
      </w:r>
      <w:r>
        <w:t xml:space="preserve"> </w:t>
      </w:r>
      <w:r>
        <w:t xml:space="preserve">ma ich „tylko” cztery, jest więc znacznie mniej „grząska” niż</w:t>
      </w:r>
      <w:r>
        <w:t xml:space="preserve"> </w:t>
      </w:r>
      <w:r>
        <w:rPr>
          <w:bCs/>
          <w:b/>
        </w:rPr>
        <w:t xml:space="preserve">6</w:t>
      </w:r>
      <w:r>
        <w:t xml:space="preserve">, lecz natura tych czterech nie pozwala na ustalenie jednej formy archetypalnej. (Nie uwzględniłem wyżej zestawu 13 z powodu ogólnego pomieszania wśród manuskryptów).</w:t>
      </w:r>
    </w:p>
    <w:p>
      <w:pPr>
        <w:pStyle w:val="BodyText"/>
      </w:pPr>
      <w:r>
        <w:t xml:space="preserve">Otóż</w:t>
      </w:r>
      <w:r>
        <w:t xml:space="preserve"> </w:t>
      </w:r>
      <w:r>
        <w:rPr>
          <w:bCs/>
          <w:b/>
        </w:rPr>
        <w:t xml:space="preserve">7</w:t>
      </w:r>
      <w:r>
        <w:t xml:space="preserve"> </w:t>
      </w:r>
      <w:r>
        <w:t xml:space="preserve">i</w:t>
      </w:r>
      <w:r>
        <w:t xml:space="preserve"> </w:t>
      </w:r>
      <w:r>
        <w:rPr>
          <w:bCs/>
          <w:b/>
        </w:rPr>
        <w:t xml:space="preserve">6</w:t>
      </w:r>
      <w:r>
        <w:t xml:space="preserve"> </w:t>
      </w:r>
      <w:r>
        <w:t xml:space="preserve">łączą się przeciwko</w:t>
      </w:r>
      <w:r>
        <w:t xml:space="preserve"> </w:t>
      </w:r>
      <w:r>
        <w:rPr>
          <w:bCs/>
          <w:b/>
        </w:rPr>
        <w:t xml:space="preserve">5</w:t>
      </w:r>
      <w:r>
        <w:t xml:space="preserve"> </w:t>
      </w:r>
      <w:r>
        <w:t xml:space="preserve">czternaście razy,</w:t>
      </w:r>
      <w:r>
        <w:t xml:space="preserve"> </w:t>
      </w:r>
      <w:r>
        <w:rPr>
          <w:bCs/>
          <w:b/>
        </w:rPr>
        <w:t xml:space="preserve">7</w:t>
      </w:r>
      <w:r>
        <w:t xml:space="preserve"> </w:t>
      </w:r>
      <w:r>
        <w:t xml:space="preserve">i</w:t>
      </w:r>
      <w:r>
        <w:t xml:space="preserve"> </w:t>
      </w:r>
      <w:r>
        <w:rPr>
          <w:bCs/>
          <w:b/>
        </w:rPr>
        <w:t xml:space="preserve">5</w:t>
      </w:r>
      <w:r>
        <w:t xml:space="preserve"> </w:t>
      </w:r>
      <w:r>
        <w:t xml:space="preserve">łączą się przeciwko</w:t>
      </w:r>
      <w:r>
        <w:t xml:space="preserve"> </w:t>
      </w:r>
      <w:r>
        <w:rPr>
          <w:bCs/>
          <w:b/>
        </w:rPr>
        <w:t xml:space="preserve">6</w:t>
      </w:r>
      <w:r>
        <w:t xml:space="preserve"> </w:t>
      </w:r>
      <w:r>
        <w:t xml:space="preserve">dziewięć razy,</w:t>
      </w:r>
      <w:r>
        <w:t xml:space="preserve"> </w:t>
      </w:r>
      <w:r>
        <w:rPr>
          <w:bCs/>
          <w:b/>
        </w:rPr>
        <w:t xml:space="preserve">6</w:t>
      </w:r>
      <w:r>
        <w:t xml:space="preserve"> </w:t>
      </w:r>
      <w:r>
        <w:t xml:space="preserve">i</w:t>
      </w:r>
      <w:r>
        <w:t xml:space="preserve"> </w:t>
      </w:r>
      <w:r>
        <w:rPr>
          <w:bCs/>
          <w:b/>
        </w:rPr>
        <w:t xml:space="preserve">5</w:t>
      </w:r>
      <w:r>
        <w:t xml:space="preserve"> </w:t>
      </w:r>
      <w:r>
        <w:t xml:space="preserve">zaś</w:t>
      </w:r>
      <w:r>
        <w:t xml:space="preserve"> </w:t>
      </w:r>
      <w:r>
        <w:rPr>
          <w:u w:val="single"/>
        </w:rPr>
        <w:t xml:space="preserve">ani jeden jedyny raz nie łączą się przeciwko</w:t>
      </w:r>
      <w:r>
        <w:rPr>
          <w:u w:val="single"/>
        </w:rPr>
        <w:t xml:space="preserve"> </w:t>
      </w:r>
      <w:r>
        <w:rPr>
          <w:bCs/>
          <w:b/>
          <w:u w:val="single"/>
        </w:rPr>
        <w:t xml:space="preserve">7</w:t>
      </w:r>
      <w:r>
        <w:t xml:space="preserve">. Czy oznacza to, że</w:t>
      </w:r>
      <w:r>
        <w:t xml:space="preserve"> </w:t>
      </w:r>
      <w:r>
        <w:rPr>
          <w:bCs/>
          <w:b/>
        </w:rPr>
        <w:t xml:space="preserve">7</w:t>
      </w:r>
      <w:r>
        <w:t xml:space="preserve"> </w:t>
      </w:r>
      <w:r>
        <w:t xml:space="preserve">zależy od</w:t>
      </w:r>
      <w:r>
        <w:t xml:space="preserve"> </w:t>
      </w:r>
      <w:r>
        <w:rPr>
          <w:bCs/>
          <w:b/>
        </w:rPr>
        <w:t xml:space="preserve">5</w:t>
      </w:r>
      <w:r>
        <w:t xml:space="preserve"> </w:t>
      </w:r>
      <w:r>
        <w:t xml:space="preserve">i</w:t>
      </w:r>
      <w:r>
        <w:t xml:space="preserve"> </w:t>
      </w:r>
      <w:r>
        <w:rPr>
          <w:bCs/>
          <w:b/>
        </w:rPr>
        <w:t xml:space="preserve">6</w:t>
      </w:r>
      <w:r>
        <w:t xml:space="preserve"> </w:t>
      </w:r>
      <w:r>
        <w:t xml:space="preserve">(von Soden), czy że</w:t>
      </w:r>
      <w:r>
        <w:t xml:space="preserve"> </w:t>
      </w:r>
      <w:r>
        <w:rPr>
          <w:bCs/>
          <w:b/>
        </w:rPr>
        <w:t xml:space="preserve">5</w:t>
      </w:r>
      <w:r>
        <w:t xml:space="preserve"> </w:t>
      </w:r>
      <w:r>
        <w:t xml:space="preserve">i</w:t>
      </w:r>
      <w:r>
        <w:t xml:space="preserve"> </w:t>
      </w:r>
      <w:r>
        <w:rPr>
          <w:bCs/>
          <w:b/>
        </w:rPr>
        <w:t xml:space="preserve">6</w:t>
      </w:r>
      <w:r>
        <w:t xml:space="preserve"> </w:t>
      </w:r>
      <w:r>
        <w:t xml:space="preserve">stanowią niezależne odejścia od</w:t>
      </w:r>
      <w:r>
        <w:t xml:space="preserve"> </w:t>
      </w:r>
      <w:r>
        <w:rPr>
          <w:bCs/>
          <w:b/>
        </w:rPr>
        <w:t xml:space="preserve">7</w:t>
      </w:r>
      <w:r>
        <w:t xml:space="preserve"> </w:t>
      </w:r>
      <w:r>
        <w:t xml:space="preserve">(WNP)? Tylko w zestawie 23 wszystkie trzy grupy są całkowicie odmienne, lecz przynajmniej w tym zestawie</w:t>
      </w:r>
      <w:r>
        <w:t xml:space="preserve"> </w:t>
      </w:r>
      <w:r>
        <w:rPr>
          <w:bCs/>
          <w:b/>
        </w:rPr>
        <w:t xml:space="preserve">7</w:t>
      </w:r>
      <w:r>
        <w:t xml:space="preserve"> </w:t>
      </w:r>
      <w:r>
        <w:t xml:space="preserve">nie zależy od dwóch pozostałych. (Co ciekawe, manuskrypty przedstawiają nam co najmniej siedem różnych układów pięciu słów w zestawie 23, a główna grupa lekcjonarzowa opowiada się za czwartym odczytem, innym niż odczyty wielkiej trójki). Według mnie</w:t>
      </w:r>
      <w:r>
        <w:t xml:space="preserve"> </w:t>
      </w:r>
      <w:r>
        <w:rPr>
          <w:bCs/>
          <w:b/>
        </w:rPr>
        <w:t xml:space="preserve">7</w:t>
      </w:r>
      <w:r>
        <w:t xml:space="preserve"> </w:t>
      </w:r>
      <w:r>
        <w:t xml:space="preserve">stanowi najniższy wspólny mianownik, a zatem jest starsza i lepsza niż dwie pozostałe. Jaki jest więc sens tego wszystkiego? Chodzi o to, że</w:t>
      </w:r>
      <w:r>
        <w:t xml:space="preserve"> </w:t>
      </w:r>
      <w:r>
        <w:rPr>
          <w:bCs/>
          <w:b/>
        </w:rPr>
        <w:t xml:space="preserve">M</w:t>
      </w:r>
      <w:r>
        <w:rPr>
          <w:vertAlign w:val="superscript"/>
          <w:bCs/>
          <w:b/>
        </w:rPr>
        <w:t xml:space="preserve">7</w:t>
      </w:r>
      <w:r>
        <w:t xml:space="preserve"> </w:t>
      </w:r>
      <w:r>
        <w:t xml:space="preserve">równa się</w:t>
      </w:r>
      <w:r>
        <w:t xml:space="preserve"> </w:t>
      </w:r>
      <w:r>
        <w:rPr>
          <w:bCs/>
          <w:b/>
        </w:rPr>
        <w:t xml:space="preserve">K</w:t>
      </w:r>
      <w:r>
        <w:rPr>
          <w:vertAlign w:val="superscript"/>
          <w:bCs/>
          <w:b/>
        </w:rPr>
        <w:t xml:space="preserve">r</w:t>
      </w:r>
      <w:r>
        <w:t xml:space="preserve"> </w:t>
      </w:r>
      <w:r>
        <w:t xml:space="preserve">von Sodena (mojej</w:t>
      </w:r>
      <w:r>
        <w:t xml:space="preserve"> </w:t>
      </w:r>
      <w:r>
        <w:rPr>
          <w:bCs/>
          <w:b/>
        </w:rPr>
        <w:t xml:space="preserve">f</w:t>
      </w:r>
      <w:r>
        <w:rPr>
          <w:vertAlign w:val="superscript"/>
          <w:bCs/>
          <w:b/>
        </w:rPr>
        <w:t xml:space="preserve">35</w:t>
      </w:r>
      <w:r>
        <w:t xml:space="preserve">), a on wykorzystał swoją analizę</w:t>
      </w:r>
      <w:r>
        <w:t xml:space="preserve"> </w:t>
      </w:r>
      <w:r>
        <w:rPr>
          <w:bCs/>
          <w:b/>
        </w:rPr>
        <w:t xml:space="preserve">M</w:t>
      </w:r>
      <w:r>
        <w:rPr>
          <w:vertAlign w:val="superscript"/>
          <w:bCs/>
          <w:b/>
        </w:rPr>
        <w:t xml:space="preserve">7</w:t>
      </w:r>
      <w:r>
        <w:t xml:space="preserve">, aby scharakteryzować swój</w:t>
      </w:r>
      <w:r>
        <w:t xml:space="preserve"> </w:t>
      </w:r>
      <w:r>
        <w:rPr>
          <w:bCs/>
          <w:b/>
        </w:rPr>
        <w:t xml:space="preserve">K</w:t>
      </w:r>
      <w:r>
        <w:rPr>
          <w:vertAlign w:val="superscript"/>
          <w:bCs/>
          <w:b/>
        </w:rPr>
        <w:t xml:space="preserve">r</w:t>
      </w:r>
      <w:r>
        <w:t xml:space="preserve"> </w:t>
      </w:r>
      <w:r>
        <w:t xml:space="preserve">dla całego Nowego Testamentu! Wielokrotnie przedstawiał</w:t>
      </w:r>
      <w:r>
        <w:t xml:space="preserve"> </w:t>
      </w:r>
      <w:r>
        <w:rPr>
          <w:bCs/>
          <w:b/>
        </w:rPr>
        <w:t xml:space="preserve">M</w:t>
      </w:r>
      <w:r>
        <w:rPr>
          <w:vertAlign w:val="superscript"/>
          <w:bCs/>
          <w:b/>
        </w:rPr>
        <w:t xml:space="preserve">7</w:t>
      </w:r>
      <w:r>
        <w:t xml:space="preserve"> </w:t>
      </w:r>
      <w:r>
        <w:t xml:space="preserve">jako „dowód”, że</w:t>
      </w:r>
      <w:r>
        <w:t xml:space="preserve"> </w:t>
      </w:r>
      <w:r>
        <w:rPr>
          <w:bCs/>
          <w:b/>
        </w:rPr>
        <w:t xml:space="preserve">K</w:t>
      </w:r>
      <w:r>
        <w:rPr>
          <w:vertAlign w:val="superscript"/>
          <w:bCs/>
          <w:b/>
        </w:rPr>
        <w:t xml:space="preserve">r</w:t>
      </w:r>
      <w:r>
        <w:t xml:space="preserve"> </w:t>
      </w:r>
      <w:r>
        <w:t xml:space="preserve">był późny. Jak wie każdy choćby pobieżnie zaznajomiony z manuskryptami, charakteryzowanie nawet jednej księgi, nie mówiąc o całym Nowym Testamencie, na podstawie dwunastu wersetów jest po prostu błędne.</w:t>
      </w:r>
      <w:r>
        <w:rPr>
          <w:rStyle w:val="FootnoteReference"/>
        </w:rPr>
        <w:footnoteReference w:id="264"/>
      </w:r>
    </w:p>
    <w:p>
      <w:pPr>
        <w:numPr>
          <w:ilvl w:val="0"/>
          <w:numId w:val="1015"/>
        </w:numPr>
        <w:pStyle w:val="Compact"/>
      </w:pPr>
      <w:r>
        <w:t xml:space="preserve">Z jakiegoś tajemniczego powodu von Soden wydawał się zdeterminowany, by jego</w:t>
      </w:r>
      <w:r>
        <w:t xml:space="preserve"> </w:t>
      </w:r>
      <w:r>
        <w:rPr>
          <w:bCs/>
          <w:b/>
        </w:rPr>
        <w:t xml:space="preserve">K</w:t>
      </w:r>
      <w:r>
        <w:rPr>
          <w:vertAlign w:val="superscript"/>
          <w:bCs/>
          <w:b/>
        </w:rPr>
        <w:t xml:space="preserve">r</w:t>
      </w:r>
      <w:r>
        <w:t xml:space="preserve"> </w:t>
      </w:r>
      <w:r>
        <w:t xml:space="preserve">powstał w XII wieku, usilnie więc zmieniał datowanie trzech znanych mu manuskryptów</w:t>
      </w:r>
      <w:r>
        <w:t xml:space="preserve"> </w:t>
      </w:r>
      <w:r>
        <w:rPr>
          <w:bCs/>
          <w:b/>
        </w:rPr>
        <w:t xml:space="preserve">K</w:t>
      </w:r>
      <w:r>
        <w:rPr>
          <w:vertAlign w:val="superscript"/>
          <w:bCs/>
          <w:b/>
        </w:rPr>
        <w:t xml:space="preserve">r</w:t>
      </w:r>
      <w:r>
        <w:t xml:space="preserve"> </w:t>
      </w:r>
      <w:r>
        <w:t xml:space="preserve">z XI wieku. Skoro jednak te trzy są kopiami, nie zaś oryginalnymi tworami, ich egzemplarze z konieczności były starsze (podobnie jak egzemplarze tych egzemplarzy), czego więc von Soden — jak sądził — „dowodził”? Najwyraźniej według niego typ tekstu nie mógł istnieć przed swoim najwcześniejszym zachowanym przedstawicielem (!). Od wielu lat słyszę, jak ludzie powtarzają oczywistą głupotę, że ponieważ nie ma wczesnych manuskryptów bizantyjskich, tekst bizantyjski nie może być wczesny, i nadal to robią. Opiera się to na jawnie fałszywym założeniu, że zachowane manuskrypty z najwcześniejszych wieków są reprezentatywne dla całej ówczesnej sytuacji manuskryptowej.</w:t>
      </w:r>
    </w:p>
    <w:p>
      <w:pPr>
        <w:pStyle w:val="FirstParagraph"/>
      </w:pPr>
      <w:r>
        <w:t xml:space="preserve">Jedynymi zachowanymi w Egipcie „budowlami”, które mają 4000 lat, są piramidy. Czy ktoś będzie tak niedorzeczny, by twierdzić, że piramida była jedynym rodzajem budowli używanym wówczas w Egipcie? Ilu Egipcjan mieszkało w tamtym czasie w piramidach? Absolutnie nikt, ponieważ piramidy przeznaczone były wyłącznie dla zmarłych. Czy jednak zwykli ludzie otrzymywali piramidę jako grobowiec? Tylko faraon mógł sobie na nią pozwolić. Możemy z całkowitą pewnością stwierdzić, że piramidy nie są reprezentatywne dla ogółu budowli w Egipcie sprzed 4000 lat, chociaż są jedynymi, które przetrwały. Powiedziałbym, że równie pewne jest, iż najwcześniejsze manuskrypty nie są reprezentatywne dla ówczesnej sytuacji manuskryptowej. (Są miejscem spoczynku „martwych” form Tekstu Nowego Testamentu, podobnie jak piramidy).</w:t>
      </w:r>
    </w:p>
    <w:p>
      <w:pPr>
        <w:pStyle w:val="BodyText"/>
      </w:pPr>
      <w:r>
        <w:t xml:space="preserve">Nie znam nawet imienia żadnego z moich prapradziadków i nie mam żadnych używanych przez nich przedmiotów. Mogę jednak z całkowitą pewnością stwierdzić, że istnieli. Jak mogę to zrobić? Mogę to zrobić, ponieważ jestem tutaj, ponieważ istnieję. Nie mógłbym istnieć bez prapradziadków. Moje ciało zawiera część ich genów, ich DNA. To, że nie istniałem 400 lat temu, nie oznacza, że nie istniał żaden z moich przodków. Czy nie jest to zupełnie oczywiste?</w:t>
      </w:r>
    </w:p>
    <w:p>
      <w:pPr>
        <w:pStyle w:val="BodyText"/>
      </w:pPr>
      <w:r>
        <w:t xml:space="preserve">W 1976 roku dr Jakob van Bruggen opublikował</w:t>
      </w:r>
      <w:r>
        <w:t xml:space="preserve"> </w:t>
      </w:r>
      <w:r>
        <w:rPr>
          <w:iCs/>
          <w:i/>
        </w:rPr>
        <w:t xml:space="preserve">The Ancient Text of the New Testament</w:t>
      </w:r>
      <w:r>
        <w:t xml:space="preserve"> </w:t>
      </w:r>
      <w:r>
        <w:t xml:space="preserve">(Winnipeg: Premier Printing Ltd.). Książka zawiera rozdział „Wiek typu bizantyjskiego”, zajmujący strony 22-29. Przytacza on rozmaite argumenty pokazujące, że typ tekstu bizantyjskiego musi być starszy niż jego zachowani przedstawiciele. Ograniczę się do zacytowania tylko jednego akapitu (strona 25).</w:t>
      </w:r>
    </w:p>
    <w:p>
      <w:pPr>
        <w:pStyle w:val="BlockText"/>
      </w:pPr>
      <w:r>
        <w:t xml:space="preserve">Jakie warunki muszą zostać spełnione, jeśli chcemy przyznać pierwszeństwo starszym majuskułom? Zadając to pytanie, świadomie lub nieświadomie zakładaliśmy, że jesteśmy zdolni dokonać sprawiedliwego porównania między manuskryptami z wcześniejszego okresu a tymi z okresu późniejszego. W końcu tylko w takim przypadku możemy dojść do twierdzeń pozytywnych. Wyobraźmy sobie, że ktoś powiedział: w średniowieczu budowano głównie katedry, lecz w czasach nowożytnych buduje się wiele małych i skromniejszych kościołów. Gdy rozglądamy się dziś po miastach i wsiach, stwierdzenie to wydaje się całkowicie prawdziwe. A jednak się mylimy. Błąd jest zrozumiały: wiele małych średniowiecznych kościołów zniknęło, a zazwyczaj odnawiano tylko katedry. Powstaje w ten sposób wielkie historyczne zafałszowanie perspektywy w odniesieniu do historii budownictwa kościelnego. Na podstawie zachowanych materiałów nie jesteśmy w stanie sformułować ogólnego twierdzenia o budownictwie kościelnym w średniowieczu. Gdybyśmy mimo to odważyli się je sformułować, błędnie założylibyśmy, że zachowane materiały umożliwiają nam dokonanie sprawiedliwego porównania. Jak jednak wygląda sytuacja w dziedzinie manuskryptów Nowego Testamentu? Czy mamy</w:t>
      </w:r>
      <w:r>
        <w:t xml:space="preserve"> </w:t>
      </w:r>
      <w:r>
        <w:rPr>
          <w:iCs/>
          <w:i/>
        </w:rPr>
        <w:t xml:space="preserve">reprezentatywną</w:t>
      </w:r>
      <w:r>
        <w:t xml:space="preserve"> </w:t>
      </w:r>
      <w:r>
        <w:t xml:space="preserve">liczbę manuskryptów z pierwszych wieków? Tylko jeśli tak jest, mamy prawo wyciągać wnioski i formułować twierdzenia pozytywne. Trudności pojawiają się jednak właśnie w tym punkcie. Sytuacja jest wręcz taka, że wiemy z całą pewnością, iż</w:t>
      </w:r>
      <w:r>
        <w:t xml:space="preserve"> </w:t>
      </w:r>
      <w:r>
        <w:rPr>
          <w:iCs/>
          <w:i/>
        </w:rPr>
        <w:t xml:space="preserve">nie mamy</w:t>
      </w:r>
      <w:r>
        <w:t xml:space="preserve"> </w:t>
      </w:r>
      <w:r>
        <w:t xml:space="preserve">reprezentatywnej liczby manuskryptów z pierwszych wieków. Wynika to z trzech przyczyn, które teraz zasługują kolejno na naszą uwagę (wyróżnienie w oryginale).</w:t>
      </w:r>
    </w:p>
    <w:p>
      <w:pPr>
        <w:pStyle w:val="FirstParagraph"/>
      </w:pPr>
      <w:r>
        <w:t xml:space="preserve">Następnie omawia te trzy przyczyny. (Znam dr. van Bruggena osobiście i mogę powiedzieć, że jest autorytetem w dziedzinie katedr). Strony 137-154 mojego</w:t>
      </w:r>
      <w:r>
        <w:t xml:space="preserve"> </w:t>
      </w:r>
      <w:r>
        <w:rPr>
          <w:iCs/>
          <w:i/>
        </w:rPr>
        <w:t xml:space="preserve">The Identity of the New Testament Text IV</w:t>
      </w:r>
      <w:r>
        <w:t xml:space="preserve"> </w:t>
      </w:r>
      <w:r>
        <w:t xml:space="preserve">zawierają szczegółowe omówienie dowodów na rzecz wczesnego typu tekstu bizantyjskiego.</w:t>
      </w:r>
    </w:p>
    <w:p>
      <w:pPr>
        <w:pStyle w:val="BodyText"/>
      </w:pPr>
      <w:r>
        <w:t xml:space="preserve">Nadal utrzymuję, że większość wczesnych manuskryptów przetrwała, ponieważ były nieznośnie złe, używanie ich było psychologicznie niemożliwe, a poza tym kopiowanie ich stanowiłoby przestępcze marnotrawstwo dobrego pergaminu (czy uncjał 06 nie jest jedynym, który ma zachowane „dziecko”?). Jakiś czas temu skolacjonowałem rękopis kursywny GA 789 (Ateny: Biblioteka Narodowa) dla Ewangelii Jana, wcześniej uczyniwszy to już dla Ewangelii Łukasza. Chociaż kopista popełnił od czasu do czasu jakiś błąd, oceniam, że jego egzemplarz był niemal doskonałym przedstawicielem Rodziny 35. Obecnie w 789 brakuje jednak Ewangelii Jana 19,12 aż do końca. Późniejsza ręka, 789</w:t>
      </w:r>
      <w:r>
        <w:rPr>
          <w:vertAlign w:val="superscript"/>
        </w:rPr>
        <w:t xml:space="preserve">s</w:t>
      </w:r>
      <w:r>
        <w:t xml:space="preserve">, zawiera 19,26 aż do końca, lecz ten kopista fatalnie pisał, popełniając przeciętnie niemal jeden błąd na werset — przypominał P</w:t>
      </w:r>
      <w:r>
        <w:rPr>
          <w:vertAlign w:val="superscript"/>
        </w:rPr>
        <w:t xml:space="preserve">66</w:t>
      </w:r>
      <w:r>
        <w:t xml:space="preserve"> </w:t>
      </w:r>
      <w:r>
        <w:t xml:space="preserve">(chociaż P</w:t>
      </w:r>
      <w:r>
        <w:rPr>
          <w:vertAlign w:val="superscript"/>
        </w:rPr>
        <w:t xml:space="preserve">66</w:t>
      </w:r>
      <w:r>
        <w:t xml:space="preserve"> </w:t>
      </w:r>
      <w:r>
        <w:t xml:space="preserve">jest gorszy, ze średnią około dwóch błędów na werset). Zauważyłem, że zaczynam gniewać się na kopistę — byłem gotów ściągać na jego głowę przekleństwa! Zakładając, że przyczyną błędów była niewiedza, nie zaś przewrotność, kopista nie powinien był podejmować zadania, do którego był tak żałośnie nieprzygotowany. Używanie 789</w:t>
      </w:r>
      <w:r>
        <w:rPr>
          <w:vertAlign w:val="superscript"/>
        </w:rPr>
        <w:t xml:space="preserve">s</w:t>
      </w:r>
      <w:r>
        <w:t xml:space="preserve"> </w:t>
      </w:r>
      <w:r>
        <w:t xml:space="preserve">do rozważań duchowych lub studiowania byłoby dla mnie psychologicznie niemożliwe. Zbyt bym się gniewał, aby kontynuować. Zakładam, że szczerzy chrześcijanie w pierwszych wiekach reagowaliby w ten sam sposób.</w:t>
      </w:r>
    </w:p>
    <w:p>
      <w:pPr>
        <w:pStyle w:val="BodyText"/>
      </w:pPr>
      <w:r>
        <w:t xml:space="preserve">Co dziwne, ten sam INTF, który założył Kurt Aland — ten, który oświadczył, że manuskrypty bizantyjskie są nieistotne dla poszukiwania tekstu oryginalnego — opublikował obecnie następujące słowa:</w:t>
      </w:r>
    </w:p>
    <w:p>
      <w:pPr>
        <w:pStyle w:val="BlockText"/>
      </w:pPr>
      <w:r>
        <w:t xml:space="preserve">Odkąd Textus Receptus został przezwyciężony przez naukową krytykę tekstu XIX wieku, utrzymuje się uporczywe negatywne uprzedzenie wobec bizantyjskiego tekstu większościowego. Wszędzie tam, gdzie dobrze znani, starsi świadkowie tekstu, tacy jak Watykański i Synajski, a tym bardziej w połączeniu z papirusem, stoją przeciwko większości minuskułów, decyzję przeciwko tekstowi większościowemu często podejmowano łatwo, bez poważnego rozważenia jakości omawianych wariantów. Dlatego redaktorzy niniejszego wydania uznali dwa czynniki za najważniejsze.</w:t>
      </w:r>
    </w:p>
    <w:p>
      <w:pPr>
        <w:pStyle w:val="BlockText"/>
      </w:pPr>
      <w:r>
        <w:t xml:space="preserve">Po pierwsze, często przeocza się, że w zdecydowanej większości miejsc wariantowych tylko kilku świadków różni się od wszystkich pozostałych. Z reguły popularni świadkowie z IV/V wieku oraz, jeśli istnieją, z jeszcze wcześniejszych papirusów, zgadzają się z większością wszystkich świadków. Wynika z tego, że we wszystkich tych miejscach starożytność tekstu większościowego nie budzi wątpliwości.</w:t>
      </w:r>
    </w:p>
    <w:p>
      <w:pPr>
        <w:pStyle w:val="BlockText"/>
      </w:pPr>
      <w:r>
        <w:t xml:space="preserve">Po drugie, trzeba konsekwentnie rozróżniać manuskrypt od przekazywanego w nim tekstu. „</w:t>
      </w:r>
      <w:r>
        <w:rPr>
          <w:iCs/>
          <w:i/>
        </w:rPr>
        <w:t xml:space="preserve">Recentiores non deteriores</w:t>
      </w:r>
      <w:r>
        <w:t xml:space="preserve">” jest zasadą szeroko przyjętą w filologii edytorskiej, lecz w badaniach nad Nowym Testamentem stosowano ją jedynie do kilku młodszych manuskryptów wykazujących podobne osobliwości tekstowe jak Watykański i Synajski. Z podanej wyżej przyczyny niewątpliwie prawdą jest, że tradycja tekstowa jako całość sięga bardzo wczesnego okresu i że spójny przekaz większości wszystkich świadków tekstu stanowi mocny argument</w:t>
      </w:r>
      <w:r>
        <w:t xml:space="preserve"> </w:t>
      </w:r>
      <w:r>
        <w:rPr>
          <w:iCs/>
          <w:i/>
        </w:rPr>
        <w:t xml:space="preserve">za</w:t>
      </w:r>
      <w:r>
        <w:t xml:space="preserve">, nie</w:t>
      </w:r>
      <w:r>
        <w:t xml:space="preserve"> </w:t>
      </w:r>
      <w:r>
        <w:rPr>
          <w:iCs/>
          <w:i/>
        </w:rPr>
        <w:t xml:space="preserve">przeciwko</w:t>
      </w:r>
      <w:r>
        <w:t xml:space="preserve"> </w:t>
      </w:r>
      <w:r>
        <w:t xml:space="preserve">danemu wariantowi (wyróżnienie w oryginale). (Strona 30* niedawnej (2017)</w:t>
      </w:r>
      <w:r>
        <w:t xml:space="preserve"> </w:t>
      </w:r>
      <w:r>
        <w:rPr>
          <w:iCs/>
          <w:i/>
        </w:rPr>
        <w:t xml:space="preserve">Editio Critica Maior</w:t>
      </w:r>
      <w:r>
        <w:t xml:space="preserve"> </w:t>
      </w:r>
      <w:r>
        <w:t xml:space="preserve">Dziejów Apostolskich).</w:t>
      </w:r>
    </w:p>
    <w:p>
      <w:pPr>
        <w:pStyle w:val="FirstParagraph"/>
      </w:pPr>
      <w:r>
        <w:t xml:space="preserve">No, no, no, lepiej późno niż wcale! „Tradycja tekstowa jako całość” z konieczności obejmuje</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Seria</w:t>
      </w:r>
      <w:r>
        <w:t xml:space="preserve"> </w:t>
      </w:r>
      <w:r>
        <w:rPr>
          <w:iCs/>
          <w:i/>
        </w:rPr>
        <w:t xml:space="preserve">Text und Textwert</w:t>
      </w:r>
      <w:r>
        <w:rPr>
          <w:rStyle w:val="FootnoteReference"/>
        </w:rPr>
        <w:footnoteReference w:id="265"/>
      </w:r>
      <w:r>
        <w:t xml:space="preserve"> </w:t>
      </w:r>
      <w:r>
        <w:t xml:space="preserve">jest obecnie kompletna dla całego Nowego Testamentu, z wyjątkiem Ewangelii Jana 11-21. Dostarczone przez nią obiektywne dowody jasno i empirycznie pokazują, że Rodzina 35 (</w:t>
      </w:r>
      <w:r>
        <w:rPr>
          <w:bCs/>
          <w:b/>
        </w:rPr>
        <w:t xml:space="preserve">K</w:t>
      </w:r>
      <w:r>
        <w:rPr>
          <w:vertAlign w:val="superscript"/>
          <w:bCs/>
          <w:b/>
        </w:rPr>
        <w:t xml:space="preserve">r</w:t>
      </w:r>
      <w:r>
        <w:t xml:space="preserve">) jest niezależna od masy bizantyjskiej (</w:t>
      </w:r>
      <w:r>
        <w:rPr>
          <w:bCs/>
          <w:b/>
        </w:rPr>
        <w:t xml:space="preserve">K</w:t>
      </w:r>
      <w:r>
        <w:rPr>
          <w:vertAlign w:val="superscript"/>
          <w:bCs/>
          <w:b/>
        </w:rPr>
        <w:t xml:space="preserve">x</w:t>
      </w:r>
      <w:r>
        <w:t xml:space="preserve"> </w:t>
      </w:r>
      <w:r>
        <w:t xml:space="preserve">Sodena) w całym Nowym Testamencie. Wynika z tego, że</w:t>
      </w:r>
      <w:r>
        <w:t xml:space="preserve"> </w:t>
      </w:r>
      <w:r>
        <w:rPr>
          <w:u w:val="single"/>
        </w:rPr>
        <w:t xml:space="preserve">nie może</w:t>
      </w:r>
      <w:r>
        <w:t xml:space="preserve"> </w:t>
      </w:r>
      <w:r>
        <w:t xml:space="preserve">być rewizją tej masy. Każdy, kto nadal twierdzi, że</w:t>
      </w:r>
      <w:r>
        <w:t xml:space="preserve"> </w:t>
      </w:r>
      <w:r>
        <w:rPr>
          <w:bCs/>
          <w:b/>
        </w:rPr>
        <w:t xml:space="preserve">K</w:t>
      </w:r>
      <w:r>
        <w:rPr>
          <w:vertAlign w:val="superscript"/>
          <w:bCs/>
          <w:b/>
        </w:rPr>
        <w:t xml:space="preserve">r</w:t>
      </w:r>
      <w:r>
        <w:t xml:space="preserve"> </w:t>
      </w:r>
      <w:r>
        <w:t xml:space="preserve">von Sodena był rewizją jego</w:t>
      </w:r>
      <w:r>
        <w:t xml:space="preserve"> </w:t>
      </w:r>
      <w:r>
        <w:rPr>
          <w:bCs/>
          <w:b/>
        </w:rPr>
        <w:t xml:space="preserve">K</w:t>
      </w:r>
      <w:r>
        <w:rPr>
          <w:vertAlign w:val="superscript"/>
          <w:bCs/>
          <w:b/>
        </w:rPr>
        <w:t xml:space="preserve">x</w:t>
      </w:r>
      <w:r>
        <w:t xml:space="preserve">, jest albo niedoinformowany, albo przewrotny.</w:t>
      </w:r>
      <w:r>
        <w:rPr>
          <w:rStyle w:val="FootnoteReference"/>
        </w:rPr>
        <w:footnoteReference w:id="266"/>
      </w:r>
    </w:p>
    <w:p>
      <w:pPr>
        <w:numPr>
          <w:ilvl w:val="0"/>
          <w:numId w:val="1016"/>
        </w:numPr>
        <w:pStyle w:val="Compact"/>
      </w:pPr>
      <w:r>
        <w:t xml:space="preserve">Pozostaje podjąć kwestię aparatu liturgicznego charakterystycznego dla</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Sporządzenie kopii lekcjonarzowej byłoby znacznie łatwiejsze i szybsze niż sporządzenie pełnej kopii tekstu ciągłego, zupełnie niezależnie od aparatu w innym kolorze. Skoro mamy zachowane lekcjonarze z IV wieku i ze wszystkich następnych stuleci, dlaczego ktokolwiek miałby podejmować dodatkowy wysiłek, aby dodać aparat liturgiczny do kopii tekstu ciągłego? I dlaczego aparat ten dodano tylko do jednego typu tekstu?</w:t>
      </w:r>
    </w:p>
    <w:p>
      <w:pPr>
        <w:pStyle w:val="FirstParagraph"/>
      </w:pPr>
      <w:r>
        <w:t xml:space="preserve">Najpierw jednak, dlaczego sporządzano lekcjonarze zamiast manuskryptów tekstu ciągłego? Gdy upowszechniła się praktyka czytania i objaśniania ustalonych fragmentów w określone niedziele, posługiwanie się manuskryptem pełnego tekstu stało się niewygodne, dlaczego nie sporządzić manuskryptów zawierających wyłącznie ustalone lekcje? Przypomnij sobie, że większość ludzi nie umiała czytać i była ograniczona do słuchania Pisma podczas cotygodniowych zgromadzeń. Bardzo niewielu potrafiło czytać i studiować Pismo w domu. Jeszcze mniej osób było w stanie sporządzać pisemne kopie czegokolwiek. Skryba był zawodem. Przedkładam jednak czytelnikowi do rozważenia, że sama mentalność, która uznawała lekcjonarz za coś dobrego, sama w sobie oznaczała rozluźnienie pobożnego przywiązania do precyzyjnej formy Świętego Tekstu.</w:t>
      </w:r>
    </w:p>
    <w:p>
      <w:pPr>
        <w:pStyle w:val="BodyText"/>
      </w:pPr>
      <w:r>
        <w:t xml:space="preserve">Od IV wieku, jeśli nie wcześniej, Kościół rzymski posługiwał się łaciną, nie greką. Kto zatem zachował grecki Nowy Testament w średniowieczu? W coraz większym stopniu byłyby to greckojęzyczne wspólnoty monastyczne. Z definicji klasztor jest wspólnotą religijną, jego codzienne życie i samo istnienie wywodzą się z religii i od niej zależą. Dla wspólnot chrześcijańskich pisma Nowego Testamentu zajmowałyby centralne miejsce w wierze. Z biegiem czasu tradycja przejęła jednak władzę i następowało rozluźnienie pobożnego przywiązania do precyzyjnej formy Świętego Tekstu. Znajdowałoby to odzwierciedlenie w poziomie kontroli jakości obowiązującym w każdym klasztorze przy kopiowaniu manuskryptów Nowego Testamentu. Znajdowałoby też odzwierciedlenie w zwiększonej produkcji lekcjonarzy w klasztorach.</w:t>
      </w:r>
    </w:p>
    <w:p>
      <w:pPr>
        <w:pStyle w:val="BodyText"/>
      </w:pPr>
      <w:r>
        <w:t xml:space="preserve">Rozluźnienie kontroli jakości przy kopiowaniu manuskryptów Nowego Testamentu znajduje odzwierciedlenie w różnorodności odczytów występujących w manuskryptach tworzących tradycję bizantyjską. Dla trzech rozdziałów Ewangelii Łukasza F. Wisse zidentyfikował w obrębie tej tradycji 36 linii przekazu. Przeciętny manuskrypt bizantyjski ma od 3 do 5 wariantów na stronę drukowanego Tekstu greckiego (w porównaniu z 15 do 20 w przypadku manuskryptu aleksandryjskiego). Mnich wykonywał religijny obowiązek, lecz bez osobistego przywiązania do Tekstu. Zupełnie „przeciętny” manuskrypt</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ma jeden wariant na dwie strony drukowanego Tekstu greckiego, lepsze mają natomiast tylko jeden wariant na cztery lub więcej stron drukowanego Tekstu greckiego (naprawdę dobre są doskonałe w krótszych księgach). Skolacjonowałem manuskrypt mający tylko jeden wariant w 21 rozdziałach Ewangelii Jana, ten sam manuskrypt (GA 586) ma tylko jeden wariant w 16 rozdziałach Ewangelii Marka. Co ten obraz mówi nam o mentalności kopistów? Jak możemy wyjaśnić nadzwyczajną staranność wykazaną przez kopistów</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w:t>
      </w:r>
    </w:p>
    <w:p>
      <w:pPr>
        <w:pStyle w:val="BodyText"/>
      </w:pPr>
      <w:r>
        <w:t xml:space="preserve">Zachowane manuskrypty</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pochodzą z odizolowanych klasztorów rozmieszczonych po świecie śródziemnomorskim i zostały sporządzone na przestrzeni pięciu stuleci (XI-XV). (Na razie pomijam pokolenia egzemplarzy, które reprezentują). Po prostu nie istniał żaden ludzki czynnik zdolny sprawować taką kontrolę. Najwyraźniej niektóre klasztory były bardziej konserwatywne w doktrynie i postawie niż inne, a w konserwatywnym klasztorze poszczególny kopista mógł być oddany Boskiemu autorytetowi kopiowanego egzemplarza. Niezależnie od nadprzyrodzonego udziału w tym procesie panująca postawa w pewnych klasztorach oraz osobiste przekonanie poszczególnych kopistów to jedyne wyjaśnienie, jakie widzę dla niewiarygodnej wewnętrznej zgodności wykazywanej przez manuskrypty</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w:t>
      </w:r>
    </w:p>
    <w:p>
      <w:pPr>
        <w:pStyle w:val="BodyText"/>
      </w:pPr>
      <w:r>
        <w:t xml:space="preserve">Dlaczego jednak ktokolwiek miałby podejmować dodatkowy wysiłek, aby dodać aparat liturgiczny do kopii tekstu ciągłego, skoro lekcjonarzy było pod dostatkiem? I dlaczego aparat ten dodano tylko do jednego typu tekstu, właśnie tego o największej wewnętrznej zgodności? Cóż, co zrobiłby konserwatywny klasztor, gdyby chciał używać ustalonych lekcji do głośnego czytania podczas wspólnych posiłków, lecz czynić to z manuskryptu tekstu ciągłego (z szacunku dla Tekstu)? Początek i koniec lekcji musiałyby zostać w jakiś sposób oznaczone. Szacunek dla Tekstu nakazuje jednak, aby takich oznaczeń lekcji nie można było pomylić z samym Tekstem — stąd atrament innego koloru (który pomagałby też czytelnikowi rozpoczynać i kończyć we właściwych miejscach).</w:t>
      </w:r>
    </w:p>
    <w:p>
      <w:pPr>
        <w:pStyle w:val="BodyText"/>
      </w:pPr>
      <w:r>
        <w:t xml:space="preserve">Dobrze, lecz dlaczego wybierać</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Cóż, jeśli szacunek dla Tekstu skłania cię do używania manuskryptów tekstu ciągłego zamiast lekcjonarzy, jakiego rodzaju tekstu będziesz używać? Jeśli wiesz, że różne manuskrypty wykazują pewne różnice w sformułowaniach, jak dokonasz wyboru? Sama ta świadomość będzie wynikać z panującego w klasztorze przekonania co do tego, która linia przekazu wśród manuskryptów ma najlepszy rodowód, i to właśnie ta linia będzie zasługiwać na największy szacunek. Tego rodzaju tekstu będziesz więc używać. Jak jednak odizolowane klasztory dokonały tego samego wyboru? W tym właśnie tkwi szkopuł, jak to się stało, że odizolowane klasztory dokonały tego samego wyboru? Von Soden wyraził opinię, że władza centralna zarządziła rewizję i narzuciła ją klasztorom. Skoro można wykazać, że</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nie jest rewizją, na jakiej podstawie ta wyimaginowana władza dokonałaby wyboru tekstu, który miała narzucić? Jeśli władza ta była szczerym chrześcijaninem, czy nie wybrałaby tekstu, który uważała za najlepszy? Ponieważ żadna taka władza nie istniała, nadal pozostaje nam pytanie: jak to się stało, że odizolowane klasztory dokonały tego samego wyboru?</w:t>
      </w:r>
    </w:p>
    <w:p>
      <w:pPr>
        <w:pStyle w:val="BodyText"/>
      </w:pPr>
      <w:r>
        <w:t xml:space="preserve">Jedyna odpowiedź, jaką widzę, jest taka, że w całej ogólnoświatowej wspólnocie chrześcijańskiej istniało powszechne przekonanie co do tożsamości linii przekazu o najlepszym rodowodzie. Ponieważ przekazywanie Tekstu Nowego Testamentu przez stulecia było od samego początku zasadniczo normalne, przekonanie o rodowodzie opierałoby się na dowodach historycznych. Gdy spisywano Autografy, nie istniały lekcje Nowego Testamentu. Pomysł dodawania oznaczeń lekcji musiał pojawić się później, jak dużo później — nie mamy sposobu, by to ustalić. Gdzieś po drodze sporządzono pierwszy taki manuskrypt. Czy pomysł był tak znakomity, że rozprzestrzenił się lotem błyskawicy? Czy też rozprzestrzeniał się powoli? Nie mamy sposobu, by to ustalić.</w:t>
      </w:r>
    </w:p>
    <w:p>
      <w:pPr>
        <w:pStyle w:val="BodyText"/>
      </w:pPr>
      <w:r>
        <w:t xml:space="preserve">Dla każdego powinno być oczywiste, że sporządzenie kopii w dwóch kolorach, z rozbudowanym aparatem, wymaga więcej czasu i wysiłku niż sporządzenie kopii w jednym kolorze, bez takiego aparatu. Dlaczego więc ludzie to robili? Musiał istnieć popyt na takie kopie. Manuskrypt z aparatem liturgicznym był oczywiście przygotowany do publicznego czytania, do głośnego odczytywania przed słuchaczami. Do prywatnego czytania i studiowania potrzebny jest tekst bez zakłóceń. Von Soden zauważył nawet, że poszczególne litery w jego manuskryptach</w:t>
      </w:r>
      <w:r>
        <w:t xml:space="preserve"> </w:t>
      </w:r>
      <w:r>
        <w:rPr>
          <w:bCs/>
          <w:b/>
        </w:rPr>
        <w:t xml:space="preserve">K</w:t>
      </w:r>
      <w:r>
        <w:rPr>
          <w:vertAlign w:val="superscript"/>
          <w:bCs/>
          <w:b/>
        </w:rPr>
        <w:t xml:space="preserve">r</w:t>
      </w:r>
      <w:r>
        <w:t xml:space="preserve"> </w:t>
      </w:r>
      <w:r>
        <w:t xml:space="preserve">bywały nieco większe niż w manuskryptach nienależących do</w:t>
      </w:r>
      <w:r>
        <w:t xml:space="preserve"> </w:t>
      </w:r>
      <w:r>
        <w:rPr>
          <w:bCs/>
          <w:b/>
        </w:rPr>
        <w:t xml:space="preserve">K</w:t>
      </w:r>
      <w:r>
        <w:rPr>
          <w:vertAlign w:val="superscript"/>
          <w:bCs/>
          <w:b/>
        </w:rPr>
        <w:t xml:space="preserve">r</w:t>
      </w:r>
      <w:r>
        <w:t xml:space="preserve">. Dlaczego zatem tak było? Przypuszczalnie po to, by ułatwić publiczne czytanie. W każdym razie używane książki się zużywają. Do tego stopnia, że klasztory, które używały określonego typu tekstu do publicznego czytania, z pewnością sporządzały i przechowywały pewną liczbę kopii zapasowych. W przypadku typów tekstu, których nie używano, nie istniała taka sama motywacja. Może właśnie dlatego</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jest zdecydowanie największą rodziną w obrębie tradycji bizantyjskiej i jedyną rodziną, której istnienie wykazano dotąd we wszystkich 27 księgach.</w:t>
      </w:r>
      <w:r>
        <w:rPr>
          <w:rStyle w:val="FootnoteReference"/>
        </w:rPr>
        <w:footnoteReference w:id="267"/>
      </w:r>
    </w:p>
    <w:p>
      <w:pPr>
        <w:pStyle w:val="BodyText"/>
      </w:pPr>
      <w:r>
        <w:t xml:space="preserve">WNIOSEK: Charakterystyka</w:t>
      </w:r>
      <w:r>
        <w:t xml:space="preserve"> </w:t>
      </w:r>
      <w:r>
        <w:rPr>
          <w:bCs/>
          <w:b/>
        </w:rPr>
        <w:t xml:space="preserve">K</w:t>
      </w:r>
      <w:r>
        <w:rPr>
          <w:vertAlign w:val="superscript"/>
          <w:bCs/>
          <w:b/>
        </w:rPr>
        <w:t xml:space="preserve">r</w:t>
      </w:r>
      <w:r>
        <w:t xml:space="preserve"> </w:t>
      </w:r>
      <w:r>
        <w:t xml:space="preserve">von Sodena jako późnej rewizji jest po prostu fałszywa. Wynika z tego, że wszystkie dobrze poinformowane osoby powinny przestać używać symbolu</w:t>
      </w:r>
      <w:r>
        <w:t xml:space="preserve"> </w:t>
      </w:r>
      <w:r>
        <w:rPr>
          <w:bCs/>
          <w:b/>
        </w:rPr>
        <w:t xml:space="preserve">K</w:t>
      </w:r>
      <w:r>
        <w:rPr>
          <w:vertAlign w:val="superscript"/>
          <w:bCs/>
          <w:b/>
        </w:rPr>
        <w:t xml:space="preserve">r</w:t>
      </w:r>
      <w:r>
        <w:t xml:space="preserve">.</w:t>
      </w:r>
    </w:p>
    <w:bookmarkEnd w:id="268"/>
    <w:bookmarkStart w:id="300" w:name="współczynnik-staranności-kopisty"/>
    <w:p>
      <w:pPr>
        <w:pStyle w:val="Heading2"/>
      </w:pPr>
      <w:r>
        <w:t xml:space="preserve">Współczynnik staranności kopisty</w:t>
      </w:r>
    </w:p>
    <w:p>
      <w:pPr>
        <w:pStyle w:val="FirstParagraph"/>
      </w:pPr>
      <w:r>
        <w:t xml:space="preserve">Od pewnego czasu jestem zdania, że kwestia mentalności, z jaką kopista przystępował do swojego zadania, zasługuje na znacznie więcej uwagi, niż dotąd jej poświęcano. Jeśli możemy się zgodzić, że zadaniem kopisty jest odtworzenie kopiowanego przez niego egzemplarza, powinno być możliwe ocenienie jego niepowodzeń w tym zakresie. Oczywiście taka ocena zależy od znanego istnienia jego egzemplarza albo archetypu rodziny, do której należy kopia (ustalonego na podstawie jej mozaiki lub profilu). Tam, gdzie istnieje linia przekazu wywodząca się z archetypu, dany wariant mógł oczywiście znajdować się w egzemplarzu, lecz obecnie nie widzę sposobu kontrolowania tej możliwości. „Wariant” definiuje się jako odejście od formy archetypalnej, ustalonej empirycznie na podstawie zgodności przedstawicieli rodziny.</w:t>
      </w:r>
      <w:r>
        <w:rPr>
          <w:rStyle w:val="FootnoteReference"/>
        </w:rPr>
        <w:footnoteReference w:id="269"/>
      </w:r>
      <w:r>
        <w:t xml:space="preserve"> </w:t>
      </w:r>
      <w:r>
        <w:t xml:space="preserve">Wariant można ocenić niezależnie od tego, kiedy został wprowadzony.</w:t>
      </w:r>
    </w:p>
    <w:p>
      <w:pPr>
        <w:pStyle w:val="BodyText"/>
      </w:pPr>
      <w:r>
        <w:t xml:space="preserve">Trzeba jednak zastanowić się nad dokładną definicją „wariantu”. Jestem zdania, że ostatecznie termin „wariant” powinien być zastrzeżony dla odczytów, które powodują różnicę w znaczeniu, a nawet wtedy tylko wówczas, gdy zostały wprowadzone celowo. Oczywiście ponieważ niezamierzona zmiana również może zmienić znaczenie, musimy postępować powoli, dlatego użyłem słowa „ostatecznie”. Tymczasem w poniższej tabeli pominąłem alternatywne pisownie tego samego słowa, zostały one jednak należycie odnotowane w moim pełnym aparacie</w:t>
      </w:r>
      <w:r>
        <w:t xml:space="preserve"> </w:t>
      </w:r>
      <w:r>
        <w:rPr>
          <w:bCs/>
          <w:b/>
        </w:rPr>
        <w:t xml:space="preserve">f</w:t>
      </w:r>
      <w:r>
        <w:rPr>
          <w:vertAlign w:val="superscript"/>
          <w:bCs/>
          <w:b/>
        </w:rPr>
        <w:t xml:space="preserve">35</w:t>
      </w:r>
      <w:r>
        <w:t xml:space="preserve"> </w:t>
      </w:r>
      <w:r>
        <w:t xml:space="preserve">dla Ewangelii Marka.</w:t>
      </w:r>
    </w:p>
    <w:bookmarkStart w:id="283" w:name="ewangelia-marka"/>
    <w:p>
      <w:pPr>
        <w:pStyle w:val="Heading3"/>
      </w:pPr>
      <w:r>
        <w:t xml:space="preserve">Ewangelia Marka</w:t>
      </w:r>
    </w:p>
    <w:p>
      <w:pPr>
        <w:pStyle w:val="FirstParagraph"/>
      </w:pPr>
      <w:r>
        <w:t xml:space="preserve">Zwracam uwagę na poniższe dowody z Ewangelii Marka. Posłużę się analizą trzynastu „aleksandryjskich” manuskryptów w pierwszym rozdziale, dokonaną przez E.C. Colwella, oraz własnym kolacjonowaniem pięćdziesięciu trzech manuskryptów Rodziny 35 w całej księdze.</w:t>
      </w:r>
      <w:r>
        <w:rPr>
          <w:rStyle w:val="FootnoteReference"/>
        </w:rPr>
        <w:footnoteReference w:id="270"/>
      </w:r>
      <w:r>
        <w:t xml:space="preserve"> </w:t>
      </w:r>
      <w:r>
        <w:t xml:space="preserve">Oto własne stwierdzenie Colwella:</w:t>
      </w:r>
    </w:p>
    <w:p>
      <w:pPr>
        <w:pStyle w:val="BlockText"/>
      </w:pPr>
      <w:r>
        <w:t xml:space="preserve">Po starannym zbadaniu wszystkich domniemanych świadków typu tekstu Beta w pierwszym rozdziale Ewangelii Marka jako główni świadkowie wyłonili się sześć greckich manuskryptów: ℵ, B, L, 33, 892, 2427. Dlatego słabsze manuskrypty Beta, C, D, 157, 517, 579, 1241 i 1342, odłożono na bok. Następnie na podstawie sześciu głównych świadków odtworzono „przeciętny”, czyli średni tekst, obejmujący wszystkie odczyty poświadczone przez większość głównych świadków.</w:t>
      </w:r>
      <w:r>
        <w:rPr>
          <w:rStyle w:val="FootnoteReference"/>
        </w:rPr>
        <w:footnoteReference w:id="271"/>
      </w:r>
      <w:r>
        <w:t xml:space="preserve"> </w:t>
      </w:r>
      <w:r>
        <w:t xml:space="preserve">Nawet na tej ograniczonej podstawie ilość zróżnicowania odnotowanego w aparacie była przygnębiająca. W tym pierwszym rozdziale każdy z sześciu świadków różnił się od „przeciętnego” typu tekstu Beta następującą liczbę razy: L — dziewiętnaście razy (Westcott i Hort — dwadzieścia jeden razy), Alef — dwadzieścia sześć razy, 2427 — trzydzieści dwa razy, 33 — trzydzieści trzy razy, B — trzydzieści cztery razy, a 892 — czterdzieści jeden razy. Wyniki te przekonująco pokazują, że każda próba odtworzenia archetypu typu tekstu Beta na podstawie ilościowej jest skazana na niepowodzenie. Tak odtworzony tekst nie jest odtworzony, lecz skonstruowany, jest sztucznym tworem, który nigdy nie istniał.</w:t>
      </w:r>
      <w:r>
        <w:rPr>
          <w:rStyle w:val="FootnoteReference"/>
        </w:rPr>
        <w:footnoteReference w:id="272"/>
      </w:r>
      <w:r>
        <w:t xml:space="preserve"> </w:t>
      </w:r>
      <w:r>
        <w:t xml:space="preserve">(Typ tekstu bez archetypu nie może reprezentować Oryginału).</w:t>
      </w:r>
    </w:p>
    <w:p>
      <w:pPr>
        <w:pStyle w:val="FirstParagraph"/>
      </w:pPr>
      <w:r>
        <w:t xml:space="preserve">Rozważmy uważnie, co zrobił Colwell, pamiętając, że był zwolennikiem „aleksandryjskiego” typu tekstu (jego „typu tekstu Beta”). Próbował dojść do archetypalnej formy tego typu tekstu dla jednego rozdziału, poprzez głosowanie większościowe jego znanych przedstawicieli, za których uważał wymienionych trzynaście.</w:t>
      </w:r>
      <w:r>
        <w:rPr>
          <w:rStyle w:val="FootnoteReference"/>
        </w:rPr>
        <w:footnoteReference w:id="273"/>
      </w:r>
      <w:r>
        <w:t xml:space="preserve"> </w:t>
      </w:r>
      <w:r>
        <w:t xml:space="preserve">Wynik był tak niemożliwie zły, że odrzucił siedmiu „słabszych” przedstawicieli i spróbował ponownie, używając tylko sześciu „głównych” świadków. Jego własnymi słowami: „Nawet na tej ograniczonej podstawie ilość zróżnicowania odnotowanego w aparacie była przygnębiająca”. Wielki Kodeks Watykański różnił się od swojej formy archetypalnej nie mniej niż trzydzieści cztery razy w jednym rozdziale. No proszę, czy manuskrypt, który różni się od swojego archetypu 34 razy w jednym rozdziale, można nazwać dobrą kopią? Na jakiej obiektywnej podstawie ktokolwiek mógłby tak uczynić? Dla porównania lub kontrastu zwracam uwagę na poniższe dowody z Rodziny 35, obejmujące wszystkie szesnaście rozdziałów Ewangelii Marka, łącznie z ostatnimi dwunastoma wersetami.</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s</w:t>
            </w:r>
          </w:p>
        </w:tc>
        <w:tc>
          <w:tcPr/>
          <w:p>
            <w:pPr>
              <w:pStyle w:val="Compact"/>
              <w:jc w:val="left"/>
            </w:pPr>
            <w:r>
              <w:t xml:space="preserve">odczyt singularny (dopóki wszystkie manuskrypty nie zostaną skolacjonowane, jest to tylko założenie, ponadto łatwe błędy przepisywania mogło popełnić niezależnie więcej niż jeden kopista)</w:t>
            </w:r>
          </w:p>
        </w:tc>
      </w:tr>
      <w:tr>
        <w:tc>
          <w:tcPr/>
          <w:p>
            <w:pPr>
              <w:pStyle w:val="Compact"/>
              <w:jc w:val="center"/>
            </w:pPr>
            <w:r>
              <w:t xml:space="preserve">c</w:t>
            </w:r>
          </w:p>
        </w:tc>
        <w:tc>
          <w:tcPr/>
          <w:p>
            <w:pPr>
              <w:pStyle w:val="Compact"/>
              <w:jc w:val="left"/>
            </w:pPr>
            <w:r>
              <w:t xml:space="preserve">poprawiony wariant (wszelkiego rodzaju odmienność poprawiona do domniemanego archetypu)</w:t>
            </w:r>
          </w:p>
        </w:tc>
      </w:tr>
      <w:tr>
        <w:tc>
          <w:tcPr/>
          <w:p>
            <w:pPr>
              <w:pStyle w:val="Compact"/>
              <w:jc w:val="center"/>
            </w:pPr>
            <w:r>
              <w:t xml:space="preserve">x</w:t>
            </w:r>
          </w:p>
        </w:tc>
        <w:tc>
          <w:tcPr/>
          <w:p>
            <w:pPr>
              <w:pStyle w:val="Compact"/>
              <w:jc w:val="left"/>
            </w:pPr>
            <w:r>
              <w:t xml:space="preserve">niepoprawiony wariant („wariant” oznacza tutaj, że jest poświadczony przez manuskrypty spoza rodziny, lecz przez żadnego innego członka rodziny, co może wskazywać na domieszkę)</w:t>
            </w:r>
          </w:p>
        </w:tc>
      </w:tr>
      <w:tr>
        <w:tc>
          <w:tcPr/>
          <w:p>
            <w:pPr>
              <w:pStyle w:val="Compact"/>
              <w:jc w:val="center"/>
            </w:pPr>
            <w:r>
              <w:t xml:space="preserve">y</w:t>
            </w:r>
          </w:p>
        </w:tc>
        <w:tc>
          <w:tcPr/>
          <w:p>
            <w:pPr>
              <w:pStyle w:val="Compact"/>
              <w:jc w:val="left"/>
            </w:pPr>
            <w:r>
              <w:t xml:space="preserve">rodzina jest podzielona, lecz wariant jest także poświadczony przez manuskrypty spoza rodziny (może to być domieszka ze strony tego, kto wprowadził wariant)</w:t>
            </w:r>
          </w:p>
        </w:tc>
      </w:tr>
      <w:tr>
        <w:tc>
          <w:tcPr/>
          <w:p>
            <w:pPr>
              <w:pStyle w:val="Compact"/>
              <w:jc w:val="center"/>
            </w:pPr>
            <w:r>
              <w:t xml:space="preserve">/</w:t>
            </w:r>
          </w:p>
        </w:tc>
        <w:tc>
          <w:tcPr/>
          <w:p>
            <w:pPr>
              <w:pStyle w:val="Compact"/>
              <w:jc w:val="left"/>
            </w:pPr>
            <w:r>
              <w:t xml:space="preserve">rodzina jest podzielona, a wariant nie ma poświadczenia zewnętrznego (grupa odłamowa)</w:t>
            </w:r>
          </w:p>
        </w:tc>
      </w:tr>
      <w:tr>
        <w:tc>
          <w:tcPr/>
          <w:p>
            <w:pPr>
              <w:pStyle w:val="Compact"/>
              <w:jc w:val="center"/>
            </w:pPr>
            <w:r>
              <w:t xml:space="preserve">h</w:t>
            </w:r>
          </w:p>
        </w:tc>
        <w:tc>
          <w:tcPr/>
          <w:p>
            <w:pPr>
              <w:pStyle w:val="Compact"/>
              <w:jc w:val="left"/>
            </w:pPr>
            <w:r>
              <w:t xml:space="preserve">oczywisty przypadek homoioteleutonu (lub homoioarktonu) (nie uważam tego za właściwy „wariant”, lecz uwzględniam go poniżej)</w:t>
            </w:r>
          </w:p>
        </w:tc>
      </w:tr>
      <w:tr>
        <w:tc>
          <w:tcPr/>
          <w:p>
            <w:pPr>
              <w:pStyle w:val="Compact"/>
              <w:jc w:val="center"/>
            </w:pPr>
            <w:r>
              <w:t xml:space="preserve">i</w:t>
            </w:r>
          </w:p>
        </w:tc>
        <w:tc>
          <w:tcPr/>
          <w:p>
            <w:pPr>
              <w:pStyle w:val="Compact"/>
              <w:jc w:val="left"/>
            </w:pPr>
            <w:r>
              <w:t xml:space="preserve">zwykła nieuwaga (często powtórzenie sylaby z jednego wiersza w następnym)</w:t>
            </w:r>
          </w:p>
        </w:tc>
      </w:tr>
      <w:tr>
        <w:tc>
          <w:tcPr/>
          <w:p>
            <w:pPr>
              <w:pStyle w:val="Compact"/>
              <w:jc w:val="center"/>
            </w:pPr>
            <w:r>
              <w:t xml:space="preserve">---</w:t>
            </w:r>
          </w:p>
        </w:tc>
        <w:tc>
          <w:tcPr/>
          <w:p>
            <w:pPr>
              <w:pStyle w:val="Compact"/>
              <w:jc w:val="left"/>
            </w:pPr>
            <w:r>
              <w:t xml:space="preserve">brak odejść od domniemanego profilu</w:t>
            </w:r>
          </w:p>
        </w:tc>
      </w:tr>
    </w:tbl>
    <w:p>
      <w:pPr>
        <w:pStyle w:val="BodyText"/>
      </w:pPr>
      <w:r>
        <w:t xml:space="preserve">Można zauważyć, że domniemanemu egzemplarzowi przypisuję mniejszą liczbę wariantów niż kopii — pomijam „c”, „s”, „h” i „i”, przypisując je kopiście, „c” mogło zostać wykonane przez kogoś innego, lecz rezultat jest poprawny. Oczywiście każdy z nich mógł znajdować się w egzemplarzu, a egzemplarz mógł mieć błąd poprawiony przez kopistę, liczby w kolumnie „egzemplarz” są więc jedynie przybliżeniem (prawdopodobnie jednak niezbyt odległym od rzeczywistości). Prawdą jest również, że wariant sklasyfikowany jako „x”, „y” lub „/” mógł być niezależnym błędem kopisty, którego nie było w egzemplarzu. Mimo wszystko uważam, że ogólny kształt poniższych dowodów jest zasadny i istotny.</w:t>
      </w:r>
    </w:p>
    <w:bookmarkStart w:id="276" w:name="f35-w-ewangelii-marka-dane-surowe"/>
    <w:p>
      <w:pPr>
        <w:pStyle w:val="Heading4"/>
      </w:pPr>
      <w:r>
        <w:rPr>
          <w:iCs/>
          <w:i/>
        </w:rPr>
        <w:t xml:space="preserve">f</w:t>
      </w:r>
      <w:r>
        <w:rPr>
          <w:vertAlign w:val="superscript"/>
          <w:iCs/>
          <w:i/>
        </w:rPr>
        <w:t xml:space="preserve">35</w:t>
      </w:r>
      <w:r>
        <w:rPr>
          <w:iCs/>
          <w:i/>
        </w:rPr>
        <w:t xml:space="preserve"> </w:t>
      </w:r>
      <w:r>
        <w:rPr>
          <w:iCs/>
          <w:i/>
        </w:rPr>
        <w:t xml:space="preserve">w Ewangelii Marka — dane surowe</w:t>
      </w:r>
    </w:p>
    <w:tbl>
      <w:tblPr>
        <w:tblStyle w:val="Table"/>
        <w:tblW w:type="pct" w:w="5000"/>
        <w:tblLook w:firstRow="1" w:lastRow="0" w:firstColumn="0" w:lastColumn="0" w:noHBand="0" w:noVBand="0" w:val="0020"/>
        <w:jc w:val="start"/>
      </w:tblPr>
      <w:tblGrid>
        <w:gridCol w:w="1056"/>
        <w:gridCol w:w="1056"/>
        <w:gridCol w:w="1056"/>
        <w:gridCol w:w="1056"/>
        <w:gridCol w:w="1320"/>
        <w:gridCol w:w="1056"/>
        <w:gridCol w:w="1320"/>
      </w:tblGrid>
      <w:tr>
        <w:trPr>
          <w:tblHeader w:val="true"/>
        </w:trPr>
        <w:tc>
          <w:tcPr/>
          <w:p>
            <w:pPr>
              <w:pStyle w:val="Compact"/>
              <w:jc w:val="right"/>
            </w:pPr>
            <w:r>
              <w:rPr>
                <w:bCs/>
                <w:b/>
              </w:rPr>
              <w:t xml:space="preserve">Manuskrypt</w:t>
            </w:r>
          </w:p>
        </w:tc>
        <w:tc>
          <w:tcPr/>
          <w:p>
            <w:pPr>
              <w:pStyle w:val="Compact"/>
              <w:jc w:val="left"/>
            </w:pPr>
            <w:r>
              <w:t xml:space="preserve">Statystyka</w:t>
            </w:r>
          </w:p>
        </w:tc>
        <w:tc>
          <w:tcPr/>
          <w:p>
            <w:pPr>
              <w:pStyle w:val="Compact"/>
              <w:jc w:val="right"/>
            </w:pPr>
            <w:r>
              <w:t xml:space="preserve">Razem</w:t>
            </w:r>
          </w:p>
        </w:tc>
        <w:tc>
          <w:tcPr/>
          <w:p>
            <w:pPr>
              <w:pStyle w:val="Compact"/>
              <w:jc w:val="right"/>
            </w:pPr>
            <w:r>
              <w:t xml:space="preserve">Egzemplarz</w:t>
            </w:r>
          </w:p>
        </w:tc>
        <w:tc>
          <w:tcPr/>
          <w:p>
            <w:pPr>
              <w:pStyle w:val="Compact"/>
              <w:jc w:val="center"/>
            </w:pPr>
            <w:r>
              <w:t xml:space="preserve">Data</w:t>
            </w:r>
          </w:p>
        </w:tc>
        <w:tc>
          <w:tcPr/>
          <w:p>
            <w:pPr>
              <w:pStyle w:val="Compact"/>
              <w:jc w:val="left"/>
            </w:pPr>
            <w:r>
              <w:t xml:space="preserve">Miejsce</w:t>
            </w:r>
            <w:r>
              <w:rPr>
                <w:rStyle w:val="FootnoteReference"/>
              </w:rPr>
              <w:footnoteReference w:id="274"/>
            </w:r>
          </w:p>
        </w:tc>
        <w:tc>
          <w:tcPr/>
          <w:p>
            <w:pPr>
              <w:pStyle w:val="Compact"/>
              <w:jc w:val="center"/>
            </w:pPr>
            <w:r>
              <w:t xml:space="preserve">Zawartość</w:t>
            </w:r>
          </w:p>
        </w:tc>
      </w:tr>
      <w:tr>
        <w:tc>
          <w:tcPr/>
          <w:p>
            <w:pPr>
              <w:pStyle w:val="Compact"/>
              <w:jc w:val="right"/>
            </w:pPr>
            <w:r>
              <w:t xml:space="preserve">18</w:t>
            </w:r>
          </w:p>
        </w:tc>
        <w:tc>
          <w:tcPr/>
          <w:p>
            <w:pPr>
              <w:pStyle w:val="Compact"/>
              <w:jc w:val="left"/>
            </w:pPr>
            <w:r>
              <w:t xml:space="preserve">5y, 1/, 7s, 2i</w:t>
            </w:r>
          </w:p>
        </w:tc>
        <w:tc>
          <w:tcPr/>
          <w:p>
            <w:pPr>
              <w:pStyle w:val="Compact"/>
              <w:jc w:val="right"/>
            </w:pPr>
            <w:r>
              <w:t xml:space="preserve">15</w:t>
            </w:r>
          </w:p>
        </w:tc>
        <w:tc>
          <w:tcPr/>
          <w:p>
            <w:pPr>
              <w:pStyle w:val="Compact"/>
              <w:jc w:val="right"/>
            </w:pPr>
            <w:r>
              <w:t xml:space="preserve">6</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35</w:t>
            </w:r>
          </w:p>
        </w:tc>
        <w:tc>
          <w:tcPr/>
          <w:p>
            <w:pPr>
              <w:pStyle w:val="Compact"/>
              <w:jc w:val="left"/>
            </w:pPr>
            <w:r>
              <w:t xml:space="preserve">5c</w:t>
            </w:r>
          </w:p>
        </w:tc>
        <w:tc>
          <w:tcPr/>
          <w:p>
            <w:pPr>
              <w:pStyle w:val="Compact"/>
              <w:jc w:val="right"/>
            </w:pPr>
            <w:r>
              <w:t xml:space="preserve">5</w:t>
            </w:r>
          </w:p>
        </w:tc>
        <w:tc>
          <w:tcPr/>
          <w:p>
            <w:pPr>
              <w:pStyle w:val="Compact"/>
              <w:jc w:val="right"/>
            </w:pPr>
            <w:r>
              <w:t xml:space="preserve">---</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eapr</w:t>
            </w:r>
          </w:p>
        </w:tc>
      </w:tr>
      <w:tr>
        <w:tc>
          <w:tcPr/>
          <w:p>
            <w:pPr>
              <w:pStyle w:val="Compact"/>
              <w:jc w:val="right"/>
            </w:pPr>
            <w:r>
              <w:t xml:space="preserve">128</w:t>
            </w:r>
          </w:p>
        </w:tc>
        <w:tc>
          <w:tcPr/>
          <w:p>
            <w:pPr>
              <w:pStyle w:val="Compact"/>
              <w:jc w:val="left"/>
            </w:pPr>
            <w:r>
              <w:t xml:space="preserve">1y, 1/, 2s, 1h, 2i</w:t>
            </w:r>
          </w:p>
        </w:tc>
        <w:tc>
          <w:tcPr/>
          <w:p>
            <w:pPr>
              <w:pStyle w:val="Compact"/>
              <w:jc w:val="right"/>
            </w:pPr>
            <w:r>
              <w:t xml:space="preserve">7</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w:t>
            </w:r>
          </w:p>
        </w:tc>
      </w:tr>
      <w:tr>
        <w:tc>
          <w:tcPr/>
          <w:p>
            <w:pPr>
              <w:pStyle w:val="Compact"/>
              <w:jc w:val="right"/>
            </w:pPr>
            <w:r>
              <w:t xml:space="preserve">141</w:t>
            </w:r>
          </w:p>
        </w:tc>
        <w:tc>
          <w:tcPr/>
          <w:p>
            <w:pPr>
              <w:pStyle w:val="Compact"/>
              <w:jc w:val="left"/>
            </w:pPr>
            <w:r>
              <w:t xml:space="preserve">2x, 2y, 4/, 3c, 9s, 2h</w:t>
            </w:r>
          </w:p>
        </w:tc>
        <w:tc>
          <w:tcPr/>
          <w:p>
            <w:pPr>
              <w:pStyle w:val="Compact"/>
              <w:jc w:val="right"/>
            </w:pPr>
            <w:r>
              <w:t xml:space="preserve">22</w:t>
            </w:r>
          </w:p>
        </w:tc>
        <w:tc>
          <w:tcPr/>
          <w:p>
            <w:pPr>
              <w:pStyle w:val="Compact"/>
              <w:jc w:val="right"/>
            </w:pPr>
            <w:r>
              <w:t xml:space="preserve">8</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204</w:t>
            </w:r>
          </w:p>
        </w:tc>
        <w:tc>
          <w:tcPr/>
          <w:p>
            <w:pPr>
              <w:pStyle w:val="Compact"/>
              <w:jc w:val="left"/>
            </w:pPr>
            <w:r>
              <w:t xml:space="preserve">3y, 2/, 3s, 1i</w:t>
            </w:r>
          </w:p>
        </w:tc>
        <w:tc>
          <w:tcPr/>
          <w:p>
            <w:pPr>
              <w:pStyle w:val="Compact"/>
              <w:jc w:val="right"/>
            </w:pPr>
            <w:r>
              <w:t xml:space="preserve">9</w:t>
            </w:r>
          </w:p>
        </w:tc>
        <w:tc>
          <w:tcPr/>
          <w:p>
            <w:pPr>
              <w:pStyle w:val="Compact"/>
              <w:jc w:val="right"/>
            </w:pPr>
            <w:r>
              <w:t xml:space="preserve">5</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eap</w:t>
            </w:r>
          </w:p>
        </w:tc>
      </w:tr>
      <w:tr>
        <w:tc>
          <w:tcPr/>
          <w:p>
            <w:pPr>
              <w:pStyle w:val="Compact"/>
              <w:jc w:val="right"/>
            </w:pPr>
            <w:r>
              <w:t xml:space="preserve">510</w:t>
            </w:r>
          </w:p>
        </w:tc>
        <w:tc>
          <w:tcPr/>
          <w:p>
            <w:pPr>
              <w:pStyle w:val="Compact"/>
              <w:jc w:val="left"/>
            </w:pPr>
            <w:r>
              <w:t xml:space="preserve">1x, 1y, 9s, 3i</w:t>
            </w:r>
          </w:p>
        </w:tc>
        <w:tc>
          <w:tcPr/>
          <w:p>
            <w:pPr>
              <w:pStyle w:val="Compact"/>
              <w:jc w:val="right"/>
            </w:pPr>
            <w:r>
              <w:t xml:space="preserve">14</w:t>
            </w:r>
          </w:p>
        </w:tc>
        <w:tc>
          <w:tcPr/>
          <w:p>
            <w:pPr>
              <w:pStyle w:val="Compact"/>
              <w:jc w:val="right"/>
            </w:pPr>
            <w:r>
              <w:t xml:space="preserve">2</w:t>
            </w:r>
          </w:p>
        </w:tc>
        <w:tc>
          <w:tcPr/>
          <w:p>
            <w:pPr>
              <w:pStyle w:val="Compact"/>
              <w:jc w:val="center"/>
            </w:pPr>
            <w:r>
              <w:t xml:space="preserve">XII</w:t>
            </w:r>
          </w:p>
        </w:tc>
        <w:tc>
          <w:tcPr/>
          <w:p>
            <w:pPr>
              <w:pStyle w:val="Compact"/>
              <w:jc w:val="left"/>
            </w:pPr>
            <w:r>
              <w:t xml:space="preserve">Oksford-cc</w:t>
            </w:r>
          </w:p>
        </w:tc>
        <w:tc>
          <w:tcPr/>
          <w:p>
            <w:pPr>
              <w:pStyle w:val="Compact"/>
              <w:jc w:val="center"/>
            </w:pPr>
            <w:r>
              <w:t xml:space="preserve">e</w:t>
            </w:r>
          </w:p>
        </w:tc>
      </w:tr>
      <w:tr>
        <w:tc>
          <w:tcPr/>
          <w:p>
            <w:pPr>
              <w:pStyle w:val="Compact"/>
              <w:jc w:val="right"/>
            </w:pPr>
            <w:r>
              <w:t xml:space="preserve">547</w:t>
            </w:r>
          </w:p>
        </w:tc>
        <w:tc>
          <w:tcPr/>
          <w:p>
            <w:pPr>
              <w:pStyle w:val="Compact"/>
              <w:jc w:val="left"/>
            </w:pPr>
            <w:r>
              <w:t xml:space="preserve">10y, 1/, 4s</w:t>
            </w:r>
          </w:p>
        </w:tc>
        <w:tc>
          <w:tcPr/>
          <w:p>
            <w:pPr>
              <w:pStyle w:val="Compact"/>
              <w:jc w:val="right"/>
            </w:pPr>
            <w:r>
              <w:t xml:space="preserve">15</w:t>
            </w:r>
          </w:p>
        </w:tc>
        <w:tc>
          <w:tcPr/>
          <w:p>
            <w:pPr>
              <w:pStyle w:val="Compact"/>
              <w:jc w:val="right"/>
            </w:pPr>
            <w:r>
              <w:t xml:space="preserve">11</w:t>
            </w:r>
          </w:p>
        </w:tc>
        <w:tc>
          <w:tcPr/>
          <w:p>
            <w:pPr>
              <w:pStyle w:val="Compact"/>
              <w:jc w:val="center"/>
            </w:pPr>
            <w:r>
              <w:t xml:space="preserve">XI</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553</w:t>
            </w:r>
          </w:p>
        </w:tc>
        <w:tc>
          <w:tcPr/>
          <w:p>
            <w:pPr>
              <w:pStyle w:val="Compact"/>
              <w:jc w:val="left"/>
            </w:pPr>
            <w:r>
              <w:t xml:space="preserve">2x, 9y, 2/, 1c, 4s, 3i</w:t>
            </w:r>
          </w:p>
        </w:tc>
        <w:tc>
          <w:tcPr/>
          <w:p>
            <w:pPr>
              <w:pStyle w:val="Compact"/>
              <w:jc w:val="right"/>
            </w:pPr>
            <w:r>
              <w:t xml:space="preserve">21</w:t>
            </w:r>
          </w:p>
        </w:tc>
        <w:tc>
          <w:tcPr/>
          <w:p>
            <w:pPr>
              <w:pStyle w:val="Compact"/>
              <w:jc w:val="right"/>
            </w:pPr>
            <w:r>
              <w:t xml:space="preserve">13</w:t>
            </w:r>
          </w:p>
        </w:tc>
        <w:tc>
          <w:tcPr/>
          <w:p>
            <w:pPr>
              <w:pStyle w:val="Compact"/>
              <w:jc w:val="center"/>
            </w:pPr>
            <w:r>
              <w:t xml:space="preserve">XIII</w:t>
            </w:r>
          </w:p>
        </w:tc>
        <w:tc>
          <w:tcPr/>
          <w:p>
            <w:pPr>
              <w:pStyle w:val="Compact"/>
              <w:jc w:val="left"/>
            </w:pPr>
            <w:r>
              <w:t xml:space="preserve">Jerozolima</w:t>
            </w:r>
          </w:p>
        </w:tc>
        <w:tc>
          <w:tcPr/>
          <w:p>
            <w:pPr>
              <w:pStyle w:val="Compact"/>
              <w:jc w:val="center"/>
            </w:pPr>
            <w:r>
              <w:t xml:space="preserve">e</w:t>
            </w:r>
          </w:p>
        </w:tc>
      </w:tr>
      <w:tr>
        <w:tc>
          <w:tcPr/>
          <w:p>
            <w:pPr>
              <w:pStyle w:val="Compact"/>
              <w:jc w:val="right"/>
            </w:pPr>
            <w:r>
              <w:t xml:space="preserve">586</w:t>
            </w:r>
          </w:p>
        </w:tc>
        <w:tc>
          <w:tcPr/>
          <w:p>
            <w:pPr>
              <w:pStyle w:val="Compact"/>
              <w:jc w:val="left"/>
            </w:pPr>
            <w:r>
              <w:t xml:space="preserve">1i</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XIV</w:t>
            </w:r>
          </w:p>
        </w:tc>
        <w:tc>
          <w:tcPr/>
          <w:p>
            <w:pPr>
              <w:pStyle w:val="Compact"/>
              <w:jc w:val="left"/>
            </w:pPr>
            <w:r>
              <w:t xml:space="preserve">Modena</w:t>
            </w:r>
          </w:p>
        </w:tc>
        <w:tc>
          <w:tcPr/>
          <w:p>
            <w:pPr>
              <w:pStyle w:val="Compact"/>
              <w:jc w:val="center"/>
            </w:pPr>
            <w:r>
              <w:t xml:space="preserve">e</w:t>
            </w:r>
          </w:p>
        </w:tc>
      </w:tr>
      <w:tr>
        <w:tc>
          <w:tcPr/>
          <w:p>
            <w:pPr>
              <w:pStyle w:val="Compact"/>
              <w:jc w:val="right"/>
            </w:pPr>
            <w:r>
              <w:t xml:space="preserve">645</w:t>
            </w:r>
          </w:p>
        </w:tc>
        <w:tc>
          <w:tcPr/>
          <w:p>
            <w:pPr>
              <w:pStyle w:val="Compact"/>
              <w:jc w:val="left"/>
            </w:pPr>
            <w:r>
              <w:t xml:space="preserve">2x, 8y, 4/, 3c, 16s, 2h, 13i</w:t>
            </w:r>
          </w:p>
        </w:tc>
        <w:tc>
          <w:tcPr/>
          <w:p>
            <w:pPr>
              <w:pStyle w:val="Compact"/>
              <w:jc w:val="right"/>
            </w:pPr>
            <w:r>
              <w:t xml:space="preserve">48</w:t>
            </w:r>
          </w:p>
        </w:tc>
        <w:tc>
          <w:tcPr/>
          <w:p>
            <w:pPr>
              <w:pStyle w:val="Compact"/>
              <w:jc w:val="right"/>
            </w:pPr>
            <w:r>
              <w:t xml:space="preserve">14</w:t>
            </w:r>
          </w:p>
        </w:tc>
        <w:tc>
          <w:tcPr/>
          <w:p>
            <w:pPr>
              <w:pStyle w:val="Compact"/>
              <w:jc w:val="center"/>
            </w:pPr>
            <w:r>
              <w:t xml:space="preserve">1304</w:t>
            </w:r>
          </w:p>
        </w:tc>
        <w:tc>
          <w:tcPr/>
          <w:p>
            <w:pPr>
              <w:pStyle w:val="Compact"/>
              <w:jc w:val="left"/>
            </w:pPr>
            <w:r>
              <w:t xml:space="preserve">Cypr</w:t>
            </w:r>
          </w:p>
        </w:tc>
        <w:tc>
          <w:tcPr/>
          <w:p>
            <w:pPr>
              <w:pStyle w:val="Compact"/>
              <w:jc w:val="center"/>
            </w:pPr>
            <w:r>
              <w:t xml:space="preserve">e</w:t>
            </w:r>
          </w:p>
        </w:tc>
      </w:tr>
      <w:tr>
        <w:tc>
          <w:tcPr/>
          <w:p>
            <w:pPr>
              <w:pStyle w:val="Compact"/>
              <w:jc w:val="right"/>
            </w:pPr>
            <w:r>
              <w:t xml:space="preserve">689</w:t>
            </w:r>
          </w:p>
        </w:tc>
        <w:tc>
          <w:tcPr/>
          <w:p>
            <w:pPr>
              <w:pStyle w:val="Compact"/>
              <w:jc w:val="left"/>
            </w:pPr>
            <w:r>
              <w:t xml:space="preserve">5x, 5y, 1/, 1c, 7s, 3i</w:t>
            </w:r>
          </w:p>
        </w:tc>
        <w:tc>
          <w:tcPr/>
          <w:p>
            <w:pPr>
              <w:pStyle w:val="Compact"/>
              <w:jc w:val="right"/>
            </w:pPr>
            <w:r>
              <w:t xml:space="preserve">22</w:t>
            </w:r>
          </w:p>
        </w:tc>
        <w:tc>
          <w:tcPr/>
          <w:p>
            <w:pPr>
              <w:pStyle w:val="Compact"/>
              <w:jc w:val="right"/>
            </w:pPr>
            <w:r>
              <w:t xml:space="preserve">11</w:t>
            </w:r>
          </w:p>
        </w:tc>
        <w:tc>
          <w:tcPr/>
          <w:p>
            <w:pPr>
              <w:pStyle w:val="Compact"/>
              <w:jc w:val="center"/>
            </w:pPr>
            <w:r>
              <w:t xml:space="preserve">XIII</w:t>
            </w:r>
          </w:p>
        </w:tc>
        <w:tc>
          <w:tcPr/>
          <w:p>
            <w:pPr>
              <w:pStyle w:val="Compact"/>
              <w:jc w:val="left"/>
            </w:pPr>
            <w:r>
              <w:t xml:space="preserve">Londyn</w:t>
            </w:r>
          </w:p>
        </w:tc>
        <w:tc>
          <w:tcPr/>
          <w:p>
            <w:pPr>
              <w:pStyle w:val="Compact"/>
              <w:jc w:val="center"/>
            </w:pPr>
            <w:r>
              <w:t xml:space="preserve">e</w:t>
            </w:r>
          </w:p>
        </w:tc>
      </w:tr>
      <w:tr>
        <w:tc>
          <w:tcPr/>
          <w:p>
            <w:pPr>
              <w:pStyle w:val="Compact"/>
              <w:jc w:val="right"/>
            </w:pPr>
            <w:r>
              <w:t xml:space="preserve">789</w:t>
            </w:r>
          </w:p>
        </w:tc>
        <w:tc>
          <w:tcPr/>
          <w:p>
            <w:pPr>
              <w:pStyle w:val="Compact"/>
              <w:jc w:val="left"/>
            </w:pPr>
            <w:r>
              <w:t xml:space="preserve">1y, 2s</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e</w:t>
            </w:r>
          </w:p>
        </w:tc>
      </w:tr>
      <w:tr>
        <w:tc>
          <w:tcPr/>
          <w:p>
            <w:pPr>
              <w:pStyle w:val="Compact"/>
              <w:jc w:val="right"/>
            </w:pPr>
            <w:r>
              <w:t xml:space="preserve">824</w:t>
            </w:r>
          </w:p>
        </w:tc>
        <w:tc>
          <w:tcPr/>
          <w:p>
            <w:pPr>
              <w:pStyle w:val="Compact"/>
              <w:jc w:val="left"/>
            </w:pPr>
            <w:r>
              <w:t xml:space="preserve">2x, 3y, 3s, 2i</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eapr</w:t>
            </w:r>
          </w:p>
        </w:tc>
      </w:tr>
      <w:tr>
        <w:tc>
          <w:tcPr/>
          <w:p>
            <w:pPr>
              <w:pStyle w:val="Compact"/>
              <w:jc w:val="right"/>
            </w:pPr>
            <w:r>
              <w:t xml:space="preserve">928</w:t>
            </w:r>
          </w:p>
        </w:tc>
        <w:tc>
          <w:tcPr/>
          <w:p>
            <w:pPr>
              <w:pStyle w:val="Compact"/>
              <w:jc w:val="left"/>
            </w:pPr>
            <w:r>
              <w:t xml:space="preserve">3y, 1/, 1c, 1s</w:t>
            </w:r>
          </w:p>
        </w:tc>
        <w:tc>
          <w:tcPr/>
          <w:p>
            <w:pPr>
              <w:pStyle w:val="Compact"/>
              <w:jc w:val="right"/>
            </w:pPr>
            <w:r>
              <w:t xml:space="preserve">6</w:t>
            </w:r>
          </w:p>
        </w:tc>
        <w:tc>
          <w:tcPr/>
          <w:p>
            <w:pPr>
              <w:pStyle w:val="Compact"/>
              <w:jc w:val="right"/>
            </w:pPr>
            <w:r>
              <w:t xml:space="preserve">4</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eap</w:t>
            </w:r>
          </w:p>
        </w:tc>
      </w:tr>
      <w:tr>
        <w:tc>
          <w:tcPr/>
          <w:p>
            <w:pPr>
              <w:pStyle w:val="Compact"/>
              <w:jc w:val="right"/>
            </w:pPr>
            <w:r>
              <w:t xml:space="preserve">1023</w:t>
            </w:r>
          </w:p>
        </w:tc>
        <w:tc>
          <w:tcPr/>
          <w:p>
            <w:pPr>
              <w:pStyle w:val="Compact"/>
              <w:jc w:val="left"/>
            </w:pPr>
            <w:r>
              <w:t xml:space="preserve">1x, 4y, 2/, 1c, 1s, 1i</w:t>
            </w:r>
          </w:p>
        </w:tc>
        <w:tc>
          <w:tcPr/>
          <w:p>
            <w:pPr>
              <w:pStyle w:val="Compact"/>
              <w:jc w:val="right"/>
            </w:pPr>
            <w:r>
              <w:t xml:space="preserve">10</w:t>
            </w:r>
          </w:p>
        </w:tc>
        <w:tc>
          <w:tcPr/>
          <w:p>
            <w:pPr>
              <w:pStyle w:val="Compact"/>
              <w:jc w:val="right"/>
            </w:pPr>
            <w:r>
              <w:t xml:space="preserve">7</w:t>
            </w:r>
          </w:p>
        </w:tc>
        <w:tc>
          <w:tcPr/>
          <w:p>
            <w:pPr>
              <w:pStyle w:val="Compact"/>
              <w:jc w:val="center"/>
            </w:pPr>
            <w:r>
              <w:t xml:space="preserve">1338</w:t>
            </w:r>
          </w:p>
        </w:tc>
        <w:tc>
          <w:tcPr/>
          <w:p>
            <w:pPr>
              <w:pStyle w:val="Compact"/>
              <w:jc w:val="left"/>
            </w:pPr>
            <w:r>
              <w:t xml:space="preserve">Iviron</w:t>
            </w:r>
          </w:p>
        </w:tc>
        <w:tc>
          <w:tcPr/>
          <w:p>
            <w:pPr>
              <w:pStyle w:val="Compact"/>
              <w:jc w:val="center"/>
            </w:pPr>
            <w:r>
              <w:t xml:space="preserve">e</w:t>
            </w:r>
          </w:p>
        </w:tc>
      </w:tr>
      <w:tr>
        <w:tc>
          <w:tcPr/>
          <w:p>
            <w:pPr>
              <w:pStyle w:val="Compact"/>
              <w:jc w:val="right"/>
            </w:pPr>
            <w:r>
              <w:t xml:space="preserve">1040</w:t>
            </w:r>
          </w:p>
        </w:tc>
        <w:tc>
          <w:tcPr/>
          <w:p>
            <w:pPr>
              <w:pStyle w:val="Compact"/>
              <w:jc w:val="left"/>
            </w:pPr>
            <w:r>
              <w:t xml:space="preserve">2x, 3y, 1/, 2s, 1h</w:t>
            </w:r>
          </w:p>
        </w:tc>
        <w:tc>
          <w:tcPr/>
          <w:p>
            <w:pPr>
              <w:pStyle w:val="Compact"/>
              <w:jc w:val="right"/>
            </w:pPr>
            <w:r>
              <w:t xml:space="preserve">9</w:t>
            </w:r>
          </w:p>
        </w:tc>
        <w:tc>
          <w:tcPr/>
          <w:p>
            <w:pPr>
              <w:pStyle w:val="Compact"/>
              <w:jc w:val="right"/>
            </w:pPr>
            <w:r>
              <w:t xml:space="preserve">6</w:t>
            </w:r>
          </w:p>
        </w:tc>
        <w:tc>
          <w:tcPr/>
          <w:p>
            <w:pPr>
              <w:pStyle w:val="Compact"/>
              <w:jc w:val="center"/>
            </w:pPr>
            <w:r>
              <w:t xml:space="preserve">XIV</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1072</w:t>
            </w:r>
          </w:p>
        </w:tc>
        <w:tc>
          <w:tcPr/>
          <w:p>
            <w:pPr>
              <w:pStyle w:val="Compact"/>
              <w:jc w:val="left"/>
            </w:pPr>
            <w:r>
              <w:t xml:space="preserve">1y, 2i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1075</w:t>
            </w:r>
          </w:p>
        </w:tc>
        <w:tc>
          <w:tcPr/>
          <w:p>
            <w:pPr>
              <w:pStyle w:val="Compact"/>
              <w:jc w:val="left"/>
            </w:pPr>
            <w:r>
              <w:t xml:space="preserve">4y, 2/, 1s, 2i</w:t>
            </w:r>
          </w:p>
        </w:tc>
        <w:tc>
          <w:tcPr/>
          <w:p>
            <w:pPr>
              <w:pStyle w:val="Compact"/>
              <w:jc w:val="right"/>
            </w:pPr>
            <w:r>
              <w:t xml:space="preserve">9</w:t>
            </w:r>
          </w:p>
        </w:tc>
        <w:tc>
          <w:tcPr/>
          <w:p>
            <w:pPr>
              <w:pStyle w:val="Compact"/>
              <w:jc w:val="right"/>
            </w:pPr>
            <w:r>
              <w:t xml:space="preserve">6</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1111</w:t>
            </w:r>
          </w:p>
        </w:tc>
        <w:tc>
          <w:tcPr/>
          <w:p>
            <w:pPr>
              <w:pStyle w:val="Compact"/>
              <w:jc w:val="left"/>
            </w:pPr>
            <w:r>
              <w:t xml:space="preserve">4y, 3/, 1c, 1s</w:t>
            </w:r>
          </w:p>
        </w:tc>
        <w:tc>
          <w:tcPr/>
          <w:p>
            <w:pPr>
              <w:pStyle w:val="Compact"/>
              <w:jc w:val="right"/>
            </w:pPr>
            <w:r>
              <w:t xml:space="preserve">9</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Stavronikita</w:t>
            </w:r>
          </w:p>
        </w:tc>
        <w:tc>
          <w:tcPr/>
          <w:p>
            <w:pPr>
              <w:pStyle w:val="Compact"/>
              <w:jc w:val="center"/>
            </w:pPr>
            <w:r>
              <w:t xml:space="preserve">e</w:t>
            </w:r>
          </w:p>
        </w:tc>
      </w:tr>
      <w:tr>
        <w:tc>
          <w:tcPr/>
          <w:p>
            <w:pPr>
              <w:pStyle w:val="Compact"/>
              <w:jc w:val="right"/>
            </w:pPr>
            <w:r>
              <w:t xml:space="preserve">1117</w:t>
            </w:r>
          </w:p>
        </w:tc>
        <w:tc>
          <w:tcPr/>
          <w:p>
            <w:pPr>
              <w:pStyle w:val="Compact"/>
              <w:jc w:val="left"/>
            </w:pPr>
            <w:r>
              <w:t xml:space="preserve">1x, 3y, 7s, 1i</w:t>
            </w:r>
          </w:p>
        </w:tc>
        <w:tc>
          <w:tcPr/>
          <w:p>
            <w:pPr>
              <w:pStyle w:val="Compact"/>
              <w:jc w:val="right"/>
            </w:pPr>
            <w:r>
              <w:t xml:space="preserve">12</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Filotheu</w:t>
            </w:r>
          </w:p>
        </w:tc>
        <w:tc>
          <w:tcPr/>
          <w:p>
            <w:pPr>
              <w:pStyle w:val="Compact"/>
              <w:jc w:val="center"/>
            </w:pPr>
            <w:r>
              <w:t xml:space="preserve">e</w:t>
            </w:r>
          </w:p>
        </w:tc>
      </w:tr>
      <w:tr>
        <w:tc>
          <w:tcPr/>
          <w:p>
            <w:pPr>
              <w:pStyle w:val="Compact"/>
              <w:jc w:val="right"/>
            </w:pPr>
            <w:r>
              <w:t xml:space="preserve">1133</w:t>
            </w:r>
          </w:p>
        </w:tc>
        <w:tc>
          <w:tcPr/>
          <w:p>
            <w:pPr>
              <w:pStyle w:val="Compact"/>
              <w:jc w:val="left"/>
            </w:pPr>
            <w:r>
              <w:t xml:space="preserve">10y, 12/, 1c, 10s, 1h</w:t>
            </w:r>
          </w:p>
        </w:tc>
        <w:tc>
          <w:tcPr/>
          <w:p>
            <w:pPr>
              <w:pStyle w:val="Compact"/>
              <w:jc w:val="right"/>
            </w:pPr>
            <w:r>
              <w:t xml:space="preserve">34</w:t>
            </w:r>
          </w:p>
        </w:tc>
        <w:tc>
          <w:tcPr/>
          <w:p>
            <w:pPr>
              <w:pStyle w:val="Compact"/>
              <w:jc w:val="right"/>
            </w:pPr>
            <w:r>
              <w:t xml:space="preserve">22</w:t>
            </w:r>
          </w:p>
        </w:tc>
        <w:tc>
          <w:tcPr/>
          <w:p>
            <w:pPr>
              <w:pStyle w:val="Compact"/>
              <w:jc w:val="center"/>
            </w:pPr>
            <w:r>
              <w:t xml:space="preserve">XIV</w:t>
            </w:r>
          </w:p>
        </w:tc>
        <w:tc>
          <w:tcPr/>
          <w:p>
            <w:pPr>
              <w:pStyle w:val="Compact"/>
              <w:jc w:val="left"/>
            </w:pPr>
            <w:r>
              <w:t xml:space="preserve">Filotheu</w:t>
            </w:r>
          </w:p>
        </w:tc>
        <w:tc>
          <w:tcPr/>
          <w:p>
            <w:pPr>
              <w:pStyle w:val="Compact"/>
              <w:jc w:val="center"/>
            </w:pPr>
            <w:r>
              <w:t xml:space="preserve">e</w:t>
            </w:r>
          </w:p>
        </w:tc>
      </w:tr>
      <w:tr>
        <w:tc>
          <w:tcPr/>
          <w:p>
            <w:pPr>
              <w:pStyle w:val="Compact"/>
              <w:jc w:val="right"/>
            </w:pPr>
            <w:r>
              <w:t xml:space="preserve">1145</w:t>
            </w:r>
          </w:p>
        </w:tc>
        <w:tc>
          <w:tcPr/>
          <w:p>
            <w:pPr>
              <w:pStyle w:val="Compact"/>
              <w:jc w:val="left"/>
            </w:pPr>
            <w:r>
              <w:t xml:space="preserve">1x, 9y, 3/, 5c, 2s, 2i</w:t>
            </w:r>
          </w:p>
        </w:tc>
        <w:tc>
          <w:tcPr/>
          <w:p>
            <w:pPr>
              <w:pStyle w:val="Compact"/>
              <w:jc w:val="right"/>
            </w:pPr>
            <w:r>
              <w:t xml:space="preserve">22</w:t>
            </w:r>
          </w:p>
        </w:tc>
        <w:tc>
          <w:tcPr/>
          <w:p>
            <w:pPr>
              <w:pStyle w:val="Compact"/>
              <w:jc w:val="right"/>
            </w:pPr>
            <w:r>
              <w:t xml:space="preserve">13</w:t>
            </w:r>
          </w:p>
        </w:tc>
        <w:tc>
          <w:tcPr/>
          <w:p>
            <w:pPr>
              <w:pStyle w:val="Compact"/>
              <w:jc w:val="center"/>
            </w:pPr>
            <w:r>
              <w:t xml:space="preserve">XII</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1147</w:t>
            </w:r>
          </w:p>
        </w:tc>
        <w:tc>
          <w:tcPr/>
          <w:p>
            <w:pPr>
              <w:pStyle w:val="Compact"/>
              <w:jc w:val="left"/>
            </w:pPr>
            <w:r>
              <w:t xml:space="preserve">1y, 3/, 1c, 5s, 2h, 3i</w:t>
            </w:r>
          </w:p>
        </w:tc>
        <w:tc>
          <w:tcPr/>
          <w:p>
            <w:pPr>
              <w:pStyle w:val="Compact"/>
              <w:jc w:val="right"/>
            </w:pPr>
            <w:r>
              <w:t xml:space="preserve">15</w:t>
            </w:r>
          </w:p>
        </w:tc>
        <w:tc>
          <w:tcPr/>
          <w:p>
            <w:pPr>
              <w:pStyle w:val="Compact"/>
              <w:jc w:val="right"/>
            </w:pPr>
            <w:r>
              <w:t xml:space="preserve">4</w:t>
            </w:r>
          </w:p>
        </w:tc>
        <w:tc>
          <w:tcPr/>
          <w:p>
            <w:pPr>
              <w:pStyle w:val="Compact"/>
              <w:jc w:val="center"/>
            </w:pPr>
            <w:r>
              <w:t xml:space="preserve">1370</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1199</w:t>
            </w:r>
          </w:p>
        </w:tc>
        <w:tc>
          <w:tcPr/>
          <w:p>
            <w:pPr>
              <w:pStyle w:val="Compact"/>
              <w:jc w:val="left"/>
            </w:pPr>
            <w:r>
              <w:t xml:space="preserve">8x, 12y, 10/, 24s, 19i</w:t>
            </w:r>
          </w:p>
        </w:tc>
        <w:tc>
          <w:tcPr/>
          <w:p>
            <w:pPr>
              <w:pStyle w:val="Compact"/>
              <w:jc w:val="right"/>
            </w:pPr>
            <w:r>
              <w:t xml:space="preserve">73</w:t>
            </w:r>
          </w:p>
        </w:tc>
        <w:tc>
          <w:tcPr/>
          <w:p>
            <w:pPr>
              <w:pStyle w:val="Compact"/>
              <w:jc w:val="right"/>
            </w:pPr>
            <w:r>
              <w:t xml:space="preserve">30</w:t>
            </w:r>
          </w:p>
        </w:tc>
        <w:tc>
          <w:tcPr/>
          <w:p>
            <w:pPr>
              <w:pStyle w:val="Compact"/>
              <w:jc w:val="center"/>
            </w:pPr>
            <w:r>
              <w:t xml:space="preserve">XII</w:t>
            </w:r>
          </w:p>
        </w:tc>
        <w:tc>
          <w:tcPr/>
          <w:p>
            <w:pPr>
              <w:pStyle w:val="Compact"/>
              <w:jc w:val="left"/>
            </w:pPr>
            <w:r>
              <w:t xml:space="preserve">Synaj</w:t>
            </w:r>
          </w:p>
        </w:tc>
        <w:tc>
          <w:tcPr/>
          <w:p>
            <w:pPr>
              <w:pStyle w:val="Compact"/>
              <w:jc w:val="center"/>
            </w:pPr>
            <w:r>
              <w:t xml:space="preserve">e</w:t>
            </w:r>
          </w:p>
        </w:tc>
      </w:tr>
      <w:tr>
        <w:tc>
          <w:tcPr/>
          <w:p>
            <w:pPr>
              <w:pStyle w:val="Compact"/>
              <w:jc w:val="right"/>
            </w:pPr>
            <w:r>
              <w:t xml:space="preserve">1251</w:t>
            </w:r>
          </w:p>
        </w:tc>
        <w:tc>
          <w:tcPr/>
          <w:p>
            <w:pPr>
              <w:pStyle w:val="Compact"/>
              <w:jc w:val="left"/>
            </w:pPr>
            <w:r>
              <w:t xml:space="preserve">1x, 9y, 4/, 7s, 1h, 7i</w:t>
            </w:r>
          </w:p>
        </w:tc>
        <w:tc>
          <w:tcPr/>
          <w:p>
            <w:pPr>
              <w:pStyle w:val="Compact"/>
              <w:jc w:val="right"/>
            </w:pPr>
            <w:r>
              <w:t xml:space="preserve">29</w:t>
            </w:r>
          </w:p>
        </w:tc>
        <w:tc>
          <w:tcPr/>
          <w:p>
            <w:pPr>
              <w:pStyle w:val="Compact"/>
              <w:jc w:val="right"/>
            </w:pPr>
            <w:r>
              <w:t xml:space="preserve">14</w:t>
            </w:r>
          </w:p>
        </w:tc>
        <w:tc>
          <w:tcPr/>
          <w:p>
            <w:pPr>
              <w:pStyle w:val="Compact"/>
              <w:jc w:val="center"/>
            </w:pPr>
            <w:r>
              <w:t xml:space="preserve">XIII</w:t>
            </w:r>
          </w:p>
        </w:tc>
        <w:tc>
          <w:tcPr/>
          <w:p>
            <w:pPr>
              <w:pStyle w:val="Compact"/>
              <w:jc w:val="left"/>
            </w:pPr>
            <w:r>
              <w:t xml:space="preserve">Synaj</w:t>
            </w:r>
          </w:p>
        </w:tc>
        <w:tc>
          <w:tcPr/>
          <w:p>
            <w:pPr>
              <w:pStyle w:val="Compact"/>
              <w:jc w:val="center"/>
            </w:pPr>
            <w:r>
              <w:t xml:space="preserve">eap</w:t>
            </w:r>
          </w:p>
        </w:tc>
      </w:tr>
      <w:tr>
        <w:tc>
          <w:tcPr/>
          <w:p>
            <w:pPr>
              <w:pStyle w:val="Compact"/>
              <w:jc w:val="right"/>
            </w:pPr>
            <w:r>
              <w:t xml:space="preserve">1339</w:t>
            </w:r>
          </w:p>
        </w:tc>
        <w:tc>
          <w:tcPr/>
          <w:p>
            <w:pPr>
              <w:pStyle w:val="Compact"/>
              <w:jc w:val="left"/>
            </w:pPr>
            <w:r>
              <w:t xml:space="preserve">2x, 1y, 1/, 1s, 1i</w:t>
            </w:r>
          </w:p>
        </w:tc>
        <w:tc>
          <w:tcPr/>
          <w:p>
            <w:pPr>
              <w:pStyle w:val="Compact"/>
              <w:jc w:val="right"/>
            </w:pPr>
            <w:r>
              <w:t xml:space="preserve">6</w:t>
            </w:r>
          </w:p>
        </w:tc>
        <w:tc>
          <w:tcPr/>
          <w:p>
            <w:pPr>
              <w:pStyle w:val="Compact"/>
              <w:jc w:val="right"/>
            </w:pPr>
            <w:r>
              <w:t xml:space="preserve">4</w:t>
            </w:r>
          </w:p>
        </w:tc>
        <w:tc>
          <w:tcPr/>
          <w:p>
            <w:pPr>
              <w:pStyle w:val="Compact"/>
              <w:jc w:val="center"/>
            </w:pPr>
            <w:r>
              <w:t xml:space="preserve">XIII</w:t>
            </w:r>
          </w:p>
        </w:tc>
        <w:tc>
          <w:tcPr/>
          <w:p>
            <w:pPr>
              <w:pStyle w:val="Compact"/>
              <w:jc w:val="left"/>
            </w:pPr>
            <w:r>
              <w:t xml:space="preserve">Jerozolima</w:t>
            </w:r>
          </w:p>
        </w:tc>
        <w:tc>
          <w:tcPr/>
          <w:p>
            <w:pPr>
              <w:pStyle w:val="Compact"/>
              <w:jc w:val="center"/>
            </w:pPr>
            <w:r>
              <w:t xml:space="preserve">e</w:t>
            </w:r>
          </w:p>
        </w:tc>
      </w:tr>
      <w:tr>
        <w:tc>
          <w:tcPr/>
          <w:p>
            <w:pPr>
              <w:pStyle w:val="Compact"/>
              <w:jc w:val="right"/>
            </w:pPr>
            <w:r>
              <w:t xml:space="preserve">1384</w:t>
            </w:r>
          </w:p>
        </w:tc>
        <w:tc>
          <w:tcPr/>
          <w:p>
            <w:pPr>
              <w:pStyle w:val="Compact"/>
              <w:jc w:val="left"/>
            </w:pPr>
            <w:r>
              <w:t xml:space="preserve">1x, 8y, 1/, 1c, 7s, 1h, 4i</w:t>
            </w:r>
          </w:p>
        </w:tc>
        <w:tc>
          <w:tcPr/>
          <w:p>
            <w:pPr>
              <w:pStyle w:val="Compact"/>
              <w:jc w:val="right"/>
            </w:pPr>
            <w:r>
              <w:t xml:space="preserve">23</w:t>
            </w:r>
          </w:p>
        </w:tc>
        <w:tc>
          <w:tcPr/>
          <w:p>
            <w:pPr>
              <w:pStyle w:val="Compact"/>
              <w:jc w:val="right"/>
            </w:pPr>
            <w:r>
              <w:t xml:space="preserve">10</w:t>
            </w:r>
          </w:p>
        </w:tc>
        <w:tc>
          <w:tcPr/>
          <w:p>
            <w:pPr>
              <w:pStyle w:val="Compact"/>
              <w:jc w:val="center"/>
            </w:pPr>
            <w:r>
              <w:t xml:space="preserve">XI</w:t>
            </w:r>
          </w:p>
        </w:tc>
        <w:tc>
          <w:tcPr/>
          <w:p>
            <w:pPr>
              <w:pStyle w:val="Compact"/>
              <w:jc w:val="left"/>
            </w:pPr>
            <w:r>
              <w:t xml:space="preserve">Andros</w:t>
            </w:r>
          </w:p>
        </w:tc>
        <w:tc>
          <w:tcPr/>
          <w:p>
            <w:pPr>
              <w:pStyle w:val="Compact"/>
              <w:jc w:val="center"/>
            </w:pPr>
            <w:r>
              <w:t xml:space="preserve">eapr</w:t>
            </w:r>
          </w:p>
        </w:tc>
      </w:tr>
      <w:tr>
        <w:tc>
          <w:tcPr/>
          <w:p>
            <w:pPr>
              <w:pStyle w:val="Compact"/>
              <w:jc w:val="right"/>
            </w:pPr>
            <w:r>
              <w:t xml:space="preserve">1435</w:t>
            </w:r>
          </w:p>
        </w:tc>
        <w:tc>
          <w:tcPr/>
          <w:p>
            <w:pPr>
              <w:pStyle w:val="Compact"/>
              <w:jc w:val="left"/>
            </w:pPr>
            <w:r>
              <w:t xml:space="preserve">4y, 1/, 10s</w:t>
            </w:r>
          </w:p>
        </w:tc>
        <w:tc>
          <w:tcPr/>
          <w:p>
            <w:pPr>
              <w:pStyle w:val="Compact"/>
              <w:jc w:val="right"/>
            </w:pPr>
            <w:r>
              <w:t xml:space="preserve">15</w:t>
            </w:r>
          </w:p>
        </w:tc>
        <w:tc>
          <w:tcPr/>
          <w:p>
            <w:pPr>
              <w:pStyle w:val="Compact"/>
              <w:jc w:val="right"/>
            </w:pPr>
            <w:r>
              <w:t xml:space="preserve">5</w:t>
            </w:r>
          </w:p>
        </w:tc>
        <w:tc>
          <w:tcPr/>
          <w:p>
            <w:pPr>
              <w:pStyle w:val="Compact"/>
              <w:jc w:val="center"/>
            </w:pPr>
            <w:r>
              <w:t xml:space="preserve">XI</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1461</w:t>
            </w:r>
          </w:p>
        </w:tc>
        <w:tc>
          <w:tcPr/>
          <w:p>
            <w:pPr>
              <w:pStyle w:val="Compact"/>
              <w:jc w:val="left"/>
            </w:pPr>
            <w:r>
              <w:t xml:space="preserve">1y, 3s</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w:t>
            </w:r>
          </w:p>
        </w:tc>
      </w:tr>
      <w:tr>
        <w:tc>
          <w:tcPr/>
          <w:p>
            <w:pPr>
              <w:pStyle w:val="Compact"/>
              <w:jc w:val="right"/>
            </w:pPr>
            <w:r>
              <w:t xml:space="preserve">1496</w:t>
            </w:r>
          </w:p>
        </w:tc>
        <w:tc>
          <w:tcPr/>
          <w:p>
            <w:pPr>
              <w:pStyle w:val="Compact"/>
              <w:jc w:val="left"/>
            </w:pPr>
            <w:r>
              <w:t xml:space="preserve">1y, 2s, 1i</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w:t>
            </w:r>
          </w:p>
        </w:tc>
      </w:tr>
      <w:tr>
        <w:tc>
          <w:tcPr/>
          <w:p>
            <w:pPr>
              <w:pStyle w:val="Compact"/>
              <w:jc w:val="right"/>
            </w:pPr>
            <w:r>
              <w:t xml:space="preserve">1503</w:t>
            </w:r>
          </w:p>
        </w:tc>
        <w:tc>
          <w:tcPr/>
          <w:p>
            <w:pPr>
              <w:pStyle w:val="Compact"/>
              <w:jc w:val="left"/>
            </w:pPr>
            <w:r>
              <w:t xml:space="preserve">2/, 1c, 2s, 1i</w:t>
            </w:r>
          </w:p>
        </w:tc>
        <w:tc>
          <w:tcPr/>
          <w:p>
            <w:pPr>
              <w:pStyle w:val="Compact"/>
              <w:jc w:val="right"/>
            </w:pPr>
            <w:r>
              <w:t xml:space="preserve">6</w:t>
            </w:r>
          </w:p>
        </w:tc>
        <w:tc>
          <w:tcPr/>
          <w:p>
            <w:pPr>
              <w:pStyle w:val="Compact"/>
              <w:jc w:val="right"/>
            </w:pPr>
            <w:r>
              <w:t xml:space="preserve">2</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1572</w:t>
            </w:r>
          </w:p>
        </w:tc>
        <w:tc>
          <w:tcPr/>
          <w:p>
            <w:pPr>
              <w:pStyle w:val="Compact"/>
              <w:jc w:val="left"/>
            </w:pPr>
            <w:r>
              <w:t xml:space="preserve">3y, 1/, 3s</w:t>
            </w:r>
          </w:p>
        </w:tc>
        <w:tc>
          <w:tcPr/>
          <w:p>
            <w:pPr>
              <w:pStyle w:val="Compact"/>
              <w:jc w:val="right"/>
            </w:pPr>
            <w:r>
              <w:t xml:space="preserve">7</w:t>
            </w:r>
          </w:p>
        </w:tc>
        <w:tc>
          <w:tcPr/>
          <w:p>
            <w:pPr>
              <w:pStyle w:val="Compact"/>
              <w:jc w:val="right"/>
            </w:pPr>
            <w:r>
              <w:t xml:space="preserve">4</w:t>
            </w:r>
          </w:p>
        </w:tc>
        <w:tc>
          <w:tcPr/>
          <w:p>
            <w:pPr>
              <w:pStyle w:val="Compact"/>
              <w:jc w:val="center"/>
            </w:pPr>
            <w:r>
              <w:t xml:space="preserve">1304</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1628</w:t>
            </w:r>
          </w:p>
        </w:tc>
        <w:tc>
          <w:tcPr/>
          <w:p>
            <w:pPr>
              <w:pStyle w:val="Compact"/>
              <w:jc w:val="left"/>
            </w:pPr>
            <w:r>
              <w:t xml:space="preserve">1y, 5s, 1h, 2i</w:t>
            </w:r>
          </w:p>
        </w:tc>
        <w:tc>
          <w:tcPr/>
          <w:p>
            <w:pPr>
              <w:pStyle w:val="Compact"/>
              <w:jc w:val="right"/>
            </w:pPr>
            <w:r>
              <w:t xml:space="preserve">9</w:t>
            </w:r>
          </w:p>
        </w:tc>
        <w:tc>
          <w:tcPr/>
          <w:p>
            <w:pPr>
              <w:pStyle w:val="Compact"/>
              <w:jc w:val="right"/>
            </w:pPr>
            <w:r>
              <w:t xml:space="preserve">1</w:t>
            </w:r>
          </w:p>
        </w:tc>
        <w:tc>
          <w:tcPr/>
          <w:p>
            <w:pPr>
              <w:pStyle w:val="Compact"/>
              <w:jc w:val="center"/>
            </w:pPr>
            <w:r>
              <w:t xml:space="preserve">1400</w:t>
            </w:r>
          </w:p>
        </w:tc>
        <w:tc>
          <w:tcPr/>
          <w:p>
            <w:pPr>
              <w:pStyle w:val="Compact"/>
              <w:jc w:val="left"/>
            </w:pPr>
            <w:r>
              <w:t xml:space="preserve">M. Lavras</w:t>
            </w:r>
          </w:p>
        </w:tc>
        <w:tc>
          <w:tcPr/>
          <w:p>
            <w:pPr>
              <w:pStyle w:val="Compact"/>
              <w:jc w:val="center"/>
            </w:pPr>
            <w:r>
              <w:t xml:space="preserve">eap</w:t>
            </w:r>
          </w:p>
        </w:tc>
      </w:tr>
      <w:tr>
        <w:tc>
          <w:tcPr/>
          <w:p>
            <w:pPr>
              <w:pStyle w:val="Compact"/>
              <w:jc w:val="right"/>
            </w:pPr>
            <w:r>
              <w:t xml:space="preserve">1637</w:t>
            </w:r>
          </w:p>
        </w:tc>
        <w:tc>
          <w:tcPr/>
          <w:p>
            <w:pPr>
              <w:pStyle w:val="Compact"/>
              <w:jc w:val="left"/>
            </w:pPr>
            <w:r>
              <w:t xml:space="preserve">2y, 2s, 2i</w:t>
            </w:r>
          </w:p>
        </w:tc>
        <w:tc>
          <w:tcPr/>
          <w:p>
            <w:pPr>
              <w:pStyle w:val="Compact"/>
              <w:jc w:val="right"/>
            </w:pPr>
            <w:r>
              <w:t xml:space="preserve">6</w:t>
            </w:r>
          </w:p>
        </w:tc>
        <w:tc>
          <w:tcPr/>
          <w:p>
            <w:pPr>
              <w:pStyle w:val="Compact"/>
              <w:jc w:val="right"/>
            </w:pPr>
            <w:r>
              <w:t xml:space="preserve">2</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1652</w:t>
            </w:r>
          </w:p>
        </w:tc>
        <w:tc>
          <w:tcPr/>
          <w:p>
            <w:pPr>
              <w:pStyle w:val="Compact"/>
              <w:jc w:val="left"/>
            </w:pPr>
            <w:r>
              <w:t xml:space="preserve">1y, 1s, 2i</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XVI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1667</w:t>
            </w:r>
          </w:p>
        </w:tc>
        <w:tc>
          <w:tcPr/>
          <w:p>
            <w:pPr>
              <w:pStyle w:val="Compact"/>
              <w:jc w:val="left"/>
            </w:pPr>
            <w:r>
              <w:t xml:space="preserve">5y, 2/, 1c, 8s</w:t>
            </w:r>
          </w:p>
        </w:tc>
        <w:tc>
          <w:tcPr/>
          <w:p>
            <w:pPr>
              <w:pStyle w:val="Compact"/>
              <w:jc w:val="right"/>
            </w:pPr>
            <w:r>
              <w:t xml:space="preserve">16</w:t>
            </w:r>
          </w:p>
        </w:tc>
        <w:tc>
          <w:tcPr/>
          <w:p>
            <w:pPr>
              <w:pStyle w:val="Compact"/>
              <w:jc w:val="right"/>
            </w:pPr>
            <w:r>
              <w:t xml:space="preserve">7</w:t>
            </w:r>
          </w:p>
        </w:tc>
        <w:tc>
          <w:tcPr/>
          <w:p>
            <w:pPr>
              <w:pStyle w:val="Compact"/>
              <w:jc w:val="center"/>
            </w:pPr>
            <w:r>
              <w:t xml:space="preserve">1309</w:t>
            </w:r>
          </w:p>
        </w:tc>
        <w:tc>
          <w:tcPr/>
          <w:p>
            <w:pPr>
              <w:pStyle w:val="Compact"/>
              <w:jc w:val="left"/>
            </w:pPr>
            <w:r>
              <w:t xml:space="preserve">Panteleimonos</w:t>
            </w:r>
          </w:p>
        </w:tc>
        <w:tc>
          <w:tcPr/>
          <w:p>
            <w:pPr>
              <w:pStyle w:val="Compact"/>
              <w:jc w:val="center"/>
            </w:pPr>
            <w:r>
              <w:t xml:space="preserve">e</w:t>
            </w:r>
          </w:p>
        </w:tc>
      </w:tr>
      <w:tr>
        <w:tc>
          <w:tcPr/>
          <w:p>
            <w:pPr>
              <w:pStyle w:val="Compact"/>
              <w:jc w:val="right"/>
            </w:pPr>
            <w:r>
              <w:t xml:space="preserve">1705</w:t>
            </w:r>
          </w:p>
        </w:tc>
        <w:tc>
          <w:tcPr/>
          <w:p>
            <w:pPr>
              <w:pStyle w:val="Compact"/>
              <w:jc w:val="left"/>
            </w:pPr>
            <w:r>
              <w:t xml:space="preserve">1x, 15y, 4/, 13s, 1h, 4i</w:t>
            </w:r>
          </w:p>
        </w:tc>
        <w:tc>
          <w:tcPr/>
          <w:p>
            <w:pPr>
              <w:pStyle w:val="Compact"/>
              <w:jc w:val="right"/>
            </w:pPr>
            <w:r>
              <w:t xml:space="preserve">38</w:t>
            </w:r>
          </w:p>
        </w:tc>
        <w:tc>
          <w:tcPr/>
          <w:p>
            <w:pPr>
              <w:pStyle w:val="Compact"/>
              <w:jc w:val="right"/>
            </w:pPr>
            <w:r>
              <w:t xml:space="preserve">20</w:t>
            </w:r>
          </w:p>
        </w:tc>
        <w:tc>
          <w:tcPr/>
          <w:p>
            <w:pPr>
              <w:pStyle w:val="Compact"/>
              <w:jc w:val="center"/>
            </w:pPr>
            <w:r>
              <w:t xml:space="preserve">XIV</w:t>
            </w:r>
          </w:p>
        </w:tc>
        <w:tc>
          <w:tcPr/>
          <w:p>
            <w:pPr>
              <w:pStyle w:val="Compact"/>
              <w:jc w:val="left"/>
            </w:pPr>
            <w:r>
              <w:t xml:space="preserve">Tirana</w:t>
            </w:r>
          </w:p>
        </w:tc>
        <w:tc>
          <w:tcPr/>
          <w:p>
            <w:pPr>
              <w:pStyle w:val="Compact"/>
              <w:jc w:val="center"/>
            </w:pPr>
            <w:r>
              <w:t xml:space="preserve">e</w:t>
            </w:r>
          </w:p>
        </w:tc>
      </w:tr>
      <w:tr>
        <w:tc>
          <w:tcPr/>
          <w:p>
            <w:pPr>
              <w:pStyle w:val="Compact"/>
              <w:jc w:val="right"/>
            </w:pPr>
            <w:r>
              <w:t xml:space="preserve">1713</w:t>
            </w:r>
          </w:p>
        </w:tc>
        <w:tc>
          <w:tcPr/>
          <w:p>
            <w:pPr>
              <w:pStyle w:val="Compact"/>
              <w:jc w:val="left"/>
            </w:pPr>
            <w:r>
              <w:t xml:space="preserve">1y, 2c, 2s</w:t>
            </w:r>
          </w:p>
        </w:tc>
        <w:tc>
          <w:tcPr/>
          <w:p>
            <w:pPr>
              <w:pStyle w:val="Compact"/>
              <w:jc w:val="right"/>
            </w:pPr>
            <w:r>
              <w:t xml:space="preserve">5</w:t>
            </w:r>
          </w:p>
        </w:tc>
        <w:tc>
          <w:tcPr/>
          <w:p>
            <w:pPr>
              <w:pStyle w:val="Compact"/>
              <w:jc w:val="right"/>
            </w:pPr>
            <w:r>
              <w:t xml:space="preserve">1</w:t>
            </w:r>
          </w:p>
        </w:tc>
        <w:tc>
          <w:tcPr/>
          <w:p>
            <w:pPr>
              <w:pStyle w:val="Compact"/>
              <w:jc w:val="center"/>
            </w:pPr>
            <w:r>
              <w:t xml:space="preserve">XV</w:t>
            </w:r>
          </w:p>
        </w:tc>
        <w:tc>
          <w:tcPr/>
          <w:p>
            <w:pPr>
              <w:pStyle w:val="Compact"/>
              <w:jc w:val="left"/>
            </w:pPr>
            <w:r>
              <w:t xml:space="preserve">Lesbos</w:t>
            </w:r>
          </w:p>
        </w:tc>
        <w:tc>
          <w:tcPr/>
          <w:p>
            <w:pPr>
              <w:pStyle w:val="Compact"/>
              <w:jc w:val="center"/>
            </w:pPr>
            <w:r>
              <w:t xml:space="preserve">e</w:t>
            </w:r>
          </w:p>
        </w:tc>
      </w:tr>
      <w:tr>
        <w:tc>
          <w:tcPr/>
          <w:p>
            <w:pPr>
              <w:pStyle w:val="Compact"/>
              <w:jc w:val="right"/>
            </w:pPr>
            <w:r>
              <w:t xml:space="preserve">2122</w:t>
            </w:r>
          </w:p>
        </w:tc>
        <w:tc>
          <w:tcPr/>
          <w:p>
            <w:pPr>
              <w:pStyle w:val="Compact"/>
              <w:jc w:val="left"/>
            </w:pPr>
            <w:r>
              <w:t xml:space="preserve">5y, 5s</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XII</w:t>
            </w:r>
          </w:p>
        </w:tc>
        <w:tc>
          <w:tcPr/>
          <w:p>
            <w:pPr>
              <w:pStyle w:val="Compact"/>
              <w:jc w:val="left"/>
            </w:pPr>
            <w:r>
              <w:t xml:space="preserve">Ateny</w:t>
            </w:r>
          </w:p>
        </w:tc>
        <w:tc>
          <w:tcPr/>
          <w:p>
            <w:pPr>
              <w:pStyle w:val="Compact"/>
              <w:jc w:val="center"/>
            </w:pPr>
            <w:r>
              <w:t xml:space="preserve">e</w:t>
            </w:r>
          </w:p>
        </w:tc>
      </w:tr>
      <w:tr>
        <w:tc>
          <w:tcPr/>
          <w:p>
            <w:pPr>
              <w:pStyle w:val="Compact"/>
              <w:jc w:val="right"/>
            </w:pPr>
            <w:r>
              <w:t xml:space="preserve">2221</w:t>
            </w:r>
          </w:p>
        </w:tc>
        <w:tc>
          <w:tcPr/>
          <w:p>
            <w:pPr>
              <w:pStyle w:val="Compact"/>
              <w:jc w:val="left"/>
            </w:pPr>
            <w:r>
              <w:t xml:space="preserve">6x, 15y, 1/, 2s, 1h</w:t>
            </w:r>
          </w:p>
        </w:tc>
        <w:tc>
          <w:tcPr/>
          <w:p>
            <w:pPr>
              <w:pStyle w:val="Compact"/>
              <w:jc w:val="right"/>
            </w:pPr>
            <w:r>
              <w:t xml:space="preserve">25</w:t>
            </w:r>
          </w:p>
        </w:tc>
        <w:tc>
          <w:tcPr/>
          <w:p>
            <w:pPr>
              <w:pStyle w:val="Compact"/>
              <w:jc w:val="right"/>
            </w:pPr>
            <w:r>
              <w:t xml:space="preserve">22</w:t>
            </w:r>
          </w:p>
        </w:tc>
        <w:tc>
          <w:tcPr/>
          <w:p>
            <w:pPr>
              <w:pStyle w:val="Compact"/>
              <w:jc w:val="center"/>
            </w:pPr>
            <w:r>
              <w:t xml:space="preserve">1432</w:t>
            </w:r>
          </w:p>
        </w:tc>
        <w:tc>
          <w:tcPr/>
          <w:p>
            <w:pPr>
              <w:pStyle w:val="Compact"/>
              <w:jc w:val="left"/>
            </w:pPr>
            <w:r>
              <w:t xml:space="preserve">Sparta</w:t>
            </w:r>
          </w:p>
        </w:tc>
        <w:tc>
          <w:tcPr/>
          <w:p>
            <w:pPr>
              <w:pStyle w:val="Compact"/>
              <w:jc w:val="center"/>
            </w:pPr>
            <w:r>
              <w:t xml:space="preserve">eap</w:t>
            </w:r>
          </w:p>
        </w:tc>
      </w:tr>
      <w:tr>
        <w:tc>
          <w:tcPr/>
          <w:p>
            <w:pPr>
              <w:pStyle w:val="Compact"/>
              <w:jc w:val="right"/>
            </w:pPr>
            <w:r>
              <w:t xml:space="preserve">2253</w:t>
            </w:r>
          </w:p>
        </w:tc>
        <w:tc>
          <w:tcPr/>
          <w:p>
            <w:pPr>
              <w:pStyle w:val="Compact"/>
              <w:jc w:val="left"/>
            </w:pPr>
            <w:r>
              <w:t xml:space="preserve">1y, 1s, 1i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w:t>
            </w:r>
          </w:p>
        </w:tc>
        <w:tc>
          <w:tcPr/>
          <w:p>
            <w:pPr>
              <w:pStyle w:val="Compact"/>
              <w:jc w:val="left"/>
            </w:pPr>
            <w:r>
              <w:t xml:space="preserve">Tirana</w:t>
            </w:r>
          </w:p>
        </w:tc>
        <w:tc>
          <w:tcPr/>
          <w:p>
            <w:pPr>
              <w:pStyle w:val="Compact"/>
              <w:jc w:val="center"/>
            </w:pPr>
            <w:r>
              <w:t xml:space="preserve">e</w:t>
            </w:r>
          </w:p>
        </w:tc>
      </w:tr>
      <w:tr>
        <w:tc>
          <w:tcPr/>
          <w:p>
            <w:pPr>
              <w:pStyle w:val="Compact"/>
              <w:jc w:val="right"/>
            </w:pPr>
            <w:r>
              <w:t xml:space="preserve">2261</w:t>
            </w:r>
          </w:p>
        </w:tc>
        <w:tc>
          <w:tcPr/>
          <w:p>
            <w:pPr>
              <w:pStyle w:val="Compact"/>
              <w:jc w:val="left"/>
            </w:pPr>
            <w:r>
              <w:t xml:space="preserve">10y, 9/, 3c, 1s, 3i</w:t>
            </w:r>
          </w:p>
        </w:tc>
        <w:tc>
          <w:tcPr/>
          <w:p>
            <w:pPr>
              <w:pStyle w:val="Compact"/>
              <w:jc w:val="right"/>
            </w:pPr>
            <w:r>
              <w:t xml:space="preserve">26</w:t>
            </w:r>
          </w:p>
        </w:tc>
        <w:tc>
          <w:tcPr/>
          <w:p>
            <w:pPr>
              <w:pStyle w:val="Compact"/>
              <w:jc w:val="right"/>
            </w:pPr>
            <w:r>
              <w:t xml:space="preserve">19</w:t>
            </w:r>
          </w:p>
        </w:tc>
        <w:tc>
          <w:tcPr/>
          <w:p>
            <w:pPr>
              <w:pStyle w:val="Compact"/>
              <w:jc w:val="center"/>
            </w:pPr>
            <w:r>
              <w:t xml:space="preserve">XIV</w:t>
            </w:r>
          </w:p>
        </w:tc>
        <w:tc>
          <w:tcPr/>
          <w:p>
            <w:pPr>
              <w:pStyle w:val="Compact"/>
              <w:jc w:val="left"/>
            </w:pPr>
            <w:r>
              <w:t xml:space="preserve">Kalawrita</w:t>
            </w:r>
          </w:p>
        </w:tc>
        <w:tc>
          <w:tcPr/>
          <w:p>
            <w:pPr>
              <w:pStyle w:val="Compact"/>
              <w:jc w:val="center"/>
            </w:pPr>
            <w:r>
              <w:t xml:space="preserve">eap</w:t>
            </w:r>
          </w:p>
        </w:tc>
      </w:tr>
      <w:tr>
        <w:tc>
          <w:tcPr/>
          <w:p>
            <w:pPr>
              <w:pStyle w:val="Compact"/>
              <w:jc w:val="right"/>
            </w:pPr>
            <w:r>
              <w:t xml:space="preserve">2323</w:t>
            </w:r>
          </w:p>
        </w:tc>
        <w:tc>
          <w:tcPr/>
          <w:p>
            <w:pPr>
              <w:pStyle w:val="Compact"/>
              <w:jc w:val="left"/>
            </w:pPr>
            <w:r>
              <w:t xml:space="preserve">10y, 2/, 4c, 4s</w:t>
            </w:r>
          </w:p>
        </w:tc>
        <w:tc>
          <w:tcPr/>
          <w:p>
            <w:pPr>
              <w:pStyle w:val="Compact"/>
              <w:jc w:val="right"/>
            </w:pPr>
            <w:r>
              <w:t xml:space="preserve">20</w:t>
            </w:r>
          </w:p>
        </w:tc>
        <w:tc>
          <w:tcPr/>
          <w:p>
            <w:pPr>
              <w:pStyle w:val="Compact"/>
              <w:jc w:val="right"/>
            </w:pPr>
            <w:r>
              <w:t xml:space="preserve">12</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er</w:t>
            </w:r>
          </w:p>
        </w:tc>
      </w:tr>
      <w:tr>
        <w:tc>
          <w:tcPr/>
          <w:p>
            <w:pPr>
              <w:pStyle w:val="Compact"/>
              <w:jc w:val="right"/>
            </w:pPr>
            <w:r>
              <w:t xml:space="preserve">2352</w:t>
            </w:r>
          </w:p>
        </w:tc>
        <w:tc>
          <w:tcPr/>
          <w:p>
            <w:pPr>
              <w:pStyle w:val="Compact"/>
              <w:jc w:val="left"/>
            </w:pPr>
            <w:r>
              <w:t xml:space="preserve">2y, 2/, 4c, 4i</w:t>
            </w:r>
          </w:p>
        </w:tc>
        <w:tc>
          <w:tcPr/>
          <w:p>
            <w:pPr>
              <w:pStyle w:val="Compact"/>
              <w:jc w:val="right"/>
            </w:pPr>
            <w:r>
              <w:t xml:space="preserve">12</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Meteory</w:t>
            </w:r>
          </w:p>
        </w:tc>
        <w:tc>
          <w:tcPr/>
          <w:p>
            <w:pPr>
              <w:pStyle w:val="Compact"/>
              <w:jc w:val="center"/>
            </w:pPr>
            <w:r>
              <w:t xml:space="preserve">eapr</w:t>
            </w:r>
          </w:p>
        </w:tc>
      </w:tr>
      <w:tr>
        <w:tc>
          <w:tcPr/>
          <w:p>
            <w:pPr>
              <w:pStyle w:val="Compact"/>
              <w:jc w:val="right"/>
            </w:pPr>
            <w:r>
              <w:t xml:space="preserve">2382</w:t>
            </w:r>
          </w:p>
        </w:tc>
        <w:tc>
          <w:tcPr/>
          <w:p>
            <w:pPr>
              <w:pStyle w:val="Compact"/>
              <w:jc w:val="left"/>
            </w:pPr>
            <w:r>
              <w:t xml:space="preserve">1/</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2466</w:t>
            </w:r>
          </w:p>
        </w:tc>
        <w:tc>
          <w:tcPr/>
          <w:p>
            <w:pPr>
              <w:pStyle w:val="Compact"/>
              <w:jc w:val="left"/>
            </w:pPr>
            <w:r>
              <w:t xml:space="preserve">3y, 1/, 3c, 12s, 4i</w:t>
            </w:r>
          </w:p>
        </w:tc>
        <w:tc>
          <w:tcPr/>
          <w:p>
            <w:pPr>
              <w:pStyle w:val="Compact"/>
              <w:jc w:val="right"/>
            </w:pPr>
            <w:r>
              <w:t xml:space="preserve">23</w:t>
            </w:r>
          </w:p>
        </w:tc>
        <w:tc>
          <w:tcPr/>
          <w:p>
            <w:pPr>
              <w:pStyle w:val="Compact"/>
              <w:jc w:val="right"/>
            </w:pPr>
            <w:r>
              <w:t xml:space="preserve">4</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eap</w:t>
            </w:r>
          </w:p>
        </w:tc>
      </w:tr>
      <w:tr>
        <w:tc>
          <w:tcPr/>
          <w:p>
            <w:pPr>
              <w:pStyle w:val="Compact"/>
              <w:jc w:val="right"/>
            </w:pPr>
            <w:r>
              <w:t xml:space="preserve">2503</w:t>
            </w:r>
          </w:p>
        </w:tc>
        <w:tc>
          <w:tcPr/>
          <w:p>
            <w:pPr>
              <w:pStyle w:val="Compact"/>
              <w:jc w:val="left"/>
            </w:pPr>
            <w:r>
              <w:t xml:space="preserve">3y, 1/, 5s, 1i</w:t>
            </w:r>
          </w:p>
        </w:tc>
        <w:tc>
          <w:tcPr/>
          <w:p>
            <w:pPr>
              <w:pStyle w:val="Compact"/>
              <w:jc w:val="right"/>
            </w:pPr>
            <w:r>
              <w:t xml:space="preserve">10</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Synaj</w:t>
            </w:r>
          </w:p>
        </w:tc>
        <w:tc>
          <w:tcPr/>
          <w:p>
            <w:pPr>
              <w:pStyle w:val="Compact"/>
              <w:jc w:val="center"/>
            </w:pPr>
            <w:r>
              <w:t xml:space="preserve">e</w:t>
            </w:r>
          </w:p>
        </w:tc>
      </w:tr>
      <w:tr>
        <w:tc>
          <w:tcPr/>
          <w:p>
            <w:pPr>
              <w:pStyle w:val="Compact"/>
              <w:jc w:val="right"/>
            </w:pPr>
            <w:r>
              <w:t xml:space="preserve">2554</w:t>
            </w:r>
          </w:p>
        </w:tc>
        <w:tc>
          <w:tcPr/>
          <w:p>
            <w:pPr>
              <w:pStyle w:val="Compact"/>
              <w:jc w:val="left"/>
            </w:pPr>
            <w:r>
              <w:t xml:space="preserve">1/, 1c</w:t>
            </w:r>
          </w:p>
        </w:tc>
        <w:tc>
          <w:tcPr/>
          <w:p>
            <w:pPr>
              <w:pStyle w:val="Compact"/>
              <w:jc w:val="right"/>
            </w:pPr>
            <w:r>
              <w:t xml:space="preserve">2</w:t>
            </w:r>
          </w:p>
        </w:tc>
        <w:tc>
          <w:tcPr/>
          <w:p>
            <w:pPr>
              <w:pStyle w:val="Compact"/>
              <w:jc w:val="right"/>
            </w:pPr>
            <w:r>
              <w:t xml:space="preserve">1</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eapr</w:t>
            </w:r>
          </w:p>
        </w:tc>
      </w:tr>
      <w:tr>
        <w:tc>
          <w:tcPr/>
          <w:p>
            <w:pPr>
              <w:pStyle w:val="Compact"/>
              <w:jc w:val="right"/>
            </w:pPr>
            <w:r>
              <w:t xml:space="preserve">2765</w:t>
            </w:r>
          </w:p>
        </w:tc>
        <w:tc>
          <w:tcPr/>
          <w:p>
            <w:pPr>
              <w:pStyle w:val="Compact"/>
              <w:jc w:val="left"/>
            </w:pPr>
            <w:r>
              <w:t xml:space="preserve">4y, 1/, 1i</w:t>
            </w:r>
          </w:p>
        </w:tc>
        <w:tc>
          <w:tcPr/>
          <w:p>
            <w:pPr>
              <w:pStyle w:val="Compact"/>
              <w:jc w:val="right"/>
            </w:pPr>
            <w:r>
              <w:t xml:space="preserve">6</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Korynt? (Oksford)</w:t>
            </w:r>
          </w:p>
        </w:tc>
        <w:tc>
          <w:tcPr/>
          <w:p>
            <w:pPr>
              <w:pStyle w:val="Compact"/>
              <w:jc w:val="center"/>
            </w:pPr>
            <w:r>
              <w:t xml:space="preserve">e</w:t>
            </w:r>
          </w:p>
        </w:tc>
      </w:tr>
      <w:tr>
        <w:tc>
          <w:tcPr/>
          <w:p>
            <w:pPr>
              <w:pStyle w:val="Compact"/>
              <w:jc w:val="right"/>
            </w:pPr>
            <w:r>
              <w:t xml:space="preserve">2875</w:t>
            </w:r>
          </w:p>
        </w:tc>
        <w:tc>
          <w:tcPr/>
          <w:p>
            <w:pPr>
              <w:pStyle w:val="Compact"/>
              <w:jc w:val="left"/>
            </w:pPr>
            <w:r>
              <w:t xml:space="preserve">1x, 3y, 2/, 1c, 5s, 1i</w:t>
            </w:r>
          </w:p>
        </w:tc>
        <w:tc>
          <w:tcPr/>
          <w:p>
            <w:pPr>
              <w:pStyle w:val="Compact"/>
              <w:jc w:val="right"/>
            </w:pPr>
            <w:r>
              <w:t xml:space="preserve">13</w:t>
            </w:r>
          </w:p>
        </w:tc>
        <w:tc>
          <w:tcPr/>
          <w:p>
            <w:pPr>
              <w:pStyle w:val="Compact"/>
              <w:jc w:val="right"/>
            </w:pPr>
            <w:r>
              <w:t xml:space="preserve">6</w:t>
            </w:r>
          </w:p>
        </w:tc>
        <w:tc>
          <w:tcPr/>
          <w:p>
            <w:pPr>
              <w:pStyle w:val="Compact"/>
              <w:jc w:val="center"/>
            </w:pPr>
            <w:r>
              <w:t xml:space="preserve">1314</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2876</w:t>
            </w:r>
          </w:p>
        </w:tc>
        <w:tc>
          <w:tcPr/>
          <w:p>
            <w:pPr>
              <w:pStyle w:val="Compact"/>
              <w:jc w:val="left"/>
            </w:pPr>
            <w:r>
              <w:t xml:space="preserve">2x, 2y, 3/, 13s</w:t>
            </w:r>
          </w:p>
        </w:tc>
        <w:tc>
          <w:tcPr/>
          <w:p>
            <w:pPr>
              <w:pStyle w:val="Compact"/>
              <w:jc w:val="right"/>
            </w:pPr>
            <w:r>
              <w:t xml:space="preserve">20</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I.2110</w:t>
            </w:r>
          </w:p>
        </w:tc>
        <w:tc>
          <w:tcPr/>
          <w:p>
            <w:pPr>
              <w:pStyle w:val="Compact"/>
              <w:jc w:val="left"/>
            </w:pPr>
            <w:r>
              <w:t xml:space="preserve">2y, 2/, 2c, 1s, 1i</w:t>
            </w:r>
          </w:p>
        </w:tc>
        <w:tc>
          <w:tcPr/>
          <w:p>
            <w:pPr>
              <w:pStyle w:val="Compact"/>
              <w:jc w:val="right"/>
            </w:pPr>
            <w:r>
              <w:t xml:space="preserve">8</w:t>
            </w:r>
          </w:p>
        </w:tc>
        <w:tc>
          <w:tcPr/>
          <w:p>
            <w:pPr>
              <w:pStyle w:val="Compact"/>
              <w:jc w:val="right"/>
            </w:pPr>
            <w:r>
              <w:t xml:space="preserve">4</w:t>
            </w:r>
          </w:p>
        </w:tc>
        <w:tc>
          <w:tcPr/>
          <w:p>
            <w:pPr>
              <w:pStyle w:val="Compact"/>
              <w:jc w:val="center"/>
            </w:pPr>
            <w:r>
              <w:t xml:space="preserve">1322</w:t>
            </w:r>
          </w:p>
        </w:tc>
        <w:tc>
          <w:tcPr/>
          <w:p>
            <w:pPr>
              <w:pStyle w:val="Compact"/>
              <w:jc w:val="left"/>
            </w:pPr>
            <w:r>
              <w:t xml:space="preserve">Iviron</w:t>
            </w:r>
          </w:p>
        </w:tc>
        <w:tc>
          <w:tcPr/>
          <w:p>
            <w:pPr>
              <w:pStyle w:val="Compact"/>
              <w:jc w:val="center"/>
            </w:pPr>
            <w:r>
              <w:t xml:space="preserve">e</w:t>
            </w:r>
          </w:p>
        </w:tc>
      </w:tr>
      <w:tr>
        <w:tc>
          <w:tcPr/>
          <w:p>
            <w:pPr>
              <w:pStyle w:val="Compact"/>
              <w:jc w:val="right"/>
            </w:pPr>
            <w:r>
              <w:t xml:space="preserve">L.65</w:t>
            </w:r>
          </w:p>
        </w:tc>
        <w:tc>
          <w:tcPr/>
          <w:p>
            <w:pPr>
              <w:pStyle w:val="Compact"/>
              <w:jc w:val="left"/>
            </w:pPr>
            <w:r>
              <w:t xml:space="preserve">2x, 3y, 2/, 2c, 9s, 2i</w:t>
            </w:r>
          </w:p>
        </w:tc>
        <w:tc>
          <w:tcPr/>
          <w:p>
            <w:pPr>
              <w:pStyle w:val="Compact"/>
              <w:jc w:val="right"/>
            </w:pPr>
            <w:r>
              <w:t xml:space="preserve">20</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Leukosia</w:t>
            </w:r>
          </w:p>
        </w:tc>
        <w:tc>
          <w:tcPr/>
          <w:p>
            <w:pPr>
              <w:pStyle w:val="Compact"/>
              <w:jc w:val="center"/>
            </w:pPr>
            <w:r>
              <w:t xml:space="preserve">e</w:t>
            </w:r>
          </w:p>
        </w:tc>
      </w:tr>
    </w:tbl>
    <w:p>
      <w:pPr>
        <w:pStyle w:val="BodyText"/>
      </w:pPr>
      <w:r>
        <w:t xml:space="preserve">Jak wybrałem manuskrypty do skolacjonowania? Posłużyłem się tomami</w:t>
      </w:r>
      <w:r>
        <w:t xml:space="preserve"> </w:t>
      </w:r>
      <w:r>
        <w:rPr>
          <w:iCs/>
          <w:i/>
        </w:rPr>
        <w:t xml:space="preserve">TuT</w:t>
      </w:r>
      <w:r>
        <w:t xml:space="preserve"> </w:t>
      </w:r>
      <w:r>
        <w:t xml:space="preserve">dla Ewangelii Marka.</w:t>
      </w:r>
      <w:r>
        <w:t xml:space="preserve"> </w:t>
      </w:r>
      <w:r>
        <w:rPr>
          <w:iCs/>
          <w:i/>
        </w:rPr>
        <w:t xml:space="preserve">INTF</w:t>
      </w:r>
      <w:r>
        <w:t xml:space="preserve"> </w:t>
      </w:r>
      <w:r>
        <w:t xml:space="preserve">skolacjonował około 1700 manuskryptów dla 196 zestawów wariantów (nie wszystkie manuskrypty zachowały się dla wszystkich zestawów). Wyróżniający profil</w:t>
      </w:r>
      <w:r>
        <w:t xml:space="preserve"> </w:t>
      </w:r>
      <w:r>
        <w:rPr>
          <w:bCs/>
          <w:b/>
        </w:rPr>
        <w:t xml:space="preserve">f</w:t>
      </w:r>
      <w:r>
        <w:rPr>
          <w:vertAlign w:val="superscript"/>
          <w:bCs/>
          <w:b/>
        </w:rPr>
        <w:t xml:space="preserve">35</w:t>
      </w:r>
      <w:r>
        <w:t xml:space="preserve"> </w:t>
      </w:r>
      <w:r>
        <w:t xml:space="preserve">tworzą zaledwie cztery spośród tych 196 zestawów, lecz wystarcza to do zidentyfikowania każdego skolacjonowanego przez nich manuskryptu</w:t>
      </w:r>
      <w:r>
        <w:t xml:space="preserve"> </w:t>
      </w:r>
      <w:r>
        <w:rPr>
          <w:bCs/>
          <w:b/>
        </w:rPr>
        <w:t xml:space="preserve">f</w:t>
      </w:r>
      <w:r>
        <w:rPr>
          <w:vertAlign w:val="superscript"/>
          <w:bCs/>
          <w:b/>
        </w:rPr>
        <w:t xml:space="preserve">35</w:t>
      </w:r>
      <w:r>
        <w:t xml:space="preserve">. Z listy manuskryptów przypuszczalnie należących do</w:t>
      </w:r>
      <w:r>
        <w:t xml:space="preserve"> </w:t>
      </w:r>
      <w:r>
        <w:rPr>
          <w:bCs/>
          <w:b/>
        </w:rPr>
        <w:t xml:space="preserve">f</w:t>
      </w:r>
      <w:r>
        <w:rPr>
          <w:vertAlign w:val="superscript"/>
          <w:bCs/>
          <w:b/>
        </w:rPr>
        <w:t xml:space="preserve">35</w:t>
      </w:r>
      <w:r>
        <w:t xml:space="preserve"> </w:t>
      </w:r>
      <w:r>
        <w:t xml:space="preserve">najpierw wybrałem te, które zapewniały najszersze rozmieszczenie geograficzne. Następnie skoncentrowałem się na manuskryptach o „doskonałym” profilu. Oczywiście ograniczała mnie dostępność manuskryptów w formacie PDF. Dzięki mojemu profilowi rodziny dla całego Nowego Testamentu mogę szybko zidentyfikować każdy manuskrypt</w:t>
      </w:r>
      <w:r>
        <w:t xml:space="preserve"> </w:t>
      </w:r>
      <w:r>
        <w:rPr>
          <w:bCs/>
          <w:b/>
        </w:rPr>
        <w:t xml:space="preserve">f</w:t>
      </w:r>
      <w:r>
        <w:rPr>
          <w:vertAlign w:val="superscript"/>
          <w:bCs/>
          <w:b/>
        </w:rPr>
        <w:t xml:space="preserve">35</w:t>
      </w:r>
      <w:r>
        <w:t xml:space="preserve">, który nie został jeszcze zbadany. W taki sposób na liście znalazły się Iviron 2110 i Leukosia 65 (w chwili pisania tych słów</w:t>
      </w:r>
      <w:r>
        <w:t xml:space="preserve"> </w:t>
      </w:r>
      <w:r>
        <w:rPr>
          <w:iCs/>
          <w:i/>
        </w:rPr>
        <w:t xml:space="preserve">INTF</w:t>
      </w:r>
      <w:r>
        <w:t xml:space="preserve"> </w:t>
      </w:r>
      <w:r>
        <w:t xml:space="preserve">nie nadał im jeszcze numerów).</w:t>
      </w:r>
    </w:p>
    <w:p>
      <w:pPr>
        <w:pStyle w:val="BodyText"/>
      </w:pPr>
      <w:r>
        <w:t xml:space="preserve">Patrząc na tabelę, jedenaście manuskryptów ma średnio tylko jeden wariant na trzy lub więcej rozdziałów — wyjątkowe! (Manuskrypt 586 jest w obecnym stanie niemal doskonały). Kolejnych dziewięć manuskryptów ma tylko jeden wariant na dwa rozdziały — znakomite. Praktycznie 40% jest znakomitych lub lepszych. Kolejnych siedemnaście ma tylko jeden wariant na rozdział — dobre. Kolejnych dwanaście ma dwa warianty na rozdział — dostateczne. Kolejne trzy mają trzy warianty na rozdział — słabe. Jeden manuskrypt ma pięć wariantów na rozdział — marginalny. Zauważ, że zdecydowanie najgorszy spośród pięćdziesięciu trzech przedstawicieli</w:t>
      </w:r>
      <w:r>
        <w:t xml:space="preserve"> </w:t>
      </w:r>
      <w:r>
        <w:rPr>
          <w:bCs/>
          <w:b/>
        </w:rPr>
        <w:t xml:space="preserve">f</w:t>
      </w:r>
      <w:r>
        <w:rPr>
          <w:vertAlign w:val="superscript"/>
          <w:bCs/>
          <w:b/>
        </w:rPr>
        <w:t xml:space="preserve">35</w:t>
      </w:r>
      <w:r>
        <w:t xml:space="preserve"> </w:t>
      </w:r>
      <w:r>
        <w:t xml:space="preserve">(1199, e, XII, Synaj) jest cztery razy „lepszy” od najlepszego aleksandryjskiego przedstawiciela Colwella, Kodeksu L. Zatrzymaj się na chwilę i pomyśl o konsekwencjach. Jak jakakolwiek rozsądna osoba może bronić twierdzenia, że aleksandryjski typ tekstu reprezentuje najlepszą linię przekazu?</w:t>
      </w:r>
      <w:r>
        <w:rPr>
          <w:rStyle w:val="FootnoteReference"/>
        </w:rPr>
        <w:footnoteReference w:id="275"/>
      </w:r>
    </w:p>
    <w:bookmarkEnd w:id="276"/>
    <w:bookmarkStart w:id="278" w:name="przypadek-reprezentatywny"/>
    <w:p>
      <w:pPr>
        <w:pStyle w:val="Heading4"/>
      </w:pPr>
      <w:r>
        <w:rPr>
          <w:iCs/>
          <w:i/>
        </w:rPr>
        <w:t xml:space="preserve">Przypadek reprezentatywny</w:t>
      </w:r>
    </w:p>
    <w:p>
      <w:pPr>
        <w:pStyle w:val="FirstParagraph"/>
      </w:pPr>
      <w:r>
        <w:t xml:space="preserve">W akapicie otwierającym stwierdziłem, że warianty można oceniać. Wezmę teraz jednego z zaledwie „dostatecznych” przedstawicieli</w:t>
      </w:r>
      <w:r>
        <w:t xml:space="preserve"> </w:t>
      </w:r>
      <w:r>
        <w:rPr>
          <w:bCs/>
          <w:b/>
        </w:rPr>
        <w:t xml:space="preserve">f</w:t>
      </w:r>
      <w:r>
        <w:rPr>
          <w:vertAlign w:val="superscript"/>
          <w:bCs/>
          <w:b/>
        </w:rPr>
        <w:t xml:space="preserve">35</w:t>
      </w:r>
      <w:r>
        <w:t xml:space="preserve"> </w:t>
      </w:r>
      <w:r>
        <w:t xml:space="preserve">— manuskrypt 1384, eapr, XI, Andros — wymienię jego warianty i je ocenię.</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Miejsce</w:t>
            </w:r>
          </w:p>
        </w:tc>
        <w:tc>
          <w:tcPr/>
          <w:p>
            <w:pPr>
              <w:pStyle w:val="Compact"/>
              <w:jc w:val="left"/>
            </w:pPr>
            <w:r>
              <w:t xml:space="preserve">Odczyt i ocena</w:t>
            </w:r>
          </w:p>
        </w:tc>
      </w:tr>
      <w:tr>
        <w:tc>
          <w:tcPr/>
          <w:p>
            <w:pPr>
              <w:pStyle w:val="Compact"/>
              <w:jc w:val="center"/>
            </w:pPr>
            <w:r>
              <w:t xml:space="preserve">1,17</w:t>
            </w:r>
          </w:p>
        </w:tc>
        <w:tc>
          <w:tcPr/>
          <w:p>
            <w:pPr>
              <w:pStyle w:val="Compact"/>
              <w:jc w:val="left"/>
            </w:pPr>
            <w:r>
              <w:t xml:space="preserve">γενεσθαι || --- 1384 (czasownik i tak trzeba domyślnie uzupełnić, znaczenie nie zostaje zmienione)</w:t>
            </w:r>
          </w:p>
        </w:tc>
      </w:tr>
      <w:tr>
        <w:tc>
          <w:tcPr/>
          <w:p>
            <w:pPr>
              <w:pStyle w:val="Compact"/>
              <w:jc w:val="center"/>
            </w:pPr>
            <w:r>
              <w:t xml:space="preserve">1,44</w:t>
            </w:r>
          </w:p>
        </w:tc>
        <w:tc>
          <w:tcPr/>
          <w:p>
            <w:pPr>
              <w:pStyle w:val="Compact"/>
              <w:jc w:val="left"/>
            </w:pPr>
            <w:r>
              <w:t xml:space="preserve">προσενεγκαι || προσενεγκε (75%) 1384 + pięć (form tych używano wymiennie, są więc praktycznie alternatywnymi pisowniami tego samego słowa)</w:t>
            </w:r>
          </w:p>
        </w:tc>
      </w:tr>
      <w:tr>
        <w:tc>
          <w:tcPr/>
          <w:p>
            <w:pPr>
              <w:pStyle w:val="Compact"/>
              <w:jc w:val="center"/>
            </w:pPr>
            <w:r>
              <w:t xml:space="preserve">2,17</w:t>
            </w:r>
          </w:p>
        </w:tc>
        <w:tc>
          <w:tcPr/>
          <w:p>
            <w:pPr>
              <w:pStyle w:val="Compact"/>
              <w:jc w:val="left"/>
            </w:pPr>
            <w:r>
              <w:t xml:space="preserve">εχοντες || 1 και 1384 (jedynie uzupełnił domyślny spójnik, podstawowe znaczenie się nie zmienia)</w:t>
            </w:r>
          </w:p>
        </w:tc>
      </w:tr>
      <w:tr>
        <w:tc>
          <w:tcPr/>
          <w:p>
            <w:pPr>
              <w:pStyle w:val="Compact"/>
              <w:jc w:val="center"/>
            </w:pPr>
            <w:r>
              <w:t xml:space="preserve">3,12</w:t>
            </w:r>
          </w:p>
        </w:tc>
        <w:tc>
          <w:tcPr/>
          <w:p>
            <w:pPr>
              <w:pStyle w:val="Compact"/>
              <w:jc w:val="left"/>
            </w:pPr>
            <w:r>
              <w:t xml:space="preserve">πολλα || --- 1384 (nie zmienia to podstawowego znaczenia)</w:t>
            </w:r>
          </w:p>
        </w:tc>
      </w:tr>
      <w:tr>
        <w:tc>
          <w:tcPr/>
          <w:p>
            <w:pPr>
              <w:pStyle w:val="Compact"/>
              <w:jc w:val="center"/>
            </w:pPr>
            <w:r>
              <w:t xml:space="preserve">3,28</w:t>
            </w:r>
          </w:p>
        </w:tc>
        <w:tc>
          <w:tcPr/>
          <w:p>
            <w:pPr>
              <w:pStyle w:val="Compact"/>
              <w:jc w:val="left"/>
            </w:pPr>
            <w:r>
              <w:t xml:space="preserve">υιοις των ανθρωπων || ανθρωποις 1384 (jest to synonim, nie zmienia podstawowego znaczenia)</w:t>
            </w:r>
          </w:p>
        </w:tc>
      </w:tr>
      <w:tr>
        <w:tc>
          <w:tcPr/>
          <w:p>
            <w:pPr>
              <w:pStyle w:val="Compact"/>
              <w:jc w:val="center"/>
            </w:pPr>
            <w:r>
              <w:t xml:space="preserve">4,24</w:t>
            </w:r>
          </w:p>
        </w:tc>
        <w:tc>
          <w:tcPr/>
          <w:p>
            <w:pPr>
              <w:pStyle w:val="Compact"/>
              <w:jc w:val="left"/>
            </w:pPr>
            <w:r>
              <w:t xml:space="preserve">μετρειτε || μετρειται 1384 (itacyzm powodujący błąd pisowni)</w:t>
            </w:r>
          </w:p>
        </w:tc>
      </w:tr>
      <w:tr>
        <w:tc>
          <w:tcPr/>
          <w:p>
            <w:pPr>
              <w:pStyle w:val="Compact"/>
              <w:jc w:val="center"/>
            </w:pPr>
            <w:r>
              <w:t xml:space="preserve">5,4</w:t>
            </w:r>
          </w:p>
        </w:tc>
        <w:tc>
          <w:tcPr/>
          <w:p>
            <w:pPr>
              <w:pStyle w:val="Compact"/>
              <w:jc w:val="left"/>
            </w:pPr>
            <w:r>
              <w:t xml:space="preserve">αλυσεσιν || αλισεσιν 1384</w:t>
            </w:r>
            <w:r>
              <w:rPr>
                <w:vertAlign w:val="superscript"/>
              </w:rPr>
              <w:t xml:space="preserve">1x</w:t>
            </w:r>
            <w:r>
              <w:t xml:space="preserve"> </w:t>
            </w:r>
            <w:r>
              <w:t xml:space="preserve">(błąd pisowni, gdzie indziej napisał poprawnie)</w:t>
            </w:r>
          </w:p>
        </w:tc>
      </w:tr>
      <w:tr>
        <w:tc>
          <w:tcPr/>
          <w:p>
            <w:pPr>
              <w:pStyle w:val="Compact"/>
              <w:jc w:val="center"/>
            </w:pPr>
            <w:r>
              <w:t xml:space="preserve">5,13</w:t>
            </w:r>
          </w:p>
        </w:tc>
        <w:tc>
          <w:tcPr/>
          <w:p>
            <w:pPr>
              <w:pStyle w:val="Compact"/>
              <w:jc w:val="left"/>
            </w:pPr>
            <w:r>
              <w:t xml:space="preserve">τα ακαθαρτα || --- (1%) 1384 + jeden (łatwy przypadek homoioteleutonu i homoioarktonu)</w:t>
            </w:r>
          </w:p>
        </w:tc>
      </w:tr>
      <w:tr>
        <w:tc>
          <w:tcPr/>
          <w:p>
            <w:pPr>
              <w:pStyle w:val="Compact"/>
              <w:jc w:val="center"/>
            </w:pPr>
            <w:r>
              <w:t xml:space="preserve">5,19</w:t>
            </w:r>
          </w:p>
        </w:tc>
        <w:tc>
          <w:tcPr/>
          <w:p>
            <w:pPr>
              <w:pStyle w:val="Compact"/>
              <w:jc w:val="left"/>
            </w:pPr>
            <w:r>
              <w:t xml:space="preserve">αναγγειλον || αναγκειλον 1384 (alternatywna pisownia)</w:t>
            </w:r>
          </w:p>
        </w:tc>
      </w:tr>
      <w:tr>
        <w:tc>
          <w:tcPr/>
          <w:p>
            <w:pPr>
              <w:pStyle w:val="Compact"/>
              <w:jc w:val="center"/>
            </w:pPr>
            <w:r>
              <w:t xml:space="preserve">5,27</w:t>
            </w:r>
          </w:p>
        </w:tc>
        <w:tc>
          <w:tcPr/>
          <w:p>
            <w:pPr>
              <w:pStyle w:val="Compact"/>
              <w:jc w:val="left"/>
            </w:pPr>
            <w:r>
              <w:t xml:space="preserve">ακουσασα || ακουσα 1384 (przejście z jednego wiersza do następnego)</w:t>
            </w:r>
          </w:p>
        </w:tc>
      </w:tr>
      <w:tr>
        <w:tc>
          <w:tcPr/>
          <w:p>
            <w:pPr>
              <w:pStyle w:val="Compact"/>
              <w:jc w:val="center"/>
            </w:pPr>
            <w:r>
              <w:t xml:space="preserve">6,13</w:t>
            </w:r>
          </w:p>
        </w:tc>
        <w:tc>
          <w:tcPr/>
          <w:p>
            <w:pPr>
              <w:pStyle w:val="Compact"/>
              <w:jc w:val="left"/>
            </w:pPr>
            <w:r>
              <w:t xml:space="preserve">εξεβαλλον || εξεβαλον (10%) 1384 + trzy (imperfekt czy drugi aoryst? jedno „l” mogło zostać przypadkowo opuszczone, w każdym razie różnica znaczeniowa jest niewielka)</w:t>
            </w:r>
          </w:p>
        </w:tc>
      </w:tr>
      <w:tr>
        <w:tc>
          <w:tcPr/>
          <w:p>
            <w:pPr>
              <w:pStyle w:val="Compact"/>
              <w:jc w:val="center"/>
            </w:pPr>
            <w:r>
              <w:t xml:space="preserve">6,20</w:t>
            </w:r>
          </w:p>
        </w:tc>
        <w:tc>
          <w:tcPr/>
          <w:p>
            <w:pPr>
              <w:pStyle w:val="Compact"/>
              <w:jc w:val="left"/>
            </w:pPr>
            <w:r>
              <w:t xml:space="preserve">ακουων 1384</w:t>
            </w:r>
            <w:r>
              <w:rPr>
                <w:vertAlign w:val="superscript"/>
              </w:rPr>
              <w:t xml:space="preserve">alt</w:t>
            </w:r>
            <w:r>
              <w:t xml:space="preserve"> </w:t>
            </w:r>
            <w:r>
              <w:t xml:space="preserve">|| ακουσας (80%) 1384 + dziewięć (czas teraźniejszy czy aoryst? pierwsza ręka umieściła formę czasu teraźniejszego ponad aorystem jako alternatywę, różnica znaczeniowa jest niewielka)</w:t>
            </w:r>
          </w:p>
        </w:tc>
      </w:tr>
      <w:tr>
        <w:tc>
          <w:tcPr/>
          <w:p>
            <w:pPr>
              <w:pStyle w:val="Compact"/>
            </w:pPr>
          </w:p>
        </w:tc>
        <w:tc>
          <w:tcPr/>
          <w:p>
            <w:pPr>
              <w:pStyle w:val="Compact"/>
              <w:jc w:val="left"/>
            </w:pPr>
            <w:r>
              <w:t xml:space="preserve">(w 1384 brakuje 6,20-45)</w:t>
            </w:r>
          </w:p>
        </w:tc>
      </w:tr>
      <w:tr>
        <w:tc>
          <w:tcPr/>
          <w:p>
            <w:pPr>
              <w:pStyle w:val="Compact"/>
              <w:jc w:val="center"/>
            </w:pPr>
            <w:r>
              <w:t xml:space="preserve">6,53</w:t>
            </w:r>
          </w:p>
        </w:tc>
        <w:tc>
          <w:tcPr/>
          <w:p>
            <w:pPr>
              <w:pStyle w:val="Compact"/>
              <w:jc w:val="left"/>
            </w:pPr>
            <w:r>
              <w:t xml:space="preserve">γενησαρετ || γεννησαρετ (53%) 1384 + trzy (alternatywna pisownia)</w:t>
            </w:r>
          </w:p>
        </w:tc>
      </w:tr>
      <w:tr>
        <w:tc>
          <w:tcPr/>
          <w:p>
            <w:pPr>
              <w:pStyle w:val="Compact"/>
              <w:jc w:val="center"/>
            </w:pPr>
            <w:r>
              <w:t xml:space="preserve">7,4</w:t>
            </w:r>
          </w:p>
        </w:tc>
        <w:tc>
          <w:tcPr/>
          <w:p>
            <w:pPr>
              <w:pStyle w:val="Compact"/>
              <w:jc w:val="left"/>
            </w:pPr>
            <w:r>
              <w:t xml:space="preserve">χαλκειων || χαλκιων (70%) 1384 + jeden (itacyzm lub alternatywna pisownia)</w:t>
            </w:r>
          </w:p>
        </w:tc>
      </w:tr>
      <w:tr>
        <w:tc>
          <w:tcPr/>
          <w:p>
            <w:pPr>
              <w:pStyle w:val="Compact"/>
              <w:jc w:val="center"/>
            </w:pPr>
            <w:r>
              <w:t xml:space="preserve">7,26</w:t>
            </w:r>
          </w:p>
        </w:tc>
        <w:tc>
          <w:tcPr/>
          <w:p>
            <w:pPr>
              <w:pStyle w:val="Compact"/>
              <w:jc w:val="left"/>
            </w:pPr>
            <w:r>
              <w:t xml:space="preserve">εκβαλη || εκβαλλη (30%) 1384 + dwa (drugi aoryst czy czas teraźniejszy? w kontekście różnica jest niewielka)</w:t>
            </w:r>
          </w:p>
        </w:tc>
      </w:tr>
      <w:tr>
        <w:tc>
          <w:tcPr/>
          <w:p>
            <w:pPr>
              <w:pStyle w:val="Compact"/>
              <w:jc w:val="center"/>
            </w:pPr>
            <w:r>
              <w:t xml:space="preserve">8,7</w:t>
            </w:r>
          </w:p>
        </w:tc>
        <w:tc>
          <w:tcPr/>
          <w:p>
            <w:pPr>
              <w:pStyle w:val="Compact"/>
              <w:jc w:val="left"/>
            </w:pPr>
            <w:r>
              <w:t xml:space="preserve">παραθειναι || παραθηναι (15%) 1384 + jeden (itacyzm powodujący błąd pisowni)</w:t>
            </w:r>
          </w:p>
        </w:tc>
      </w:tr>
      <w:tr>
        <w:tc>
          <w:tcPr/>
          <w:p>
            <w:pPr>
              <w:pStyle w:val="Compact"/>
              <w:jc w:val="center"/>
            </w:pPr>
            <w:r>
              <w:t xml:space="preserve">8,35</w:t>
            </w:r>
          </w:p>
        </w:tc>
        <w:tc>
          <w:tcPr/>
          <w:p>
            <w:pPr>
              <w:pStyle w:val="Compact"/>
              <w:jc w:val="left"/>
            </w:pPr>
            <w:r>
              <w:t xml:space="preserve">απολεση || απολεσει (5%) 1384 (aoryst w trybie łączącym czy czas przyszły w trybie oznajmującym? w kontekście różnica jest niewielka)</w:t>
            </w:r>
          </w:p>
        </w:tc>
      </w:tr>
      <w:tr>
        <w:tc>
          <w:tcPr/>
          <w:p>
            <w:pPr>
              <w:pStyle w:val="Compact"/>
              <w:jc w:val="center"/>
            </w:pPr>
            <w:r>
              <w:t xml:space="preserve">8,38</w:t>
            </w:r>
          </w:p>
        </w:tc>
        <w:tc>
          <w:tcPr/>
          <w:p>
            <w:pPr>
              <w:pStyle w:val="Compact"/>
              <w:jc w:val="left"/>
            </w:pPr>
            <w:r>
              <w:t xml:space="preserve">μοιχαλιδι || μοιχαλιδη 1384 (itacyzm powodujący błąd pisowni)</w:t>
            </w:r>
          </w:p>
        </w:tc>
      </w:tr>
      <w:tr>
        <w:tc>
          <w:tcPr/>
          <w:p>
            <w:pPr>
              <w:pStyle w:val="Compact"/>
              <w:jc w:val="center"/>
            </w:pPr>
            <w:r>
              <w:t xml:space="preserve">9,19</w:t>
            </w:r>
          </w:p>
        </w:tc>
        <w:tc>
          <w:tcPr/>
          <w:p>
            <w:pPr>
              <w:pStyle w:val="Compact"/>
              <w:jc w:val="left"/>
            </w:pPr>
            <w:r>
              <w:t xml:space="preserve">φερετε || 1 μοι 1384 (niepotrzebne powtórzenie zaimka, które nie zmienia znaczenia)</w:t>
            </w:r>
          </w:p>
        </w:tc>
      </w:tr>
      <w:tr>
        <w:tc>
          <w:tcPr/>
          <w:p>
            <w:pPr>
              <w:pStyle w:val="Compact"/>
              <w:jc w:val="center"/>
            </w:pPr>
            <w:r>
              <w:t xml:space="preserve">9,20</w:t>
            </w:r>
          </w:p>
        </w:tc>
        <w:tc>
          <w:tcPr/>
          <w:p>
            <w:pPr>
              <w:pStyle w:val="Compact"/>
              <w:jc w:val="left"/>
            </w:pPr>
            <w:r>
              <w:t xml:space="preserve">ιδον || ιδων (70%) 1384 + osiem (podmiotem czasownika jest demon czy chłopiec? w kontekście różnica jest niewielka)</w:t>
            </w:r>
          </w:p>
        </w:tc>
      </w:tr>
      <w:tr>
        <w:tc>
          <w:tcPr/>
          <w:p>
            <w:pPr>
              <w:pStyle w:val="Compact"/>
              <w:jc w:val="center"/>
            </w:pPr>
            <w:r>
              <w:t xml:space="preserve">9,40</w:t>
            </w:r>
          </w:p>
        </w:tc>
        <w:tc>
          <w:tcPr/>
          <w:p>
            <w:pPr>
              <w:pStyle w:val="Compact"/>
              <w:jc w:val="left"/>
            </w:pPr>
            <w:r>
              <w:t xml:space="preserve">υμων || ημων (12%) 1384 + trzy (wariant jest gorszy, lecz w kontekście różnica jest niewielka)</w:t>
            </w:r>
          </w:p>
        </w:tc>
      </w:tr>
      <w:tr>
        <w:tc>
          <w:tcPr/>
          <w:p>
            <w:pPr>
              <w:pStyle w:val="Compact"/>
            </w:pPr>
          </w:p>
        </w:tc>
        <w:tc>
          <w:tcPr/>
          <w:p>
            <w:pPr>
              <w:pStyle w:val="Compact"/>
              <w:jc w:val="left"/>
            </w:pPr>
            <w:r>
              <w:t xml:space="preserve">(w 1384 brakuje 10,23-46 oraz 12,16-41)</w:t>
            </w:r>
          </w:p>
        </w:tc>
      </w:tr>
      <w:tr>
        <w:tc>
          <w:tcPr/>
          <w:p>
            <w:pPr>
              <w:pStyle w:val="Compact"/>
              <w:jc w:val="center"/>
            </w:pPr>
            <w:r>
              <w:t xml:space="preserve">12,43</w:t>
            </w:r>
          </w:p>
        </w:tc>
        <w:tc>
          <w:tcPr/>
          <w:p>
            <w:pPr>
              <w:pStyle w:val="Compact"/>
              <w:jc w:val="left"/>
            </w:pPr>
            <w:r>
              <w:t xml:space="preserve">βαλλοντων || βαλοντων (39%) 1384 + sześć (czas teraźniejszy czy drugi aoryst? w kontekście różnica jest niewielka)</w:t>
            </w:r>
          </w:p>
        </w:tc>
      </w:tr>
      <w:tr>
        <w:tc>
          <w:tcPr/>
          <w:p>
            <w:pPr>
              <w:pStyle w:val="Compact"/>
              <w:jc w:val="center"/>
            </w:pPr>
            <w:r>
              <w:t xml:space="preserve">13,28</w:t>
            </w:r>
          </w:p>
        </w:tc>
        <w:tc>
          <w:tcPr/>
          <w:p>
            <w:pPr>
              <w:pStyle w:val="Compact"/>
              <w:jc w:val="left"/>
            </w:pPr>
            <w:r>
              <w:t xml:space="preserve">γινωσκεται || γινωσκετε (75%) 1384</w:t>
            </w:r>
            <w:r>
              <w:rPr>
                <w:vertAlign w:val="superscript"/>
              </w:rPr>
              <w:t xml:space="preserve">alt</w:t>
            </w:r>
            <w:r>
              <w:t xml:space="preserve"> </w:t>
            </w:r>
            <w:r>
              <w:t xml:space="preserve">+ dwa (zobacz 1,44, tylko tutaj jest to wariant alternatywny)</w:t>
            </w:r>
          </w:p>
        </w:tc>
      </w:tr>
      <w:tr>
        <w:tc>
          <w:tcPr/>
          <w:p>
            <w:pPr>
              <w:pStyle w:val="Compact"/>
              <w:jc w:val="center"/>
            </w:pPr>
            <w:r>
              <w:t xml:space="preserve">14,36</w:t>
            </w:r>
          </w:p>
        </w:tc>
        <w:tc>
          <w:tcPr/>
          <w:p>
            <w:pPr>
              <w:pStyle w:val="Compact"/>
              <w:jc w:val="left"/>
            </w:pPr>
            <w:r>
              <w:t xml:space="preserve">παρενεγκαι || παρενεγκε (70%) 1384 + trzy (zobacz 1,44)</w:t>
            </w:r>
          </w:p>
        </w:tc>
      </w:tr>
      <w:tr>
        <w:tc>
          <w:tcPr/>
          <w:p>
            <w:pPr>
              <w:pStyle w:val="Compact"/>
            </w:pPr>
          </w:p>
        </w:tc>
        <w:tc>
          <w:tcPr/>
          <w:p>
            <w:pPr>
              <w:pStyle w:val="Compact"/>
              <w:jc w:val="left"/>
            </w:pPr>
            <w:r>
              <w:t xml:space="preserve">(w 1384 brakuje 15,29-16,7)</w:t>
            </w:r>
          </w:p>
        </w:tc>
      </w:tr>
      <w:tr>
        <w:tc>
          <w:tcPr/>
          <w:p>
            <w:pPr>
              <w:pStyle w:val="Compact"/>
              <w:jc w:val="center"/>
            </w:pPr>
            <w:r>
              <w:t xml:space="preserve">16,9a</w:t>
            </w:r>
          </w:p>
        </w:tc>
        <w:tc>
          <w:tcPr/>
          <w:p>
            <w:pPr>
              <w:pStyle w:val="Compact"/>
              <w:jc w:val="left"/>
            </w:pPr>
            <w:r>
              <w:t xml:space="preserve">μαγδαληνη || μαγδαλινη 1384 (itacyzm powodujący błąd pisowni)</w:t>
            </w:r>
          </w:p>
        </w:tc>
      </w:tr>
      <w:tr>
        <w:tc>
          <w:tcPr/>
          <w:p>
            <w:pPr>
              <w:pStyle w:val="Compact"/>
              <w:jc w:val="center"/>
            </w:pPr>
            <w:r>
              <w:t xml:space="preserve">16,9b</w:t>
            </w:r>
          </w:p>
        </w:tc>
        <w:tc>
          <w:tcPr/>
          <w:p>
            <w:pPr>
              <w:pStyle w:val="Compact"/>
              <w:jc w:val="left"/>
            </w:pPr>
            <w:r>
              <w:t xml:space="preserve">εκβεβληκει || εκβεβληκη 1384 (itacyzm powodujący błąd pisowni)</w:t>
            </w:r>
          </w:p>
        </w:tc>
      </w:tr>
      <w:tr>
        <w:tc>
          <w:tcPr/>
          <w:p>
            <w:pPr>
              <w:pStyle w:val="Compact"/>
              <w:jc w:val="center"/>
            </w:pPr>
            <w:r>
              <w:t xml:space="preserve">16,14</w:t>
            </w:r>
          </w:p>
        </w:tc>
        <w:tc>
          <w:tcPr/>
          <w:p>
            <w:pPr>
              <w:pStyle w:val="Compact"/>
              <w:jc w:val="left"/>
            </w:pPr>
            <w:r>
              <w:t xml:space="preserve">ωνειδισεν || ωνειδησε 1384 (itacyzm powodujący błąd pisowni)</w:t>
            </w:r>
          </w:p>
        </w:tc>
      </w:tr>
    </w:tbl>
    <w:p>
      <w:pPr>
        <w:pStyle w:val="BodyText"/>
      </w:pPr>
      <w:r>
        <w:t xml:space="preserve">Z wyjątkiem czterech przypadków wszędzie chodzi tylko o jedną literę lub sylabę i nigdzie znaczenie nie zostaje poważnie naruszone. Gdyby brakujące strony były dostępne i skolacjonowane, przypuszczalnie doszłaby pewna liczba wariantów, lecz nie różniłyby się one rodzajem od pozostałych.</w:t>
      </w:r>
      <w:r>
        <w:t xml:space="preserve"> </w:t>
      </w:r>
      <w:r>
        <w:rPr>
          <w:bCs/>
          <w:b/>
        </w:rPr>
        <w:t xml:space="preserve">Ktoś czytający manuskrypt 1384 nie zostałby w żadnym miejscu księgi wprowadzony w błąd co do zamierzonego znaczenia</w:t>
      </w:r>
      <w:r>
        <w:t xml:space="preserve">. Twierdzę, że jest to godne uwagi i typowe dla niemal wszystkich manuskryptów</w:t>
      </w:r>
      <w:r>
        <w:t xml:space="preserve"> </w:t>
      </w:r>
      <w:r>
        <w:rPr>
          <w:bCs/>
          <w:b/>
        </w:rPr>
        <w:t xml:space="preserve">f</w:t>
      </w:r>
      <w:r>
        <w:rPr>
          <w:vertAlign w:val="superscript"/>
          <w:bCs/>
          <w:b/>
        </w:rPr>
        <w:t xml:space="preserve">35</w:t>
      </w:r>
      <w:r>
        <w:t xml:space="preserve">. Na przestrzeni stuleci przekazu każdy, kto miał dostęp do przedstawiciela</w:t>
      </w:r>
      <w:r>
        <w:t xml:space="preserve"> </w:t>
      </w:r>
      <w:r>
        <w:rPr>
          <w:bCs/>
          <w:b/>
        </w:rPr>
        <w:t xml:space="preserve">f</w:t>
      </w:r>
      <w:r>
        <w:rPr>
          <w:vertAlign w:val="superscript"/>
          <w:bCs/>
          <w:b/>
        </w:rPr>
        <w:t xml:space="preserve">35</w:t>
      </w:r>
      <w:r>
        <w:t xml:space="preserve">, mógł znać zamierzone znaczenie Autografu.</w:t>
      </w:r>
      <w:r>
        <w:rPr>
          <w:rStyle w:val="FootnoteReference"/>
        </w:rPr>
        <w:footnoteReference w:id="277"/>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p>
    <w:bookmarkEnd w:id="278"/>
    <w:bookmarkStart w:id="281" w:name="niewiarygodnie-staranny-przekaz"/>
    <w:p>
      <w:pPr>
        <w:pStyle w:val="Heading4"/>
      </w:pPr>
      <w:r>
        <w:rPr>
          <w:iCs/>
          <w:i/>
        </w:rPr>
        <w:t xml:space="preserve">Niewiarygodnie staranny przekaz</w:t>
      </w:r>
    </w:p>
    <w:p>
      <w:pPr>
        <w:pStyle w:val="FirstParagraph"/>
      </w:pPr>
      <w:r>
        <w:t xml:space="preserve">Ocenię teraz warianty u jedenastu „wyjątkowych” przedstawicieli.</w:t>
      </w:r>
    </w:p>
    <w:p>
      <w:pPr>
        <w:pStyle w:val="BodyText"/>
      </w:pPr>
      <w:r>
        <w:t xml:space="preserve">Manuskrypt 586 ma jeden: 10,35 — ημιν || υμιν 510, 586. Ponieważ manuskrypt 510 ma czternaście wariantów, a 586 nigdzie indziej się z nim nie łączy, najwyraźniej nie ma zależności, są to więc warianty niezależne. W tym wariancie istnieje jednak osobliwy aspekt: jest bezsensowny! Synowie Zebedeusza mówią: „Nauczycielu, chcemy, abyś uczynił dla nas wszystko, o co poprosimy”. Wariant „uczynić dla was (lm.)” jest więc jawnym nonsensem. Czy był to jedynie przypadek itacyzmu? Jeśli tak, jest to jedyny taki przypadek w całej księdze (w 586). Przy kilku okazjach, u różnych kopistów i w różnych księgach, zaobserwowałem podobną sytuację: kopista wykonywał do tego miejsca doskonałą pracę, po czym wprowadzał niemożliwy wariant, w którym czytelnik niemal automatycznie dokona koniecznej poprawki, tak jak tutaj. Zastanawiam się, czy kopista czuł się niegodny sporządzenia doskonałej kopii i celowo wprowadzał oczywisty błąd.</w:t>
      </w:r>
    </w:p>
    <w:p>
      <w:pPr>
        <w:pStyle w:val="BodyText"/>
      </w:pPr>
      <w:r>
        <w:t xml:space="preserve">Manuskrypt 2382 ma jeden: 13,1 — εις || 1 εκ 510, 1117, 2382. Podobnie jak w powyższym przykładzie najwyraźniej nie ma zależności, są to więc warianty niezależne. (Manuskrypt 1117 ma dwanaście wariantów). „Jeden z Jego uczniów powiedział Mu” — przyimek jest domyślny, a jego wyrażenie wprost nie zmienia znaczenia, tłumaczenie pozostaje takie samo.</w:t>
      </w:r>
    </w:p>
    <w:p>
      <w:pPr>
        <w:pStyle w:val="BodyText"/>
      </w:pPr>
      <w:r>
        <w:t xml:space="preserve">Manuskrypt 2554 ma dwa: 2,23 — ποιειν 2554</w:t>
      </w:r>
      <w:r>
        <w:rPr>
          <w:vertAlign w:val="superscript"/>
        </w:rPr>
        <w:t xml:space="preserve">c</w:t>
      </w:r>
      <w:r>
        <w:t xml:space="preserve"> </w:t>
      </w:r>
      <w:r>
        <w:t xml:space="preserve">|| πιειν 1251, 2554, 2765, 15,46 — επι την θυραν || 1 τη θυρα 2554 + jedenastu przedstawicieli rodziny. Pierwszy jest jawnym nonsensem, niezależnymi przypadkami itacyzmu. Kopista 2554 zauważył swój błąd i sam go poprawił, nie jest to więc właściwy wariant. Drugi reprezentuje podział w rodzinie. Przyimek łączy się z trzema przypadkami — dopełniaczem, celownikiem i biernikiem — różnica znaczeniowa jest więc niewielka.</w:t>
      </w:r>
    </w:p>
    <w:p>
      <w:pPr>
        <w:pStyle w:val="BodyText"/>
      </w:pPr>
      <w:r>
        <w:t xml:space="preserve">Manuskrypty 789, 1072 i 2253 mają po trzy, zostaną omówione w tej kolejności. Manuskrypt 789: 1,20 — αυτων || αυτον 789, 1199, 13,31 — παρελευσεται || παρελευσονται (40%) 789 + dwudziestu jeden przedstawicieli rodziny, 16,9 — πρωτη || πρωτον 789. Pierwszy jest niezależnym itacyzmem powodującym nonsens. (Manuskrypt 1199 ma 73 warianty). Drugi został już wyjaśniony w pierwszym przypisie pod „Współczynnikiem staranności kopisty”. Trzeci jest niedorzecznym błędem, w którym kopista najwyraźniej się pogubił i upodobnił końcówkę do końcówki następującego po niej rzeczownika, tyle że wtedy nie ma to sensu — być może spieszył się, by skończyć, będąc tak blisko końca księgi. W każdym razie nie jest to ważny wariant.</w:t>
      </w:r>
    </w:p>
    <w:p>
      <w:pPr>
        <w:pStyle w:val="BodyText"/>
      </w:pPr>
      <w:r>
        <w:t xml:space="preserve">Manuskrypt 1072: 6,22 — ορχησαμενης || ωρχησαμενης 1072, 7,37 — εξεπλησσοντο || εξεπληστο 1072, 9,20 — ιδον || ιδων (70%) 1072 + siedmiu przedstawicieli rodziny. Pierwszy jest przypuszczalnie itacyzmem powodującym alternatywną pisownię tego samego słowa. Drugi jest błędem powstałym przy przejściu z jednego wiersza do następnego i nie jest właściwym wariantem. Co do trzeciego, podmiotem czasownika jest demon czy chłopiec? W kontekście różnica jest niewielka.</w:t>
      </w:r>
    </w:p>
    <w:p>
      <w:pPr>
        <w:pStyle w:val="BodyText"/>
      </w:pPr>
      <w:r>
        <w:t xml:space="preserve">Manuskrypt 2253: 5,36 — ευθεως ακουσας || ~ 21 (1%) 547, 2253, 8,24 — περιπατουντες || περιπαπατουντες 2253, 15,46 — επι την θυραν || 1 τη θυρα 2253 + jedenastu przedstawicieli rodziny. Pierwszy jest przypuszczalnie niezależnym błędem, który nie wpływa na znaczenie. (Manuskrypt 547 ma piętnaście wariantów). Drugi jest przypadkowym powtórzeniem sylaby przy przejściu z jednego wiersza do następnego i nie jest właściwym wariantem. Trzeci omówiono wyżej.</w:t>
      </w:r>
    </w:p>
    <w:p>
      <w:pPr>
        <w:pStyle w:val="BodyText"/>
      </w:pPr>
      <w:r>
        <w:t xml:space="preserve">Manuskrypty 1461, 1496 i 1652 mają po cztery, zostaną omówione w tej kolejności. (Co ciekawe, wszystkie trzy pochodzą z M. Lavras, lecz mają odmienne zestawy wariantów). Manuskrypt 1461: 5,13 — αυτοις || --- 1461, 6,15 — δε || --- 1461, 12,6 — οτι || --- 824, 1461, 13,31 — παρελευσεται || παρελευσονται (40%) 1461 + dwudziestu jeden przedstawicieli rodziny. Pierwszy jest przypuszczalnie przypadkowym pominięciem, które nie zmienia znaczenia. Drugie pominięcie również nie wpływa na znaczenie. Trzecie pominięcie, przypuszczalnie niezależne, także nie wpływa na znaczenie. (Manuskrypt 824 ma dziesięć wariantów). Czwarty wariant omówiono wyżej.</w:t>
      </w:r>
    </w:p>
    <w:p>
      <w:pPr>
        <w:pStyle w:val="BodyText"/>
      </w:pPr>
      <w:r>
        <w:t xml:space="preserve">Manuskrypt 1496: 10,43 — εν || --- 1496, 2323, 11,10 — υψιστοις || υυψιστοις 1496, 13,31 — (zobacz wyżej), 14,43 — παραγινεται || 1 ο 1496. Pierwszy jest niezależnym pominięciem, wskutek którego przyimek staje się domyślny. (Manuskrypt 2323 ma dwadzieścia wariantów). Drugi jest przypadkowym powtórzeniem samogłoski przy przejściu z jednego wiersza do następnego i nie jest właściwym wariantem. Trzeci wariant omówiono wyżej. Czwarty jest „naturalnym” dodaniem rodzajnika, które nie wpływa na znaczenie.</w:t>
      </w:r>
    </w:p>
    <w:p>
      <w:pPr>
        <w:pStyle w:val="BodyText"/>
      </w:pPr>
      <w:r>
        <w:t xml:space="preserve">Manuskrypt 1652: 8,32 — προσλαβομενος || προσλαβομενον 1652, 11,13 — αυτην || αυτη 1652, 13,6 — πολλοι || πολοι 1652, 13,31 — (zobacz wyżej). Pierwszy jest oczywistym błędem, który każdy czytelnik poprawiłby w myślach. W drugim przypadku przyimek łączy się z obydwoma przypadkami, bez zmiany znaczenia w tym kontekście. Trzeci jest oczywistym błędem pisowni. Czwarty omówiono wyżej.</w:t>
      </w:r>
    </w:p>
    <w:p>
      <w:pPr>
        <w:pStyle w:val="BodyText"/>
      </w:pPr>
      <w:r>
        <w:t xml:space="preserve">Manuskrypty 35 i 1713 mają po pięć, zostaną omówione w tej kolejności. Manuskrypt 35: wszystkie pięć poprawiono do archetypu.</w:t>
      </w:r>
    </w:p>
    <w:p>
      <w:pPr>
        <w:pStyle w:val="BodyText"/>
      </w:pPr>
      <w:r>
        <w:t xml:space="preserve">Manuskrypt 1713: pierwsze dwa poprawiono do archetypu, 9,5 — ηλια || ηλιαν 1705, 1713, 2503, 9,50 — αρτυσετε || αρτυσητε 1713, 13,31 — (zobacz wyżej). Trzeci wydaje się niezależną zmianą z celownika na biernik, chociaż celownik jest wyraźnie poprawny. Znaczenie nie zostaje zmienione. (Manuskrypt 1705 ma 38 wariantów, manuskrypt 2503 ma dziesięć). Czwarty może być itacyzmem, chociaż zmienia tryb. Znaczenie nie zostaje zmienione. Piąty omówiono wyżej.</w:t>
      </w:r>
    </w:p>
    <w:p>
      <w:pPr>
        <w:pStyle w:val="BodyText"/>
      </w:pPr>
      <w:r>
        <w:t xml:space="preserve">Spośród łącznie trzydziestu pięciu wariantów u jedenastu manuskryptów w całej</w:t>
      </w:r>
      <w:r>
        <w:t xml:space="preserve"> </w:t>
      </w:r>
      <w:r>
        <w:rPr>
          <w:u w:val="single"/>
        </w:rPr>
        <w:t xml:space="preserve">księdze Ewangelii Marka</w:t>
      </w:r>
      <w:r>
        <w:rPr>
          <w:rStyle w:val="FootnoteReference"/>
        </w:rPr>
        <w:footnoteReference w:id="279"/>
      </w:r>
      <w:r>
        <w:t xml:space="preserve"> </w:t>
      </w:r>
      <w:r>
        <w:t xml:space="preserve">osiem poprawiono, pozostaje więc dwadzieścia siedem. Co najmniej sześć nie jest właściwymi wariantami, pozostaje więc dwadzieścia jeden. Pięć to powtórzenia wspólnego wariantu, pozostaje więc szesnaście.</w:t>
      </w:r>
      <w:r>
        <w:rPr>
          <w:rStyle w:val="FootnoteReference"/>
        </w:rPr>
        <w:footnoteReference w:id="280"/>
      </w:r>
      <w:r>
        <w:t xml:space="preserve"> </w:t>
      </w:r>
      <w:r>
        <w:t xml:space="preserve">Większość z nich obejmuje jedną literę lub sylabę, jak jest typowe dla wariantów</w:t>
      </w:r>
      <w:r>
        <w:t xml:space="preserve"> </w:t>
      </w:r>
      <w:r>
        <w:rPr>
          <w:bCs/>
          <w:b/>
        </w:rPr>
        <w:t xml:space="preserve">f</w:t>
      </w:r>
      <w:r>
        <w:rPr>
          <w:vertAlign w:val="superscript"/>
          <w:bCs/>
          <w:b/>
        </w:rPr>
        <w:t xml:space="preserve">35</w:t>
      </w:r>
      <w:r>
        <w:t xml:space="preserve">. Żaden nie zmienia znaczenia. To właśnie nazywam</w:t>
      </w:r>
      <w:r>
        <w:t xml:space="preserve"> </w:t>
      </w:r>
      <w:r>
        <w:rPr>
          <w:bCs/>
          <w:b/>
        </w:rPr>
        <w:t xml:space="preserve">niewiarygodnie starannym przekazem</w:t>
      </w:r>
      <w:r>
        <w:t xml:space="preserve">.</w:t>
      </w:r>
    </w:p>
    <w:p>
      <w:pPr>
        <w:pStyle w:val="BodyText"/>
      </w:pPr>
      <w:r>
        <w:t xml:space="preserve">Ośmielam się przewidzieć, że jeśli kiedykolwiek skolacjonowane zostaną wszystkie zachowane manuskrypty, żadna inna linia przekazu nawet nie zbliży się do tego poziomu precyzji, czyli współczynnika staranności kopisty.</w:t>
      </w:r>
    </w:p>
    <w:bookmarkEnd w:id="281"/>
    <w:bookmarkStart w:id="282" w:name="spostrzeżenia"/>
    <w:p>
      <w:pPr>
        <w:pStyle w:val="Heading4"/>
      </w:pPr>
      <w:r>
        <w:rPr>
          <w:iCs/>
          <w:i/>
        </w:rPr>
        <w:t xml:space="preserve">Spostrzeżenia</w:t>
      </w:r>
    </w:p>
    <w:p>
      <w:pPr>
        <w:numPr>
          <w:ilvl w:val="0"/>
          <w:numId w:val="1017"/>
        </w:numPr>
      </w:pPr>
      <w:r>
        <w:t xml:space="preserve">Dwie trzecie skolacjonowanych wyżej manuskryptów nie ma wariantów spoza rodziny = brak domieszki. Mnisi wiernie odtwarzali to, co mieli przed sobą.</w:t>
      </w:r>
    </w:p>
    <w:p>
      <w:pPr>
        <w:numPr>
          <w:ilvl w:val="0"/>
          <w:numId w:val="1017"/>
        </w:numPr>
      </w:pPr>
      <w:r>
        <w:t xml:space="preserve">Najbardziej niedbały manuskrypt, 1199, ma również najwięcej wariantów spoza rodziny = kopista był stosunkowo niestaranny i nie troszczył się o czystość. (Gdyby jednak reprezentował jakąkolwiek inną linię przekazu w obrębie masy bizantyjskiej, prawdopodobnie byłby dobrą kopią).</w:t>
      </w:r>
    </w:p>
    <w:p>
      <w:pPr>
        <w:numPr>
          <w:ilvl w:val="0"/>
          <w:numId w:val="1017"/>
        </w:numPr>
      </w:pPr>
      <w:r>
        <w:t xml:space="preserve">Pięć manuskryptów z XI wieku wyraźnie odzwierciedla odrębne egzemplarze (które same prawdopodobnie miały odrębne egzemplarze), archetyp z pewnością istniał więc w okresie uncjalnym.</w:t>
      </w:r>
    </w:p>
    <w:p>
      <w:pPr>
        <w:numPr>
          <w:ilvl w:val="0"/>
          <w:numId w:val="1017"/>
        </w:numPr>
      </w:pPr>
      <w:r>
        <w:t xml:space="preserve">Chociaż precyzyjny profil archetypu jest jasny, jasne jest również, że zachowane manuskrypty odzwierciedlają pewną liczbę odrębnych linii przekazu w obrębie rodziny.</w:t>
      </w:r>
    </w:p>
    <w:p>
      <w:pPr>
        <w:numPr>
          <w:ilvl w:val="0"/>
          <w:numId w:val="1017"/>
        </w:numPr>
      </w:pPr>
      <w:r>
        <w:t xml:space="preserve">Każda próba odtworzenia drzewa rodziny będzie wymagała postulowania sporej liczby węzłów pośrednich, które równie dobrze mogą być oddzielone od siebie stuleciami.</w:t>
      </w:r>
    </w:p>
    <w:p>
      <w:pPr>
        <w:numPr>
          <w:ilvl w:val="0"/>
          <w:numId w:val="1017"/>
        </w:numPr>
      </w:pPr>
      <w:r>
        <w:t xml:space="preserve">Wynika z tego, że każde twierdzenie, iż archetyp</w:t>
      </w:r>
      <w:r>
        <w:t xml:space="preserve"> </w:t>
      </w:r>
      <w:r>
        <w:rPr>
          <w:bCs/>
          <w:b/>
        </w:rPr>
        <w:t xml:space="preserve">f</w:t>
      </w:r>
      <w:r>
        <w:rPr>
          <w:vertAlign w:val="superscript"/>
          <w:bCs/>
          <w:b/>
        </w:rPr>
        <w:t xml:space="preserve">35</w:t>
      </w:r>
      <w:r>
        <w:t xml:space="preserve"> </w:t>
      </w:r>
      <w:r>
        <w:t xml:space="preserve">powstał po rozpoczęciu okresu minuskułowego, jest albo niedoinformowane, albo przewrotne.</w:t>
      </w:r>
    </w:p>
    <w:bookmarkEnd w:id="282"/>
    <w:bookmarkEnd w:id="283"/>
    <w:bookmarkStart w:id="298" w:name="list-do-rzymian"/>
    <w:p>
      <w:pPr>
        <w:pStyle w:val="Heading3"/>
      </w:pPr>
      <w:r>
        <w:t xml:space="preserve">List do Rzymian</w:t>
      </w:r>
    </w:p>
    <w:p>
      <w:pPr>
        <w:pStyle w:val="FirstParagraph"/>
      </w:pPr>
      <w:r>
        <w:t xml:space="preserve">Zwracam uwagę na poniższe dowody z Listu Pawła do Rzymian. Posłużę się kolacjonowaniem trzech wielkich „aleksandryjskich” manuskryptów przez Reubena Swansona — Kodeksu Alef (01), Kodeksu A (02) i Kodeksu B (03)</w:t>
      </w:r>
      <w:r>
        <w:rPr>
          <w:rStyle w:val="FootnoteReference"/>
        </w:rPr>
        <w:footnoteReference w:id="284"/>
      </w:r>
      <w:r>
        <w:t xml:space="preserve"> </w:t>
      </w:r>
      <w:r>
        <w:t xml:space="preserve">— oraz własnym kolacjonowaniem trzydziestu siedmiu manuskryptów Rodziny 35, w obu przypadkach w całej księdze.</w:t>
      </w:r>
      <w:r>
        <w:rPr>
          <w:rStyle w:val="FootnoteReference"/>
        </w:rPr>
        <w:footnoteReference w:id="285"/>
      </w:r>
    </w:p>
    <w:p>
      <w:pPr>
        <w:pStyle w:val="BodyText"/>
      </w:pPr>
      <w:r>
        <w:t xml:space="preserve">Po prostu skrupulatnie podążałem za Swansonem, sam nie sprawdzałem żadnego z jego manuskryptów. Dokonałem przybliżonego zliczenia, zazwyczaj liczyłem frazę jako jeden wariant i tak samo długie pominięcie. Nie liczyłem</w:t>
      </w:r>
      <w:r>
        <w:t xml:space="preserve"> </w:t>
      </w:r>
      <w:r>
        <w:rPr>
          <w:iCs/>
          <w:i/>
        </w:rPr>
        <w:t xml:space="preserve">nomina sacra</w:t>
      </w:r>
      <w:r>
        <w:t xml:space="preserve">, ruchomego</w:t>
      </w:r>
      <w:r>
        <w:t xml:space="preserve"> </w:t>
      </w:r>
      <w:r>
        <w:rPr>
          <w:iCs/>
          <w:i/>
        </w:rPr>
        <w:t xml:space="preserve">nu</w:t>
      </w:r>
      <w:r>
        <w:t xml:space="preserve">, akcentów ani</w:t>
      </w:r>
      <w:r>
        <w:t xml:space="preserve"> </w:t>
      </w:r>
      <w:r>
        <w:rPr>
          <w:iCs/>
          <w:i/>
        </w:rPr>
        <w:t xml:space="preserve">καθως/καθω</w:t>
      </w:r>
      <w:r>
        <w:t xml:space="preserve">. Swanson kolacjonował zarówno względem UBS</w:t>
      </w:r>
      <w:r>
        <w:rPr>
          <w:vertAlign w:val="superscript"/>
        </w:rPr>
        <w:t xml:space="preserve">4</w:t>
      </w:r>
      <w:r>
        <w:t xml:space="preserve">, jak i oksfordzkiego TR z 1873 roku. Różnica między 3. a 4. wydaniem UBS dotyczy aparatu, tekst jest ten sam, ten, który Kurt Aland raczył nazwać tekstem „standardowym”. Jest to zasadniczo tekst „aleksandryjski” i posłużę się nim jako przedstawicielem hipotetycznego archetypu „aleksandryjskiego” (przyjmuję, że taki jest osąd redaktorów).</w:t>
      </w:r>
    </w:p>
    <w:p>
      <w:pPr>
        <w:pStyle w:val="BodyText"/>
      </w:pPr>
      <w:r>
        <w:t xml:space="preserve">Na podstawie opisanego wyżej przybliżonego zliczenia Kodeks B różnił się od UBS</w:t>
      </w:r>
      <w:r>
        <w:rPr>
          <w:vertAlign w:val="superscript"/>
        </w:rPr>
        <w:t xml:space="preserve">4</w:t>
      </w:r>
      <w:r>
        <w:t xml:space="preserve"> </w:t>
      </w:r>
      <w:r>
        <w:t xml:space="preserve">271 razy, Alef 308 razy, a Kodeks A 333 razy, w całym Liście do Rzymian. Nawet gdyby moje przybliżone zliczenie myliło się o 10, 20 czy nawet 50, nie miałoby to większego znaczenia dla celu tego ćwiczenia:</w:t>
      </w:r>
      <w:r>
        <w:t xml:space="preserve"> </w:t>
      </w:r>
      <w:r>
        <w:rPr>
          <w:bCs/>
          <w:b/>
        </w:rPr>
        <w:t xml:space="preserve">te trzy wielkie kodeksy są żałośnie słabymi przedstawicielami swojego aleksandryjskiego typu tekstu</w:t>
      </w:r>
      <w:r>
        <w:t xml:space="preserve">. Następnie dokonałem jednak drugiego zliczenia, eliminując również alternatywne pisownie tego samego słowa (większość z nich dotyczyła ei/i/e). Na podstawie tego drugiego zliczenia Kodeks B różnił się od UBS</w:t>
      </w:r>
      <w:r>
        <w:rPr>
          <w:vertAlign w:val="superscript"/>
        </w:rPr>
        <w:t xml:space="preserve">4</w:t>
      </w:r>
      <w:r>
        <w:t xml:space="preserve"> </w:t>
      </w:r>
      <w:r>
        <w:t xml:space="preserve">170 razy, Alef 133 razy, a Kodeks A 204 razy. Itacyzmów było bardzo wiele, szczególnie w Alefie. Obraz znacznie się poprawił, lecz te trzy wielkie kodeksy nadal są raczej słabymi przedstawicielami swojego aleksandryjskiego typu tekstu.</w:t>
      </w:r>
    </w:p>
    <w:p>
      <w:pPr>
        <w:pStyle w:val="BodyText"/>
      </w:pPr>
      <w:r>
        <w:t xml:space="preserve">Dla porównania lub kontrastu zwracam uwagę na poniższe dowody z Rodziny 35, również obejmujące cały List do Rzymian.</w:t>
      </w:r>
    </w:p>
    <w:bookmarkStart w:id="289" w:name="f35-w-liście-do-rzymian-dane-surowe"/>
    <w:p>
      <w:pPr>
        <w:pStyle w:val="Heading4"/>
      </w:pPr>
      <w:r>
        <w:rPr>
          <w:iCs/>
          <w:i/>
        </w:rPr>
        <w:t xml:space="preserve">f</w:t>
      </w:r>
      <w:r>
        <w:rPr>
          <w:vertAlign w:val="superscript"/>
          <w:iCs/>
          <w:i/>
        </w:rPr>
        <w:t xml:space="preserve">35</w:t>
      </w:r>
      <w:r>
        <w:rPr>
          <w:iCs/>
          <w:i/>
        </w:rPr>
        <w:t xml:space="preserve"> </w:t>
      </w:r>
      <w:r>
        <w:rPr>
          <w:iCs/>
          <w:i/>
        </w:rPr>
        <w:t xml:space="preserve">w Liście do Rzymian — dane surowe</w:t>
      </w:r>
    </w:p>
    <w:tbl>
      <w:tblPr>
        <w:tblStyle w:val="Table"/>
        <w:tblW w:type="pct" w:w="5000"/>
        <w:tblLook w:firstRow="1" w:lastRow="0" w:firstColumn="0" w:lastColumn="0" w:noHBand="0" w:noVBand="0" w:val="0020"/>
        <w:jc w:val="start"/>
      </w:tblPr>
      <w:tblGrid>
        <w:gridCol w:w="1056"/>
        <w:gridCol w:w="1056"/>
        <w:gridCol w:w="1056"/>
        <w:gridCol w:w="1056"/>
        <w:gridCol w:w="1320"/>
        <w:gridCol w:w="1056"/>
        <w:gridCol w:w="1320"/>
      </w:tblGrid>
      <w:tr>
        <w:trPr>
          <w:tblHeader w:val="true"/>
        </w:trPr>
        <w:tc>
          <w:tcPr/>
          <w:p>
            <w:pPr>
              <w:pStyle w:val="Compact"/>
              <w:jc w:val="right"/>
            </w:pPr>
            <w:r>
              <w:rPr>
                <w:bCs/>
                <w:b/>
              </w:rPr>
              <w:t xml:space="preserve">Manuskrypt</w:t>
            </w:r>
          </w:p>
        </w:tc>
        <w:tc>
          <w:tcPr/>
          <w:p>
            <w:pPr>
              <w:pStyle w:val="Compact"/>
              <w:jc w:val="left"/>
            </w:pPr>
            <w:r>
              <w:t xml:space="preserve">Statystyka</w:t>
            </w:r>
          </w:p>
        </w:tc>
        <w:tc>
          <w:tcPr/>
          <w:p>
            <w:pPr>
              <w:pStyle w:val="Compact"/>
              <w:jc w:val="right"/>
            </w:pPr>
            <w:r>
              <w:t xml:space="preserve">Razem</w:t>
            </w:r>
          </w:p>
        </w:tc>
        <w:tc>
          <w:tcPr/>
          <w:p>
            <w:pPr>
              <w:pStyle w:val="Compact"/>
              <w:jc w:val="right"/>
            </w:pPr>
            <w:r>
              <w:t xml:space="preserve">Egzemplarz</w:t>
            </w:r>
          </w:p>
        </w:tc>
        <w:tc>
          <w:tcPr/>
          <w:p>
            <w:pPr>
              <w:pStyle w:val="Compact"/>
              <w:jc w:val="center"/>
            </w:pPr>
            <w:r>
              <w:t xml:space="preserve">Data</w:t>
            </w:r>
          </w:p>
        </w:tc>
        <w:tc>
          <w:tcPr/>
          <w:p>
            <w:pPr>
              <w:pStyle w:val="Compact"/>
              <w:jc w:val="left"/>
            </w:pPr>
            <w:r>
              <w:t xml:space="preserve">Miejsce</w:t>
            </w:r>
            <w:r>
              <w:rPr>
                <w:rStyle w:val="FootnoteReference"/>
              </w:rPr>
              <w:footnoteReference w:id="286"/>
            </w:r>
          </w:p>
        </w:tc>
        <w:tc>
          <w:tcPr/>
          <w:p>
            <w:pPr>
              <w:pStyle w:val="Compact"/>
              <w:jc w:val="center"/>
            </w:pPr>
            <w:r>
              <w:t xml:space="preserve">Zawartość</w:t>
            </w:r>
          </w:p>
        </w:tc>
      </w:tr>
      <w:tr>
        <w:tc>
          <w:tcPr/>
          <w:p>
            <w:pPr>
              <w:pStyle w:val="Compact"/>
              <w:jc w:val="right"/>
            </w:pPr>
            <w:r>
              <w:t xml:space="preserve">18</w:t>
            </w:r>
          </w:p>
        </w:tc>
        <w:tc>
          <w:tcPr/>
          <w:p>
            <w:pPr>
              <w:pStyle w:val="Compact"/>
              <w:jc w:val="left"/>
            </w:pPr>
            <w:r>
              <w:t xml:space="preserve">2y, 1s, 1h, 1i</w:t>
            </w:r>
          </w:p>
        </w:tc>
        <w:tc>
          <w:tcPr/>
          <w:p>
            <w:pPr>
              <w:pStyle w:val="Compact"/>
              <w:jc w:val="right"/>
            </w:pPr>
            <w:r>
              <w:t xml:space="preserve">5</w:t>
            </w:r>
          </w:p>
        </w:tc>
        <w:tc>
          <w:tcPr/>
          <w:p>
            <w:pPr>
              <w:pStyle w:val="Compact"/>
              <w:jc w:val="right"/>
            </w:pPr>
            <w:r>
              <w:t xml:space="preserve">2</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35</w:t>
            </w:r>
          </w:p>
        </w:tc>
        <w:tc>
          <w:tcPr/>
          <w:p>
            <w:pPr>
              <w:pStyle w:val="Compact"/>
              <w:jc w:val="left"/>
            </w:pPr>
            <w:r>
              <w:t xml:space="preserve">3c</w:t>
            </w:r>
          </w:p>
        </w:tc>
        <w:tc>
          <w:tcPr/>
          <w:p>
            <w:pPr>
              <w:pStyle w:val="Compact"/>
              <w:jc w:val="right"/>
            </w:pPr>
            <w:r>
              <w:t xml:space="preserve">3</w:t>
            </w:r>
          </w:p>
        </w:tc>
        <w:tc>
          <w:tcPr/>
          <w:p>
            <w:pPr>
              <w:pStyle w:val="Compact"/>
              <w:jc w:val="right"/>
            </w:pPr>
            <w:r>
              <w:t xml:space="preserve">---</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eapr</w:t>
            </w:r>
          </w:p>
        </w:tc>
      </w:tr>
      <w:tr>
        <w:tc>
          <w:tcPr/>
          <w:p>
            <w:pPr>
              <w:pStyle w:val="Compact"/>
              <w:jc w:val="right"/>
            </w:pPr>
            <w:r>
              <w:t xml:space="preserve">141</w:t>
            </w:r>
          </w:p>
        </w:tc>
        <w:tc>
          <w:tcPr/>
          <w:p>
            <w:pPr>
              <w:pStyle w:val="Compact"/>
              <w:jc w:val="left"/>
            </w:pPr>
            <w:r>
              <w:t xml:space="preserve">1x, 1c, 4s, 2h, 1i</w:t>
            </w:r>
          </w:p>
        </w:tc>
        <w:tc>
          <w:tcPr/>
          <w:p>
            <w:pPr>
              <w:pStyle w:val="Compact"/>
              <w:jc w:val="right"/>
            </w:pPr>
            <w:r>
              <w:t xml:space="preserve">9</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201</w:t>
            </w:r>
          </w:p>
        </w:tc>
        <w:tc>
          <w:tcPr/>
          <w:p>
            <w:pPr>
              <w:pStyle w:val="Compact"/>
              <w:jc w:val="left"/>
            </w:pPr>
            <w:r>
              <w:t xml:space="preserve">2x, 2/, 1c, 3s, 1i</w:t>
            </w:r>
          </w:p>
        </w:tc>
        <w:tc>
          <w:tcPr/>
          <w:p>
            <w:pPr>
              <w:pStyle w:val="Compact"/>
              <w:jc w:val="right"/>
            </w:pPr>
            <w:r>
              <w:t xml:space="preserve">9</w:t>
            </w:r>
          </w:p>
        </w:tc>
        <w:tc>
          <w:tcPr/>
          <w:p>
            <w:pPr>
              <w:pStyle w:val="Compact"/>
              <w:jc w:val="right"/>
            </w:pPr>
            <w:r>
              <w:t xml:space="preserve">4</w:t>
            </w:r>
          </w:p>
        </w:tc>
        <w:tc>
          <w:tcPr/>
          <w:p>
            <w:pPr>
              <w:pStyle w:val="Compact"/>
              <w:jc w:val="center"/>
            </w:pPr>
            <w:r>
              <w:t xml:space="preserve">1357</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204</w:t>
            </w:r>
          </w:p>
        </w:tc>
        <w:tc>
          <w:tcPr/>
          <w:p>
            <w:pPr>
              <w:pStyle w:val="Compact"/>
              <w:jc w:val="left"/>
            </w:pPr>
            <w:r>
              <w:t xml:space="preserve">1/, 1h, 1i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eap</w:t>
            </w:r>
          </w:p>
        </w:tc>
      </w:tr>
      <w:tr>
        <w:tc>
          <w:tcPr/>
          <w:p>
            <w:pPr>
              <w:pStyle w:val="Compact"/>
              <w:jc w:val="right"/>
            </w:pPr>
            <w:r>
              <w:t xml:space="preserve">386</w:t>
            </w:r>
          </w:p>
        </w:tc>
        <w:tc>
          <w:tcPr/>
          <w:p>
            <w:pPr>
              <w:pStyle w:val="Compact"/>
              <w:jc w:val="left"/>
            </w:pPr>
            <w:r>
              <w:t xml:space="preserve">2y, 2s, 1h</w:t>
            </w:r>
          </w:p>
        </w:tc>
        <w:tc>
          <w:tcPr/>
          <w:p>
            <w:pPr>
              <w:pStyle w:val="Compact"/>
              <w:jc w:val="right"/>
            </w:pPr>
            <w:r>
              <w:t xml:space="preserve">5</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394</w:t>
            </w:r>
          </w:p>
        </w:tc>
        <w:tc>
          <w:tcPr/>
          <w:p>
            <w:pPr>
              <w:pStyle w:val="Compact"/>
              <w:jc w:val="left"/>
            </w:pPr>
            <w:r>
              <w:t xml:space="preserve">2y, 3/, 4s, 1i</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1330</w:t>
            </w:r>
          </w:p>
        </w:tc>
        <w:tc>
          <w:tcPr/>
          <w:p>
            <w:pPr>
              <w:pStyle w:val="Compact"/>
              <w:jc w:val="left"/>
            </w:pPr>
            <w:r>
              <w:t xml:space="preserve">Rzym</w:t>
            </w:r>
          </w:p>
        </w:tc>
        <w:tc>
          <w:tcPr/>
          <w:p>
            <w:pPr>
              <w:pStyle w:val="Compact"/>
              <w:jc w:val="center"/>
            </w:pPr>
            <w:r>
              <w:t xml:space="preserve">eap</w:t>
            </w:r>
          </w:p>
        </w:tc>
      </w:tr>
      <w:tr>
        <w:tc>
          <w:tcPr/>
          <w:p>
            <w:pPr>
              <w:pStyle w:val="Compact"/>
              <w:jc w:val="right"/>
            </w:pPr>
            <w:r>
              <w:t xml:space="preserve">757</w:t>
            </w:r>
          </w:p>
        </w:tc>
        <w:tc>
          <w:tcPr/>
          <w:p>
            <w:pPr>
              <w:pStyle w:val="Compact"/>
              <w:jc w:val="left"/>
            </w:pPr>
            <w:r>
              <w:t xml:space="preserve">1y, 1/, 1c, 3s, 1h</w:t>
            </w:r>
          </w:p>
        </w:tc>
        <w:tc>
          <w:tcPr/>
          <w:p>
            <w:pPr>
              <w:pStyle w:val="Compact"/>
              <w:jc w:val="right"/>
            </w:pPr>
            <w:r>
              <w:t xml:space="preserve">7</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eapr</w:t>
            </w:r>
          </w:p>
        </w:tc>
      </w:tr>
      <w:tr>
        <w:tc>
          <w:tcPr/>
          <w:p>
            <w:pPr>
              <w:pStyle w:val="Compact"/>
              <w:jc w:val="right"/>
            </w:pPr>
            <w:r>
              <w:t xml:space="preserve">824</w:t>
            </w:r>
          </w:p>
        </w:tc>
        <w:tc>
          <w:tcPr/>
          <w:p>
            <w:pPr>
              <w:pStyle w:val="Compact"/>
              <w:jc w:val="left"/>
            </w:pPr>
            <w:r>
              <w:t xml:space="preserve">1x, 1y, 1/, 1s</w:t>
            </w:r>
          </w:p>
        </w:tc>
        <w:tc>
          <w:tcPr/>
          <w:p>
            <w:pPr>
              <w:pStyle w:val="Compact"/>
              <w:jc w:val="right"/>
            </w:pPr>
            <w:r>
              <w:t xml:space="preserve">4</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eapr</w:t>
            </w:r>
          </w:p>
        </w:tc>
      </w:tr>
      <w:tr>
        <w:tc>
          <w:tcPr/>
          <w:p>
            <w:pPr>
              <w:pStyle w:val="Compact"/>
              <w:jc w:val="right"/>
            </w:pPr>
            <w:r>
              <w:t xml:space="preserve">928</w:t>
            </w:r>
          </w:p>
        </w:tc>
        <w:tc>
          <w:tcPr/>
          <w:p>
            <w:pPr>
              <w:pStyle w:val="Compact"/>
              <w:jc w:val="left"/>
            </w:pPr>
            <w:r>
              <w:t xml:space="preserve">2/</w:t>
            </w:r>
          </w:p>
        </w:tc>
        <w:tc>
          <w:tcPr/>
          <w:p>
            <w:pPr>
              <w:pStyle w:val="Compact"/>
              <w:jc w:val="right"/>
            </w:pPr>
            <w:r>
              <w:t xml:space="preserve">2</w:t>
            </w:r>
          </w:p>
        </w:tc>
        <w:tc>
          <w:tcPr/>
          <w:p>
            <w:pPr>
              <w:pStyle w:val="Compact"/>
              <w:jc w:val="right"/>
            </w:pPr>
            <w:r>
              <w:t xml:space="preserve">2</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eap</w:t>
            </w:r>
          </w:p>
        </w:tc>
      </w:tr>
      <w:tr>
        <w:tc>
          <w:tcPr/>
          <w:p>
            <w:pPr>
              <w:pStyle w:val="Compact"/>
              <w:jc w:val="right"/>
            </w:pPr>
            <w:r>
              <w:t xml:space="preserve">986</w:t>
            </w:r>
          </w:p>
        </w:tc>
        <w:tc>
          <w:tcPr/>
          <w:p>
            <w:pPr>
              <w:pStyle w:val="Compact"/>
              <w:jc w:val="left"/>
            </w:pPr>
            <w:r>
              <w:t xml:space="preserve">2y, 1/, 4s, 1i</w:t>
            </w:r>
          </w:p>
        </w:tc>
        <w:tc>
          <w:tcPr/>
          <w:p>
            <w:pPr>
              <w:pStyle w:val="Compact"/>
              <w:jc w:val="right"/>
            </w:pPr>
            <w:r>
              <w:t xml:space="preserve">8</w:t>
            </w:r>
          </w:p>
        </w:tc>
        <w:tc>
          <w:tcPr/>
          <w:p>
            <w:pPr>
              <w:pStyle w:val="Compact"/>
              <w:jc w:val="right"/>
            </w:pPr>
            <w:r>
              <w:t xml:space="preserve">3</w:t>
            </w:r>
          </w:p>
        </w:tc>
        <w:tc>
          <w:tcPr/>
          <w:p>
            <w:pPr>
              <w:pStyle w:val="Compact"/>
              <w:jc w:val="center"/>
            </w:pPr>
            <w:r>
              <w:t xml:space="preserve">XIV</w:t>
            </w:r>
          </w:p>
        </w:tc>
        <w:tc>
          <w:tcPr/>
          <w:p>
            <w:pPr>
              <w:pStyle w:val="Compact"/>
              <w:jc w:val="left"/>
            </w:pPr>
            <w:r>
              <w:t xml:space="preserve">Esfigmenu</w:t>
            </w:r>
          </w:p>
        </w:tc>
        <w:tc>
          <w:tcPr/>
          <w:p>
            <w:pPr>
              <w:pStyle w:val="Compact"/>
              <w:jc w:val="center"/>
            </w:pPr>
            <w:r>
              <w:t xml:space="preserve">eapr</w:t>
            </w:r>
          </w:p>
        </w:tc>
      </w:tr>
      <w:tr>
        <w:tc>
          <w:tcPr/>
          <w:p>
            <w:pPr>
              <w:pStyle w:val="Compact"/>
              <w:jc w:val="right"/>
            </w:pPr>
            <w:r>
              <w:t xml:space="preserve">1040</w:t>
            </w:r>
          </w:p>
        </w:tc>
        <w:tc>
          <w:tcPr/>
          <w:p>
            <w:pPr>
              <w:pStyle w:val="Compact"/>
              <w:jc w:val="left"/>
            </w:pPr>
            <w:r>
              <w:t xml:space="preserve">2x, 1y, 1/</w:t>
            </w:r>
          </w:p>
        </w:tc>
        <w:tc>
          <w:tcPr/>
          <w:p>
            <w:pPr>
              <w:pStyle w:val="Compact"/>
              <w:jc w:val="right"/>
            </w:pPr>
            <w:r>
              <w:t xml:space="preserve">4</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1072</w:t>
            </w:r>
          </w:p>
        </w:tc>
        <w:tc>
          <w:tcPr/>
          <w:p>
            <w:pPr>
              <w:pStyle w:val="Compact"/>
              <w:jc w:val="left"/>
            </w:pPr>
            <w:r>
              <w:t xml:space="preserve">1x, 1y, 1/, 4s</w:t>
            </w:r>
          </w:p>
        </w:tc>
        <w:tc>
          <w:tcPr/>
          <w:p>
            <w:pPr>
              <w:pStyle w:val="Compact"/>
              <w:jc w:val="right"/>
            </w:pPr>
            <w:r>
              <w:t xml:space="preserve">7</w:t>
            </w:r>
          </w:p>
        </w:tc>
        <w:tc>
          <w:tcPr/>
          <w:p>
            <w:pPr>
              <w:pStyle w:val="Compact"/>
              <w:jc w:val="right"/>
            </w:pPr>
            <w:r>
              <w:t xml:space="preserve">3</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1075</w:t>
            </w:r>
          </w:p>
        </w:tc>
        <w:tc>
          <w:tcPr/>
          <w:p>
            <w:pPr>
              <w:pStyle w:val="Compact"/>
              <w:jc w:val="left"/>
            </w:pPr>
            <w:r>
              <w:t xml:space="preserve">1x, 1y, 1/, 1s, 1h</w:t>
            </w:r>
          </w:p>
        </w:tc>
        <w:tc>
          <w:tcPr/>
          <w:p>
            <w:pPr>
              <w:pStyle w:val="Compact"/>
              <w:jc w:val="right"/>
            </w:pPr>
            <w:r>
              <w:t xml:space="preserve">5</w:t>
            </w:r>
          </w:p>
        </w:tc>
        <w:tc>
          <w:tcPr/>
          <w:p>
            <w:pPr>
              <w:pStyle w:val="Compact"/>
              <w:jc w:val="right"/>
            </w:pPr>
            <w:r>
              <w:t xml:space="preserve">3</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1100</w:t>
            </w:r>
          </w:p>
        </w:tc>
        <w:tc>
          <w:tcPr/>
          <w:p>
            <w:pPr>
              <w:pStyle w:val="Compact"/>
              <w:jc w:val="left"/>
            </w:pPr>
            <w:r>
              <w:t xml:space="preserve">1y, 1s</w:t>
            </w:r>
          </w:p>
        </w:tc>
        <w:tc>
          <w:tcPr/>
          <w:p>
            <w:pPr>
              <w:pStyle w:val="Compact"/>
              <w:jc w:val="right"/>
            </w:pPr>
            <w:r>
              <w:t xml:space="preserve">2</w:t>
            </w:r>
          </w:p>
        </w:tc>
        <w:tc>
          <w:tcPr/>
          <w:p>
            <w:pPr>
              <w:pStyle w:val="Compact"/>
              <w:jc w:val="right"/>
            </w:pPr>
            <w:r>
              <w:t xml:space="preserve">1</w:t>
            </w:r>
          </w:p>
        </w:tc>
        <w:tc>
          <w:tcPr/>
          <w:p>
            <w:pPr>
              <w:pStyle w:val="Compact"/>
              <w:jc w:val="center"/>
            </w:pPr>
            <w:r>
              <w:t xml:space="preserve">1376</w:t>
            </w:r>
          </w:p>
        </w:tc>
        <w:tc>
          <w:tcPr/>
          <w:p>
            <w:pPr>
              <w:pStyle w:val="Compact"/>
              <w:jc w:val="left"/>
            </w:pPr>
            <w:r>
              <w:t xml:space="preserve">Dionysiu</w:t>
            </w:r>
          </w:p>
        </w:tc>
        <w:tc>
          <w:tcPr/>
          <w:p>
            <w:pPr>
              <w:pStyle w:val="Compact"/>
              <w:jc w:val="center"/>
            </w:pPr>
            <w:r>
              <w:t xml:space="preserve">ap</w:t>
            </w:r>
          </w:p>
        </w:tc>
      </w:tr>
      <w:tr>
        <w:tc>
          <w:tcPr/>
          <w:p>
            <w:pPr>
              <w:pStyle w:val="Compact"/>
              <w:jc w:val="right"/>
            </w:pPr>
            <w:r>
              <w:t xml:space="preserve">1249</w:t>
            </w:r>
          </w:p>
        </w:tc>
        <w:tc>
          <w:tcPr/>
          <w:p>
            <w:pPr>
              <w:pStyle w:val="Compact"/>
              <w:jc w:val="left"/>
            </w:pPr>
            <w:r>
              <w:t xml:space="preserve">1c, 3s, 1i</w:t>
            </w:r>
          </w:p>
        </w:tc>
        <w:tc>
          <w:tcPr/>
          <w:p>
            <w:pPr>
              <w:pStyle w:val="Compact"/>
              <w:jc w:val="right"/>
            </w:pPr>
            <w:r>
              <w:t xml:space="preserve">5</w:t>
            </w:r>
          </w:p>
        </w:tc>
        <w:tc>
          <w:tcPr/>
          <w:p>
            <w:pPr>
              <w:pStyle w:val="Compact"/>
              <w:jc w:val="right"/>
            </w:pPr>
            <w:r>
              <w:t xml:space="preserve">---</w:t>
            </w:r>
          </w:p>
        </w:tc>
        <w:tc>
          <w:tcPr/>
          <w:p>
            <w:pPr>
              <w:pStyle w:val="Compact"/>
              <w:jc w:val="center"/>
            </w:pPr>
            <w:r>
              <w:t xml:space="preserve">1324</w:t>
            </w:r>
          </w:p>
        </w:tc>
        <w:tc>
          <w:tcPr/>
          <w:p>
            <w:pPr>
              <w:pStyle w:val="Compact"/>
              <w:jc w:val="left"/>
            </w:pPr>
            <w:r>
              <w:t xml:space="preserve">Synaj</w:t>
            </w:r>
          </w:p>
        </w:tc>
        <w:tc>
          <w:tcPr/>
          <w:p>
            <w:pPr>
              <w:pStyle w:val="Compact"/>
              <w:jc w:val="center"/>
            </w:pPr>
            <w:r>
              <w:t xml:space="preserve">ap</w:t>
            </w:r>
          </w:p>
        </w:tc>
      </w:tr>
      <w:tr>
        <w:tc>
          <w:tcPr/>
          <w:p>
            <w:pPr>
              <w:pStyle w:val="Compact"/>
              <w:jc w:val="right"/>
            </w:pPr>
            <w:r>
              <w:t xml:space="preserve">1482</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1304</w:t>
            </w:r>
          </w:p>
        </w:tc>
        <w:tc>
          <w:tcPr/>
          <w:p>
            <w:pPr>
              <w:pStyle w:val="Compact"/>
              <w:jc w:val="left"/>
            </w:pPr>
            <w:r>
              <w:t xml:space="preserve">M. Lavras</w:t>
            </w:r>
          </w:p>
        </w:tc>
        <w:tc>
          <w:tcPr/>
          <w:p>
            <w:pPr>
              <w:pStyle w:val="Compact"/>
              <w:jc w:val="center"/>
            </w:pPr>
            <w:r>
              <w:t xml:space="preserve">eap</w:t>
            </w:r>
          </w:p>
        </w:tc>
      </w:tr>
      <w:tr>
        <w:tc>
          <w:tcPr/>
          <w:p>
            <w:pPr>
              <w:pStyle w:val="Compact"/>
              <w:jc w:val="right"/>
            </w:pPr>
            <w:r>
              <w:t xml:space="preserve">1503</w:t>
            </w:r>
          </w:p>
        </w:tc>
        <w:tc>
          <w:tcPr/>
          <w:p>
            <w:pPr>
              <w:pStyle w:val="Compact"/>
              <w:jc w:val="left"/>
            </w:pPr>
            <w:r>
              <w:t xml:space="preserve">1y, 1/, 1i</w:t>
            </w:r>
          </w:p>
        </w:tc>
        <w:tc>
          <w:tcPr/>
          <w:p>
            <w:pPr>
              <w:pStyle w:val="Compact"/>
              <w:jc w:val="right"/>
            </w:pPr>
            <w:r>
              <w:t xml:space="preserve">3</w:t>
            </w:r>
          </w:p>
        </w:tc>
        <w:tc>
          <w:tcPr/>
          <w:p>
            <w:pPr>
              <w:pStyle w:val="Compact"/>
              <w:jc w:val="right"/>
            </w:pPr>
            <w:r>
              <w:t xml:space="preserve">2</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1548</w:t>
            </w:r>
          </w:p>
        </w:tc>
        <w:tc>
          <w:tcPr/>
          <w:p>
            <w:pPr>
              <w:pStyle w:val="Compact"/>
              <w:jc w:val="left"/>
            </w:pPr>
            <w:r>
              <w:t xml:space="preserve">1x, 2/, 6s, 3i</w:t>
            </w:r>
          </w:p>
        </w:tc>
        <w:tc>
          <w:tcPr/>
          <w:p>
            <w:pPr>
              <w:pStyle w:val="Compact"/>
              <w:jc w:val="right"/>
            </w:pPr>
            <w:r>
              <w:t xml:space="preserve">12</w:t>
            </w:r>
          </w:p>
        </w:tc>
        <w:tc>
          <w:tcPr/>
          <w:p>
            <w:pPr>
              <w:pStyle w:val="Compact"/>
              <w:jc w:val="right"/>
            </w:pPr>
            <w:r>
              <w:t xml:space="preserve">3</w:t>
            </w:r>
          </w:p>
        </w:tc>
        <w:tc>
          <w:tcPr/>
          <w:p>
            <w:pPr>
              <w:pStyle w:val="Compact"/>
              <w:jc w:val="center"/>
            </w:pPr>
            <w:r>
              <w:t xml:space="preserve">1359</w:t>
            </w:r>
          </w:p>
        </w:tc>
        <w:tc>
          <w:tcPr/>
          <w:p>
            <w:pPr>
              <w:pStyle w:val="Compact"/>
              <w:jc w:val="left"/>
            </w:pPr>
            <w:r>
              <w:t xml:space="preserve">Vatopediu</w:t>
            </w:r>
          </w:p>
        </w:tc>
        <w:tc>
          <w:tcPr/>
          <w:p>
            <w:pPr>
              <w:pStyle w:val="Compact"/>
              <w:jc w:val="center"/>
            </w:pPr>
            <w:r>
              <w:t xml:space="preserve">eap</w:t>
            </w:r>
          </w:p>
        </w:tc>
      </w:tr>
      <w:tr>
        <w:tc>
          <w:tcPr/>
          <w:p>
            <w:pPr>
              <w:pStyle w:val="Compact"/>
              <w:jc w:val="right"/>
            </w:pPr>
            <w:r>
              <w:t xml:space="preserve">1637</w:t>
            </w:r>
          </w:p>
        </w:tc>
        <w:tc>
          <w:tcPr/>
          <w:p>
            <w:pPr>
              <w:pStyle w:val="Compact"/>
              <w:jc w:val="left"/>
            </w:pPr>
            <w:r>
              <w:t xml:space="preserve">1y, 1/, 1s, 1i</w:t>
            </w:r>
          </w:p>
        </w:tc>
        <w:tc>
          <w:tcPr/>
          <w:p>
            <w:pPr>
              <w:pStyle w:val="Compact"/>
              <w:jc w:val="right"/>
            </w:pPr>
            <w:r>
              <w:t xml:space="preserve">4</w:t>
            </w:r>
          </w:p>
        </w:tc>
        <w:tc>
          <w:tcPr/>
          <w:p>
            <w:pPr>
              <w:pStyle w:val="Compact"/>
              <w:jc w:val="right"/>
            </w:pPr>
            <w:r>
              <w:t xml:space="preserve">2</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1652</w:t>
            </w:r>
          </w:p>
        </w:tc>
        <w:tc>
          <w:tcPr/>
          <w:p>
            <w:pPr>
              <w:pStyle w:val="Compact"/>
              <w:jc w:val="left"/>
            </w:pPr>
            <w:r>
              <w:t xml:space="preserve">1y, 1/, 1s</w:t>
            </w:r>
          </w:p>
        </w:tc>
        <w:tc>
          <w:tcPr/>
          <w:p>
            <w:pPr>
              <w:pStyle w:val="Compact"/>
              <w:jc w:val="right"/>
            </w:pPr>
            <w:r>
              <w:t xml:space="preserve">3</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1704</w:t>
            </w:r>
          </w:p>
        </w:tc>
        <w:tc>
          <w:tcPr/>
          <w:p>
            <w:pPr>
              <w:pStyle w:val="Compact"/>
              <w:jc w:val="left"/>
            </w:pPr>
            <w:r>
              <w:t xml:space="preserve">1y, 5s, 2h, 5i</w:t>
            </w:r>
          </w:p>
        </w:tc>
        <w:tc>
          <w:tcPr/>
          <w:p>
            <w:pPr>
              <w:pStyle w:val="Compact"/>
              <w:jc w:val="right"/>
            </w:pPr>
            <w:r>
              <w:t xml:space="preserve">13</w:t>
            </w:r>
          </w:p>
        </w:tc>
        <w:tc>
          <w:tcPr/>
          <w:p>
            <w:pPr>
              <w:pStyle w:val="Compact"/>
              <w:jc w:val="right"/>
            </w:pPr>
            <w:r>
              <w:t xml:space="preserve">1</w:t>
            </w:r>
          </w:p>
        </w:tc>
        <w:tc>
          <w:tcPr/>
          <w:p>
            <w:pPr>
              <w:pStyle w:val="Compact"/>
              <w:jc w:val="center"/>
            </w:pPr>
            <w:r>
              <w:t xml:space="preserve">1541</w:t>
            </w:r>
          </w:p>
        </w:tc>
        <w:tc>
          <w:tcPr/>
          <w:p>
            <w:pPr>
              <w:pStyle w:val="Compact"/>
              <w:jc w:val="left"/>
            </w:pPr>
            <w:r>
              <w:t xml:space="preserve">Kutlumusiu</w:t>
            </w:r>
          </w:p>
        </w:tc>
        <w:tc>
          <w:tcPr/>
          <w:p>
            <w:pPr>
              <w:pStyle w:val="Compact"/>
              <w:jc w:val="center"/>
            </w:pPr>
            <w:r>
              <w:t xml:space="preserve">eapr</w:t>
            </w:r>
          </w:p>
        </w:tc>
      </w:tr>
      <w:tr>
        <w:tc>
          <w:tcPr/>
          <w:p>
            <w:pPr>
              <w:pStyle w:val="Compact"/>
              <w:jc w:val="right"/>
            </w:pPr>
            <w:r>
              <w:t xml:space="preserve">1725</w:t>
            </w:r>
          </w:p>
        </w:tc>
        <w:tc>
          <w:tcPr/>
          <w:p>
            <w:pPr>
              <w:pStyle w:val="Compact"/>
              <w:jc w:val="left"/>
            </w:pPr>
            <w:r>
              <w:t xml:space="preserve">1/, 3s, 4i</w:t>
            </w:r>
          </w:p>
        </w:tc>
        <w:tc>
          <w:tcPr/>
          <w:p>
            <w:pPr>
              <w:pStyle w:val="Compact"/>
              <w:jc w:val="right"/>
            </w:pPr>
            <w:r>
              <w:t xml:space="preserve">8</w:t>
            </w:r>
          </w:p>
        </w:tc>
        <w:tc>
          <w:tcPr/>
          <w:p>
            <w:pPr>
              <w:pStyle w:val="Compact"/>
              <w:jc w:val="right"/>
            </w:pPr>
            <w:r>
              <w:t xml:space="preserve">1</w:t>
            </w:r>
          </w:p>
        </w:tc>
        <w:tc>
          <w:tcPr/>
          <w:p>
            <w:pPr>
              <w:pStyle w:val="Compact"/>
              <w:jc w:val="center"/>
            </w:pPr>
            <w:r>
              <w:t xml:space="preserve">1367</w:t>
            </w:r>
          </w:p>
        </w:tc>
        <w:tc>
          <w:tcPr/>
          <w:p>
            <w:pPr>
              <w:pStyle w:val="Compact"/>
              <w:jc w:val="left"/>
            </w:pPr>
            <w:r>
              <w:t xml:space="preserve">Vatopediu</w:t>
            </w:r>
          </w:p>
        </w:tc>
        <w:tc>
          <w:tcPr/>
          <w:p>
            <w:pPr>
              <w:pStyle w:val="Compact"/>
              <w:jc w:val="center"/>
            </w:pPr>
            <w:r>
              <w:t xml:space="preserve">ap</w:t>
            </w:r>
          </w:p>
        </w:tc>
      </w:tr>
      <w:tr>
        <w:tc>
          <w:tcPr/>
          <w:p>
            <w:pPr>
              <w:pStyle w:val="Compact"/>
              <w:jc w:val="right"/>
            </w:pPr>
            <w:r>
              <w:t xml:space="preserve">1732</w:t>
            </w:r>
          </w:p>
        </w:tc>
        <w:tc>
          <w:tcPr/>
          <w:p>
            <w:pPr>
              <w:pStyle w:val="Compact"/>
              <w:jc w:val="left"/>
            </w:pPr>
            <w:r>
              <w:t xml:space="preserve">1x, 1y, 1s, 2h</w:t>
            </w:r>
          </w:p>
        </w:tc>
        <w:tc>
          <w:tcPr/>
          <w:p>
            <w:pPr>
              <w:pStyle w:val="Compact"/>
              <w:jc w:val="right"/>
            </w:pPr>
            <w:r>
              <w:t xml:space="preserve">5</w:t>
            </w:r>
          </w:p>
        </w:tc>
        <w:tc>
          <w:tcPr/>
          <w:p>
            <w:pPr>
              <w:pStyle w:val="Compact"/>
              <w:jc w:val="right"/>
            </w:pPr>
            <w:r>
              <w:t xml:space="preserve">2</w:t>
            </w:r>
          </w:p>
        </w:tc>
        <w:tc>
          <w:tcPr/>
          <w:p>
            <w:pPr>
              <w:pStyle w:val="Compact"/>
              <w:jc w:val="center"/>
            </w:pPr>
            <w:r>
              <w:t xml:space="preserve">1384</w:t>
            </w:r>
          </w:p>
        </w:tc>
        <w:tc>
          <w:tcPr/>
          <w:p>
            <w:pPr>
              <w:pStyle w:val="Compact"/>
              <w:jc w:val="left"/>
            </w:pPr>
            <w:r>
              <w:t xml:space="preserve">M. Lavras</w:t>
            </w:r>
          </w:p>
        </w:tc>
        <w:tc>
          <w:tcPr/>
          <w:p>
            <w:pPr>
              <w:pStyle w:val="Compact"/>
              <w:jc w:val="center"/>
            </w:pPr>
            <w:r>
              <w:t xml:space="preserve">apr</w:t>
            </w:r>
          </w:p>
        </w:tc>
      </w:tr>
      <w:tr>
        <w:tc>
          <w:tcPr/>
          <w:p>
            <w:pPr>
              <w:pStyle w:val="Compact"/>
              <w:jc w:val="right"/>
            </w:pPr>
            <w:r>
              <w:t xml:space="preserve">1761</w:t>
            </w:r>
          </w:p>
        </w:tc>
        <w:tc>
          <w:tcPr/>
          <w:p>
            <w:pPr>
              <w:pStyle w:val="Compact"/>
              <w:jc w:val="left"/>
            </w:pPr>
            <w:r>
              <w:t xml:space="preserve">2x, 2y, 1c, 3s, 1h</w:t>
            </w:r>
          </w:p>
        </w:tc>
        <w:tc>
          <w:tcPr/>
          <w:p>
            <w:pPr>
              <w:pStyle w:val="Compact"/>
              <w:jc w:val="right"/>
            </w:pPr>
            <w:r>
              <w:t xml:space="preserve">9</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ap</w:t>
            </w:r>
          </w:p>
        </w:tc>
      </w:tr>
      <w:tr>
        <w:tc>
          <w:tcPr/>
          <w:p>
            <w:pPr>
              <w:pStyle w:val="Compact"/>
              <w:jc w:val="right"/>
            </w:pPr>
            <w:r>
              <w:t xml:space="preserve">1855</w:t>
            </w:r>
          </w:p>
        </w:tc>
        <w:tc>
          <w:tcPr/>
          <w:p>
            <w:pPr>
              <w:pStyle w:val="Compact"/>
              <w:jc w:val="left"/>
            </w:pPr>
            <w:r>
              <w:t xml:space="preserve">1s</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XIII</w:t>
            </w:r>
          </w:p>
        </w:tc>
        <w:tc>
          <w:tcPr/>
          <w:p>
            <w:pPr>
              <w:pStyle w:val="Compact"/>
              <w:jc w:val="left"/>
            </w:pPr>
            <w:r>
              <w:t xml:space="preserve">Iviron</w:t>
            </w:r>
          </w:p>
        </w:tc>
        <w:tc>
          <w:tcPr/>
          <w:p>
            <w:pPr>
              <w:pStyle w:val="Compact"/>
              <w:jc w:val="center"/>
            </w:pPr>
            <w:r>
              <w:t xml:space="preserve">ap</w:t>
            </w:r>
          </w:p>
        </w:tc>
      </w:tr>
      <w:tr>
        <w:tc>
          <w:tcPr/>
          <w:p>
            <w:pPr>
              <w:pStyle w:val="Compact"/>
              <w:jc w:val="right"/>
            </w:pPr>
            <w:r>
              <w:t xml:space="preserve">1856</w:t>
            </w:r>
          </w:p>
        </w:tc>
        <w:tc>
          <w:tcPr/>
          <w:p>
            <w:pPr>
              <w:pStyle w:val="Compact"/>
              <w:jc w:val="left"/>
            </w:pPr>
            <w:r>
              <w:t xml:space="preserve">6x, 1y, 2/, 6s, 1h</w:t>
            </w:r>
          </w:p>
        </w:tc>
        <w:tc>
          <w:tcPr/>
          <w:p>
            <w:pPr>
              <w:pStyle w:val="Compact"/>
              <w:jc w:val="right"/>
            </w:pPr>
            <w:r>
              <w:t xml:space="preserve">16</w:t>
            </w:r>
          </w:p>
        </w:tc>
        <w:tc>
          <w:tcPr/>
          <w:p>
            <w:pPr>
              <w:pStyle w:val="Compact"/>
              <w:jc w:val="right"/>
            </w:pPr>
            <w:r>
              <w:t xml:space="preserve">9</w:t>
            </w:r>
          </w:p>
        </w:tc>
        <w:tc>
          <w:tcPr/>
          <w:p>
            <w:pPr>
              <w:pStyle w:val="Compact"/>
              <w:jc w:val="center"/>
            </w:pPr>
            <w:r>
              <w:t xml:space="preserve">XIV</w:t>
            </w:r>
          </w:p>
        </w:tc>
        <w:tc>
          <w:tcPr/>
          <w:p>
            <w:pPr>
              <w:pStyle w:val="Compact"/>
              <w:jc w:val="left"/>
            </w:pPr>
            <w:r>
              <w:t xml:space="preserve">Iviron</w:t>
            </w:r>
          </w:p>
        </w:tc>
        <w:tc>
          <w:tcPr/>
          <w:p>
            <w:pPr>
              <w:pStyle w:val="Compact"/>
              <w:jc w:val="center"/>
            </w:pPr>
            <w:r>
              <w:t xml:space="preserve">ap</w:t>
            </w:r>
          </w:p>
        </w:tc>
      </w:tr>
      <w:tr>
        <w:tc>
          <w:tcPr/>
          <w:p>
            <w:pPr>
              <w:pStyle w:val="Compact"/>
              <w:jc w:val="right"/>
            </w:pPr>
            <w:r>
              <w:t xml:space="preserve">1858</w:t>
            </w:r>
          </w:p>
        </w:tc>
        <w:tc>
          <w:tcPr/>
          <w:p>
            <w:pPr>
              <w:pStyle w:val="Compact"/>
              <w:jc w:val="left"/>
            </w:pPr>
            <w:r>
              <w:t xml:space="preserve">1y, 1/, 1s, 1i</w:t>
            </w:r>
          </w:p>
        </w:tc>
        <w:tc>
          <w:tcPr/>
          <w:p>
            <w:pPr>
              <w:pStyle w:val="Compact"/>
              <w:jc w:val="right"/>
            </w:pPr>
            <w:r>
              <w:t xml:space="preserve">4</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Konstamonitu</w:t>
            </w:r>
          </w:p>
        </w:tc>
        <w:tc>
          <w:tcPr/>
          <w:p>
            <w:pPr>
              <w:pStyle w:val="Compact"/>
              <w:jc w:val="center"/>
            </w:pPr>
            <w:r>
              <w:t xml:space="preserve">ap</w:t>
            </w:r>
          </w:p>
        </w:tc>
      </w:tr>
      <w:tr>
        <w:tc>
          <w:tcPr/>
          <w:p>
            <w:pPr>
              <w:pStyle w:val="Compact"/>
              <w:jc w:val="right"/>
            </w:pPr>
            <w:r>
              <w:t xml:space="preserve">1864</w:t>
            </w:r>
          </w:p>
        </w:tc>
        <w:tc>
          <w:tcPr/>
          <w:p>
            <w:pPr>
              <w:pStyle w:val="Compact"/>
              <w:jc w:val="left"/>
            </w:pPr>
            <w:r>
              <w:t xml:space="preserve">1y, 1/</w:t>
            </w:r>
          </w:p>
        </w:tc>
        <w:tc>
          <w:tcPr/>
          <w:p>
            <w:pPr>
              <w:pStyle w:val="Compact"/>
              <w:jc w:val="right"/>
            </w:pPr>
            <w:r>
              <w:t xml:space="preserve">2</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Stavronikita</w:t>
            </w:r>
          </w:p>
        </w:tc>
        <w:tc>
          <w:tcPr/>
          <w:p>
            <w:pPr>
              <w:pStyle w:val="Compact"/>
              <w:jc w:val="center"/>
            </w:pPr>
            <w:r>
              <w:t xml:space="preserve">apr</w:t>
            </w:r>
          </w:p>
        </w:tc>
      </w:tr>
      <w:tr>
        <w:tc>
          <w:tcPr/>
          <w:p>
            <w:pPr>
              <w:pStyle w:val="Compact"/>
              <w:jc w:val="right"/>
            </w:pPr>
            <w:r>
              <w:t xml:space="preserve">1865</w:t>
            </w:r>
          </w:p>
        </w:tc>
        <w:tc>
          <w:tcPr/>
          <w:p>
            <w:pPr>
              <w:pStyle w:val="Compact"/>
              <w:jc w:val="left"/>
            </w:pPr>
            <w:r>
              <w:t xml:space="preserve">1s</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XIII</w:t>
            </w:r>
          </w:p>
        </w:tc>
        <w:tc>
          <w:tcPr/>
          <w:p>
            <w:pPr>
              <w:pStyle w:val="Compact"/>
              <w:jc w:val="left"/>
            </w:pPr>
            <w:r>
              <w:t xml:space="preserve">Filotheu</w:t>
            </w:r>
          </w:p>
        </w:tc>
        <w:tc>
          <w:tcPr/>
          <w:p>
            <w:pPr>
              <w:pStyle w:val="Compact"/>
              <w:jc w:val="center"/>
            </w:pPr>
            <w:r>
              <w:t xml:space="preserve">apr</w:t>
            </w:r>
          </w:p>
        </w:tc>
      </w:tr>
      <w:tr>
        <w:tc>
          <w:tcPr/>
          <w:p>
            <w:pPr>
              <w:pStyle w:val="Compact"/>
              <w:jc w:val="right"/>
            </w:pPr>
            <w:r>
              <w:t xml:space="preserve">1876</w:t>
            </w:r>
          </w:p>
        </w:tc>
        <w:tc>
          <w:tcPr/>
          <w:p>
            <w:pPr>
              <w:pStyle w:val="Compact"/>
              <w:jc w:val="left"/>
            </w:pPr>
            <w:r>
              <w:t xml:space="preserve">2x, 2/, 12s, 2h, 5i</w:t>
            </w:r>
          </w:p>
        </w:tc>
        <w:tc>
          <w:tcPr/>
          <w:p>
            <w:pPr>
              <w:pStyle w:val="Compact"/>
              <w:jc w:val="right"/>
            </w:pPr>
            <w:r>
              <w:t xml:space="preserve">23</w:t>
            </w:r>
          </w:p>
        </w:tc>
        <w:tc>
          <w:tcPr/>
          <w:p>
            <w:pPr>
              <w:pStyle w:val="Compact"/>
              <w:jc w:val="right"/>
            </w:pPr>
            <w:r>
              <w:t xml:space="preserve">4</w:t>
            </w:r>
          </w:p>
        </w:tc>
        <w:tc>
          <w:tcPr/>
          <w:p>
            <w:pPr>
              <w:pStyle w:val="Compact"/>
              <w:jc w:val="center"/>
            </w:pPr>
            <w:r>
              <w:t xml:space="preserve">XV</w:t>
            </w:r>
          </w:p>
        </w:tc>
        <w:tc>
          <w:tcPr/>
          <w:p>
            <w:pPr>
              <w:pStyle w:val="Compact"/>
              <w:jc w:val="left"/>
            </w:pPr>
            <w:r>
              <w:t xml:space="preserve">Synaj</w:t>
            </w:r>
          </w:p>
        </w:tc>
        <w:tc>
          <w:tcPr/>
          <w:p>
            <w:pPr>
              <w:pStyle w:val="Compact"/>
              <w:jc w:val="center"/>
            </w:pPr>
            <w:r>
              <w:t xml:space="preserve">apr</w:t>
            </w:r>
          </w:p>
        </w:tc>
      </w:tr>
      <w:tr>
        <w:tc>
          <w:tcPr/>
          <w:p>
            <w:pPr>
              <w:pStyle w:val="Compact"/>
              <w:jc w:val="right"/>
            </w:pPr>
            <w:r>
              <w:t xml:space="preserve">1892</w:t>
            </w:r>
          </w:p>
        </w:tc>
        <w:tc>
          <w:tcPr/>
          <w:p>
            <w:pPr>
              <w:pStyle w:val="Compact"/>
              <w:jc w:val="left"/>
            </w:pPr>
            <w:r>
              <w:t xml:space="preserve">3y, 2/, 1c, 12s, 1h, 2i</w:t>
            </w:r>
          </w:p>
        </w:tc>
        <w:tc>
          <w:tcPr/>
          <w:p>
            <w:pPr>
              <w:pStyle w:val="Compact"/>
              <w:jc w:val="right"/>
            </w:pPr>
            <w:r>
              <w:t xml:space="preserve">21</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Jerozolima</w:t>
            </w:r>
          </w:p>
        </w:tc>
        <w:tc>
          <w:tcPr/>
          <w:p>
            <w:pPr>
              <w:pStyle w:val="Compact"/>
              <w:jc w:val="center"/>
            </w:pPr>
            <w:r>
              <w:t xml:space="preserve">ap</w:t>
            </w:r>
          </w:p>
        </w:tc>
      </w:tr>
      <w:tr>
        <w:tc>
          <w:tcPr/>
          <w:p>
            <w:pPr>
              <w:pStyle w:val="Compact"/>
              <w:jc w:val="right"/>
            </w:pPr>
            <w:r>
              <w:t xml:space="preserve">1897</w:t>
            </w:r>
          </w:p>
        </w:tc>
        <w:tc>
          <w:tcPr/>
          <w:p>
            <w:pPr>
              <w:pStyle w:val="Compact"/>
              <w:jc w:val="left"/>
            </w:pPr>
            <w:r>
              <w:t xml:space="preserve">1/, 4s, 2h, 1i</w:t>
            </w:r>
            <w:r>
              <w:rPr>
                <w:rStyle w:val="FootnoteReference"/>
              </w:rPr>
              <w:footnoteReference w:id="287"/>
            </w:r>
          </w:p>
        </w:tc>
        <w:tc>
          <w:tcPr/>
          <w:p>
            <w:pPr>
              <w:pStyle w:val="Compact"/>
              <w:jc w:val="right"/>
            </w:pPr>
            <w:r>
              <w:t xml:space="preserve">8</w:t>
            </w:r>
          </w:p>
        </w:tc>
        <w:tc>
          <w:tcPr/>
          <w:p>
            <w:pPr>
              <w:pStyle w:val="Compact"/>
              <w:jc w:val="right"/>
            </w:pPr>
            <w:r>
              <w:t xml:space="preserve">1</w:t>
            </w:r>
          </w:p>
        </w:tc>
        <w:tc>
          <w:tcPr/>
          <w:p>
            <w:pPr>
              <w:pStyle w:val="Compact"/>
              <w:jc w:val="center"/>
            </w:pPr>
            <w:r>
              <w:t xml:space="preserve">XII</w:t>
            </w:r>
          </w:p>
        </w:tc>
        <w:tc>
          <w:tcPr/>
          <w:p>
            <w:pPr>
              <w:pStyle w:val="Compact"/>
              <w:jc w:val="left"/>
            </w:pPr>
            <w:r>
              <w:t xml:space="preserve">Jerozolima</w:t>
            </w:r>
          </w:p>
        </w:tc>
        <w:tc>
          <w:tcPr/>
          <w:p>
            <w:pPr>
              <w:pStyle w:val="Compact"/>
              <w:jc w:val="center"/>
            </w:pPr>
            <w:r>
              <w:t xml:space="preserve">ap</w:t>
            </w:r>
          </w:p>
        </w:tc>
      </w:tr>
      <w:tr>
        <w:tc>
          <w:tcPr/>
          <w:p>
            <w:pPr>
              <w:pStyle w:val="Compact"/>
              <w:jc w:val="right"/>
            </w:pPr>
            <w:r>
              <w:t xml:space="preserve">2466</w:t>
            </w:r>
          </w:p>
        </w:tc>
        <w:tc>
          <w:tcPr/>
          <w:p>
            <w:pPr>
              <w:pStyle w:val="Compact"/>
              <w:jc w:val="left"/>
            </w:pPr>
            <w:r>
              <w:t xml:space="preserve">2c, 11s, 2i</w:t>
            </w:r>
          </w:p>
        </w:tc>
        <w:tc>
          <w:tcPr/>
          <w:p>
            <w:pPr>
              <w:pStyle w:val="Compact"/>
              <w:jc w:val="right"/>
            </w:pPr>
            <w:r>
              <w:t xml:space="preserve">15</w:t>
            </w:r>
          </w:p>
        </w:tc>
        <w:tc>
          <w:tcPr/>
          <w:p>
            <w:pPr>
              <w:pStyle w:val="Compact"/>
              <w:jc w:val="right"/>
            </w:pPr>
            <w:r>
              <w:t xml:space="preserve">---</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eap</w:t>
            </w:r>
          </w:p>
        </w:tc>
      </w:tr>
      <w:tr>
        <w:tc>
          <w:tcPr/>
          <w:p>
            <w:pPr>
              <w:pStyle w:val="Compact"/>
              <w:jc w:val="right"/>
            </w:pPr>
            <w:r>
              <w:t xml:space="preserve">2554</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eapr</w:t>
            </w:r>
          </w:p>
        </w:tc>
      </w:tr>
      <w:tr>
        <w:tc>
          <w:tcPr/>
          <w:p>
            <w:pPr>
              <w:pStyle w:val="Compact"/>
              <w:jc w:val="right"/>
            </w:pPr>
            <w:r>
              <w:t xml:space="preserve">2587</w:t>
            </w:r>
          </w:p>
        </w:tc>
        <w:tc>
          <w:tcPr/>
          <w:p>
            <w:pPr>
              <w:pStyle w:val="Compact"/>
              <w:jc w:val="left"/>
            </w:pPr>
            <w:r>
              <w:t xml:space="preserve">1/, 2s</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w:t>
            </w:r>
          </w:p>
        </w:tc>
        <w:tc>
          <w:tcPr/>
          <w:p>
            <w:pPr>
              <w:pStyle w:val="Compact"/>
              <w:jc w:val="left"/>
            </w:pPr>
            <w:r>
              <w:t xml:space="preserve">Watykan</w:t>
            </w:r>
          </w:p>
        </w:tc>
        <w:tc>
          <w:tcPr/>
          <w:p>
            <w:pPr>
              <w:pStyle w:val="Compact"/>
              <w:jc w:val="center"/>
            </w:pPr>
            <w:r>
              <w:t xml:space="preserve">ap</w:t>
            </w:r>
          </w:p>
        </w:tc>
      </w:tr>
      <w:tr>
        <w:tc>
          <w:tcPr/>
          <w:p>
            <w:pPr>
              <w:pStyle w:val="Compact"/>
              <w:jc w:val="right"/>
            </w:pPr>
            <w:r>
              <w:t xml:space="preserve">2723</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XI</w:t>
            </w:r>
          </w:p>
        </w:tc>
        <w:tc>
          <w:tcPr/>
          <w:p>
            <w:pPr>
              <w:pStyle w:val="Compact"/>
              <w:jc w:val="left"/>
            </w:pPr>
            <w:r>
              <w:t xml:space="preserve">Trikala</w:t>
            </w:r>
          </w:p>
        </w:tc>
        <w:tc>
          <w:tcPr/>
          <w:p>
            <w:pPr>
              <w:pStyle w:val="Compact"/>
              <w:jc w:val="center"/>
            </w:pPr>
            <w:r>
              <w:t xml:space="preserve">apr</w:t>
            </w:r>
          </w:p>
        </w:tc>
      </w:tr>
    </w:tbl>
    <w:p>
      <w:pPr>
        <w:pStyle w:val="BodyText"/>
      </w:pPr>
      <w:r>
        <w:t xml:space="preserve">Patrząc na tabelę, osiemnaście manuskryptów ma średnio tylko jeden wariant na cztery lub więcej rozdziałów — wyjątkowe! (Manuskrypty 1482, 2554 i 2723 są doskonałe w obecnym stanie). Kolejnych dziewięć manuskryptów ma tylko jeden wariant na dwa rozdziały — znakomite. Ponad 70% jest znakomitych lub lepszych. Kolejnych osiem ma tylko jeden wariant na rozdział — dobre. Kolejne dwa mają po dwa warianty na rozdział — dostateczne. Zauważ, że zdecydowanie najgorszy spośród trzydziestu siedmiu przedstawicieli</w:t>
      </w:r>
      <w:r>
        <w:t xml:space="preserve"> </w:t>
      </w:r>
      <w:r>
        <w:rPr>
          <w:bCs/>
          <w:b/>
        </w:rPr>
        <w:t xml:space="preserve">f</w:t>
      </w:r>
      <w:r>
        <w:rPr>
          <w:vertAlign w:val="superscript"/>
          <w:bCs/>
          <w:b/>
        </w:rPr>
        <w:t xml:space="preserve">35</w:t>
      </w:r>
      <w:r>
        <w:t xml:space="preserve"> </w:t>
      </w:r>
      <w:r>
        <w:t xml:space="preserve">(1876, apr, XV, Synaj) jest prawie sześć razy „lepszy” od najlepszego przedstawiciela aleksandryjskiego, Kodeksu Alef. Zatrzymaj się na chwilę i pomyśl o konsekwencjach.</w:t>
      </w:r>
      <w:r>
        <w:t xml:space="preserve"> </w:t>
      </w:r>
      <w:r>
        <w:rPr>
          <w:bCs/>
          <w:b/>
        </w:rPr>
        <w:t xml:space="preserve">Jak jakakolwiek rozsądna osoba może bronić twierdzenia, że aleksandryjski typ tekstu reprezentuje najlepszą linię przekazu?</w:t>
      </w:r>
      <w:r>
        <w:rPr>
          <w:rStyle w:val="FootnoteReference"/>
        </w:rPr>
        <w:footnoteReference w:id="288"/>
      </w:r>
    </w:p>
    <w:bookmarkEnd w:id="289"/>
    <w:bookmarkStart w:id="293" w:name="przypadek-reprezentatywny-1"/>
    <w:p>
      <w:pPr>
        <w:pStyle w:val="Heading4"/>
      </w:pPr>
      <w:r>
        <w:rPr>
          <w:iCs/>
          <w:i/>
        </w:rPr>
        <w:t xml:space="preserve">Przypadek reprezentatywny</w:t>
      </w:r>
    </w:p>
    <w:p>
      <w:pPr>
        <w:pStyle w:val="FirstParagraph"/>
      </w:pPr>
      <w:r>
        <w:t xml:space="preserve">W akapicie otwierającym stwierdziłem, że warianty można oceniać. Wezmę teraz jednego z zaledwie dwóch „dostatecznych” przedstawicieli</w:t>
      </w:r>
      <w:r>
        <w:t xml:space="preserve"> </w:t>
      </w:r>
      <w:r>
        <w:rPr>
          <w:bCs/>
          <w:b/>
        </w:rPr>
        <w:t xml:space="preserve">f</w:t>
      </w:r>
      <w:r>
        <w:rPr>
          <w:vertAlign w:val="superscript"/>
          <w:bCs/>
          <w:b/>
        </w:rPr>
        <w:t xml:space="preserve">35</w:t>
      </w:r>
      <w:r>
        <w:t xml:space="preserve"> </w:t>
      </w:r>
      <w:r>
        <w:t xml:space="preserve">— manuskrypt 1892, ap, XIV, Jerozolima — wymienię jego warianty i je ocenię.</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Miejsce</w:t>
            </w:r>
          </w:p>
        </w:tc>
        <w:tc>
          <w:tcPr/>
          <w:p>
            <w:pPr>
              <w:pStyle w:val="Compact"/>
              <w:jc w:val="left"/>
            </w:pPr>
            <w:r>
              <w:t xml:space="preserve">Odczyt i ocena</w:t>
            </w:r>
          </w:p>
        </w:tc>
      </w:tr>
      <w:tr>
        <w:tc>
          <w:tcPr/>
          <w:p>
            <w:pPr>
              <w:pStyle w:val="Compact"/>
              <w:jc w:val="center"/>
            </w:pPr>
            <w:r>
              <w:t xml:space="preserve">1,6</w:t>
            </w:r>
          </w:p>
        </w:tc>
        <w:tc>
          <w:tcPr/>
          <w:p>
            <w:pPr>
              <w:pStyle w:val="Compact"/>
              <w:jc w:val="left"/>
            </w:pPr>
            <w:r>
              <w:t xml:space="preserve">ημων 1892</w:t>
            </w:r>
            <w:r>
              <w:rPr>
                <w:vertAlign w:val="superscript"/>
              </w:rPr>
              <w:t xml:space="preserve">c</w:t>
            </w:r>
            <w:r>
              <w:t xml:space="preserve"> </w:t>
            </w:r>
            <w:r>
              <w:t xml:space="preserve">|| --- 1892 (przypadkowe pominięcie, które poprawiono)</w:t>
            </w:r>
          </w:p>
        </w:tc>
      </w:tr>
      <w:tr>
        <w:tc>
          <w:tcPr/>
          <w:p>
            <w:pPr>
              <w:pStyle w:val="Compact"/>
              <w:jc w:val="center"/>
            </w:pPr>
            <w:r>
              <w:t xml:space="preserve">2,5</w:t>
            </w:r>
          </w:p>
        </w:tc>
        <w:tc>
          <w:tcPr/>
          <w:p>
            <w:pPr>
              <w:pStyle w:val="Compact"/>
              <w:jc w:val="left"/>
            </w:pPr>
            <w:r>
              <w:t xml:space="preserve">του || --- (grupa 1) 1892 (ponieważ przypadkiem jest dopełniacz, znaczenie nie zostaje naruszone)</w:t>
            </w:r>
          </w:p>
        </w:tc>
      </w:tr>
      <w:tr>
        <w:tc>
          <w:tcPr/>
          <w:p>
            <w:pPr>
              <w:pStyle w:val="Compact"/>
              <w:jc w:val="center"/>
            </w:pPr>
            <w:r>
              <w:t xml:space="preserve">4,21</w:t>
            </w:r>
          </w:p>
        </w:tc>
        <w:tc>
          <w:tcPr/>
          <w:p>
            <w:pPr>
              <w:pStyle w:val="Compact"/>
              <w:jc w:val="left"/>
            </w:pPr>
            <w:r>
              <w:t xml:space="preserve">πληροφορηθεις || πληρωφορηθεις 1892 (itacyzm powodujący błąd pisowni, obie formy wymawiano tak samo)</w:t>
            </w:r>
          </w:p>
        </w:tc>
      </w:tr>
      <w:tr>
        <w:tc>
          <w:tcPr/>
          <w:p>
            <w:pPr>
              <w:pStyle w:val="Compact"/>
              <w:jc w:val="center"/>
            </w:pPr>
            <w:r>
              <w:t xml:space="preserve">5,11</w:t>
            </w:r>
          </w:p>
        </w:tc>
        <w:tc>
          <w:tcPr/>
          <w:p>
            <w:pPr>
              <w:pStyle w:val="Compact"/>
              <w:jc w:val="left"/>
            </w:pPr>
            <w:r>
              <w:t xml:space="preserve">νυν || --- 1892 (niestaranna omyłka, która nie zmienia podstawowego znaczenia)</w:t>
            </w:r>
          </w:p>
        </w:tc>
      </w:tr>
      <w:tr>
        <w:tc>
          <w:tcPr/>
          <w:p>
            <w:pPr>
              <w:pStyle w:val="Compact"/>
              <w:jc w:val="center"/>
            </w:pPr>
            <w:r>
              <w:t xml:space="preserve">5,13</w:t>
            </w:r>
          </w:p>
        </w:tc>
        <w:tc>
          <w:tcPr/>
          <w:p>
            <w:pPr>
              <w:pStyle w:val="Compact"/>
              <w:jc w:val="left"/>
            </w:pPr>
            <w:r>
              <w:t xml:space="preserve">ελλογειται || ελλογειτο 1892 (czy kopista próbował zmienić czas teraźniejszy na imperfekt? Znaczenie nie zostaje zmienione)</w:t>
            </w:r>
          </w:p>
        </w:tc>
      </w:tr>
      <w:tr>
        <w:tc>
          <w:tcPr/>
          <w:p>
            <w:pPr>
              <w:pStyle w:val="Compact"/>
              <w:jc w:val="center"/>
            </w:pPr>
            <w:r>
              <w:t xml:space="preserve">9,15</w:t>
            </w:r>
          </w:p>
        </w:tc>
        <w:tc>
          <w:tcPr/>
          <w:p>
            <w:pPr>
              <w:pStyle w:val="Compact"/>
              <w:jc w:val="left"/>
            </w:pPr>
            <w:r>
              <w:t xml:space="preserve">μωυση || μωυσει 1892 (jedynie alternatywna pisownia imienia własnego)</w:t>
            </w:r>
          </w:p>
        </w:tc>
      </w:tr>
      <w:tr>
        <w:tc>
          <w:tcPr/>
          <w:p>
            <w:pPr>
              <w:pStyle w:val="Compact"/>
              <w:jc w:val="center"/>
            </w:pPr>
            <w:r>
              <w:t xml:space="preserve">9,27</w:t>
            </w:r>
          </w:p>
        </w:tc>
        <w:tc>
          <w:tcPr/>
          <w:p>
            <w:pPr>
              <w:pStyle w:val="Compact"/>
              <w:jc w:val="left"/>
            </w:pPr>
            <w:r>
              <w:t xml:space="preserve">ως η || ωσει 1892 (itacyzm powodujący błąd pisowni, obie formy wymawiano tak samo)</w:t>
            </w:r>
          </w:p>
        </w:tc>
      </w:tr>
      <w:tr>
        <w:tc>
          <w:tcPr/>
          <w:p>
            <w:pPr>
              <w:pStyle w:val="Compact"/>
              <w:jc w:val="center"/>
            </w:pPr>
            <w:r>
              <w:t xml:space="preserve">12,8</w:t>
            </w:r>
          </w:p>
        </w:tc>
        <w:tc>
          <w:tcPr/>
          <w:p>
            <w:pPr>
              <w:pStyle w:val="Compact"/>
              <w:jc w:val="left"/>
            </w:pPr>
            <w:r>
              <w:t xml:space="preserve">1892 uzupełnia na marginesie ο μεταδιδους εν απλοτητι (wyraźny przypadek homoioarktonu lub homoioteleutonu)</w:t>
            </w:r>
          </w:p>
        </w:tc>
      </w:tr>
      <w:tr>
        <w:tc>
          <w:tcPr/>
          <w:p>
            <w:pPr>
              <w:pStyle w:val="Compact"/>
              <w:jc w:val="center"/>
            </w:pPr>
            <w:r>
              <w:t xml:space="preserve">13,11</w:t>
            </w:r>
          </w:p>
        </w:tc>
        <w:tc>
          <w:tcPr/>
          <w:p>
            <w:pPr>
              <w:pStyle w:val="Compact"/>
              <w:jc w:val="left"/>
            </w:pPr>
            <w:r>
              <w:t xml:space="preserve">γαρ || --- 1892 (niestaranna omyłka, która nie zmienia podstawowego znaczenia)</w:t>
            </w:r>
          </w:p>
        </w:tc>
      </w:tr>
      <w:tr>
        <w:tc>
          <w:tcPr/>
          <w:p>
            <w:pPr>
              <w:pStyle w:val="Compact"/>
              <w:jc w:val="center"/>
            </w:pPr>
            <w:r>
              <w:t xml:space="preserve">14,8</w:t>
            </w:r>
          </w:p>
        </w:tc>
        <w:tc>
          <w:tcPr/>
          <w:p>
            <w:pPr>
              <w:pStyle w:val="Compact"/>
              <w:jc w:val="left"/>
            </w:pPr>
            <w:r>
              <w:t xml:space="preserve">αποθνησκομεν || αποθνησκωμεν 1725, 1876, 1892 (itacyzm zmieniający tryb oznajmujący na łączący, co w kontekście powoduje niewielką różnicę, obie formy wymawiano tak samo, dwa pozostałe manuskrypty nie należą do grupy 1, jest to więc zmiana niezależna)</w:t>
            </w:r>
          </w:p>
        </w:tc>
      </w:tr>
      <w:tr>
        <w:tc>
          <w:tcPr/>
          <w:p>
            <w:pPr>
              <w:pStyle w:val="Compact"/>
              <w:jc w:val="center"/>
            </w:pPr>
            <w:r>
              <w:t xml:space="preserve">14,15</w:t>
            </w:r>
          </w:p>
        </w:tc>
        <w:tc>
          <w:tcPr/>
          <w:p>
            <w:pPr>
              <w:pStyle w:val="Compact"/>
              <w:jc w:val="left"/>
            </w:pPr>
            <w:r>
              <w:t xml:space="preserve">χριστος || 1 δωρεαν 1892 (zbędny dodatek, który powoduje niewielką różnicę)</w:t>
            </w:r>
          </w:p>
        </w:tc>
      </w:tr>
      <w:tr>
        <w:tc>
          <w:tcPr/>
          <w:p>
            <w:pPr>
              <w:pStyle w:val="Compact"/>
              <w:jc w:val="center"/>
            </w:pPr>
            <w:r>
              <w:t xml:space="preserve">15,7</w:t>
            </w:r>
          </w:p>
        </w:tc>
        <w:tc>
          <w:tcPr/>
          <w:p>
            <w:pPr>
              <w:pStyle w:val="Compact"/>
              <w:jc w:val="left"/>
            </w:pPr>
            <w:r>
              <w:t xml:space="preserve">αλληλους || αλληλοις 1892 (najwyraźniej — pracując z czarno-białego filmu, trudno mieć pewność, zmienia biernik na celownik, lecz nie zmienia znaczenia)</w:t>
            </w:r>
          </w:p>
        </w:tc>
      </w:tr>
      <w:tr>
        <w:tc>
          <w:tcPr/>
          <w:p>
            <w:pPr>
              <w:pStyle w:val="Compact"/>
              <w:jc w:val="center"/>
            </w:pPr>
            <w:r>
              <w:t xml:space="preserve">15,9</w:t>
            </w:r>
          </w:p>
        </w:tc>
        <w:tc>
          <w:tcPr/>
          <w:p>
            <w:pPr>
              <w:pStyle w:val="Compact"/>
              <w:jc w:val="left"/>
            </w:pPr>
            <w:r>
              <w:t xml:space="preserve">ψαλω || ψαλλω 1892 (prawdopodobnie niestaranna zmiana, lecz zmienia czas przyszły na teraźniejszy, co powoduje niewielką różnicę znaczeniową, obie formy wymawiano tak samo)</w:t>
            </w:r>
          </w:p>
        </w:tc>
      </w:tr>
      <w:tr>
        <w:tc>
          <w:tcPr/>
          <w:p>
            <w:pPr>
              <w:pStyle w:val="Compact"/>
              <w:jc w:val="center"/>
            </w:pPr>
            <w:r>
              <w:t xml:space="preserve">15,13</w:t>
            </w:r>
          </w:p>
        </w:tc>
        <w:tc>
          <w:tcPr/>
          <w:p>
            <w:pPr>
              <w:pStyle w:val="Compact"/>
              <w:jc w:val="left"/>
            </w:pPr>
            <w:r>
              <w:t xml:space="preserve">περισσευειν || περησσευειν 1892 (najwyraźniej — pracując z czarno-białego filmu, trudno mieć pewność, itacyzm powodujący błąd pisowni, obie formy wymawiano tak samo)</w:t>
            </w:r>
          </w:p>
        </w:tc>
      </w:tr>
      <w:tr>
        <w:tc>
          <w:tcPr/>
          <w:p>
            <w:pPr>
              <w:pStyle w:val="Compact"/>
              <w:jc w:val="center"/>
            </w:pPr>
            <w:r>
              <w:t xml:space="preserve">15,29</w:t>
            </w:r>
          </w:p>
        </w:tc>
        <w:tc>
          <w:tcPr/>
          <w:p>
            <w:pPr>
              <w:pStyle w:val="Compact"/>
              <w:jc w:val="left"/>
            </w:pPr>
            <w:r>
              <w:t xml:space="preserve">του χριστου || της ειρηνης 1892 (być może egzemplarz był uszkodzony, w kontekście zmiana powoduje niewielką różnicę)</w:t>
            </w:r>
          </w:p>
        </w:tc>
      </w:tr>
      <w:tr>
        <w:tc>
          <w:tcPr/>
          <w:p>
            <w:pPr>
              <w:pStyle w:val="Compact"/>
              <w:jc w:val="center"/>
            </w:pPr>
            <w:r>
              <w:t xml:space="preserve">15,30</w:t>
            </w:r>
          </w:p>
        </w:tc>
        <w:tc>
          <w:tcPr/>
          <w:p>
            <w:pPr>
              <w:pStyle w:val="Compact"/>
              <w:jc w:val="left"/>
            </w:pPr>
            <w:r>
              <w:t xml:space="preserve">συναγωνισασθαι || συναγωνισασθε 141, 1892 (zmienia tryb oznajmujący na łączący, lecz oba mają ten sam skutek, są dwoma sposobami powiedzenia tego samego, drugi manuskrypt nie należy do grupy 1, jest to więc zmiana niezależna)</w:t>
            </w:r>
          </w:p>
        </w:tc>
      </w:tr>
      <w:tr>
        <w:tc>
          <w:tcPr/>
          <w:p>
            <w:pPr>
              <w:pStyle w:val="Compact"/>
              <w:jc w:val="center"/>
            </w:pPr>
            <w:r>
              <w:t xml:space="preserve">16,2</w:t>
            </w:r>
          </w:p>
        </w:tc>
        <w:tc>
          <w:tcPr/>
          <w:p>
            <w:pPr>
              <w:pStyle w:val="Compact"/>
              <w:jc w:val="left"/>
            </w:pPr>
            <w:r>
              <w:t xml:space="preserve">και γαρ || 121 1892 (niestaranna repetycja spójnika współrzędnego, która nie zmienia znaczenia)</w:t>
            </w:r>
          </w:p>
        </w:tc>
      </w:tr>
      <w:tr>
        <w:tc>
          <w:tcPr/>
          <w:p>
            <w:pPr>
              <w:pStyle w:val="Compact"/>
              <w:jc w:val="center"/>
            </w:pPr>
            <w:r>
              <w:t xml:space="preserve">16,3</w:t>
            </w:r>
          </w:p>
        </w:tc>
        <w:tc>
          <w:tcPr/>
          <w:p>
            <w:pPr>
              <w:pStyle w:val="Compact"/>
              <w:jc w:val="left"/>
            </w:pPr>
            <w:r>
              <w:t xml:space="preserve">πρισκαν || πρισκιλλαν (30%) 394, 1249</w:t>
            </w:r>
            <w:r>
              <w:rPr>
                <w:vertAlign w:val="superscript"/>
              </w:rPr>
              <w:t xml:space="preserve">c</w:t>
            </w:r>
            <w:r>
              <w:t xml:space="preserve">, 1761, 1892 (alternatywne imiona tej samej osoby)</w:t>
            </w:r>
          </w:p>
        </w:tc>
      </w:tr>
      <w:tr>
        <w:tc>
          <w:tcPr/>
          <w:p>
            <w:pPr>
              <w:pStyle w:val="Compact"/>
              <w:jc w:val="center"/>
            </w:pPr>
            <w:r>
              <w:t xml:space="preserve">16,6</w:t>
            </w:r>
          </w:p>
        </w:tc>
        <w:tc>
          <w:tcPr/>
          <w:p>
            <w:pPr>
              <w:pStyle w:val="Compact"/>
              <w:jc w:val="left"/>
            </w:pPr>
            <w:r>
              <w:t xml:space="preserve">υμας || ημας (75,5%) 394, 1732, 1761, 1892 (zmiana, która zdominowała ogólny przekaz, w kontekście powoduje niewielką różnicę)</w:t>
            </w:r>
          </w:p>
        </w:tc>
      </w:tr>
      <w:tr>
        <w:tc>
          <w:tcPr/>
          <w:p>
            <w:pPr>
              <w:pStyle w:val="Compact"/>
              <w:jc w:val="center"/>
            </w:pPr>
            <w:r>
              <w:t xml:space="preserve">16,20</w:t>
            </w:r>
          </w:p>
        </w:tc>
        <w:tc>
          <w:tcPr/>
          <w:p>
            <w:pPr>
              <w:pStyle w:val="Compact"/>
              <w:jc w:val="left"/>
            </w:pPr>
            <w:r>
              <w:t xml:space="preserve">συντριψει || συντριψοι 1652</w:t>
            </w:r>
            <w:r>
              <w:rPr>
                <w:vertAlign w:val="superscript"/>
              </w:rPr>
              <w:t xml:space="preserve">alt</w:t>
            </w:r>
            <w:r>
              <w:t xml:space="preserve">, 1892 (zmiana z czasu przyszłego w trybie oznajmującym na tryb życzący, która osłabia siłę czasownika)</w:t>
            </w:r>
          </w:p>
        </w:tc>
      </w:tr>
      <w:tr>
        <w:tc>
          <w:tcPr/>
          <w:p>
            <w:pPr>
              <w:pStyle w:val="Compact"/>
              <w:jc w:val="center"/>
            </w:pPr>
            <w:r>
              <w:t xml:space="preserve">16,24</w:t>
            </w:r>
          </w:p>
        </w:tc>
        <w:tc>
          <w:tcPr/>
          <w:p>
            <w:pPr>
              <w:pStyle w:val="Compact"/>
              <w:jc w:val="left"/>
            </w:pPr>
            <w:r>
              <w:t xml:space="preserve">ημων || υμων (82%) (grupa 1)+ 1892 (zmiana, która zdominowała ogólny przekaz i byłaby dokonana niemal automatycznie, gdyby kopista nie zauważył, że mówi Tercjusz, w kontekście powoduje niewielką różnicę)</w:t>
            </w:r>
          </w:p>
        </w:tc>
      </w:tr>
    </w:tbl>
    <w:p>
      <w:pPr>
        <w:pStyle w:val="BodyText"/>
      </w:pPr>
      <w:r>
        <w:t xml:space="preserve">Z wyjątkiem pięciu przypadków wszędzie chodzi tylko o jedną literę lub sylabę i nigdzie znaczenie nie zostaje poważnie naruszone.</w:t>
      </w:r>
      <w:r>
        <w:rPr>
          <w:rStyle w:val="FootnoteReference"/>
        </w:rPr>
        <w:footnoteReference w:id="290"/>
      </w:r>
      <w:r>
        <w:t xml:space="preserve"> </w:t>
      </w:r>
      <w:r>
        <w:rPr>
          <w:bCs/>
          <w:b/>
        </w:rPr>
        <w:t xml:space="preserve">Ktoś czytający manuskrypt 1892 nie zostałby w żadnym miejscu księgi wprowadzony w błąd co do zamierzonego znaczenia</w:t>
      </w:r>
      <w:r>
        <w:t xml:space="preserve">. Twierdzę, że jest to godne uwagi i typowe dla wszystkich manuskryptów</w:t>
      </w:r>
      <w:r>
        <w:t xml:space="preserve"> </w:t>
      </w:r>
      <w:r>
        <w:rPr>
          <w:bCs/>
          <w:b/>
        </w:rPr>
        <w:t xml:space="preserve">f</w:t>
      </w:r>
      <w:r>
        <w:rPr>
          <w:vertAlign w:val="superscript"/>
          <w:bCs/>
          <w:b/>
        </w:rPr>
        <w:t xml:space="preserve">35</w:t>
      </w:r>
      <w:r>
        <w:t xml:space="preserve">.</w:t>
      </w:r>
      <w:r>
        <w:t xml:space="preserve"> </w:t>
      </w:r>
      <w:r>
        <w:rPr>
          <w:u w:val="single"/>
        </w:rPr>
        <w:t xml:space="preserve">Na przestrzeni stuleci przekazu każdy, kto miał dostęp do przedstawiciela</w:t>
      </w:r>
      <w:r>
        <w:rPr>
          <w:u w:val="single"/>
        </w:rPr>
        <w:t xml:space="preserve"> </w:t>
      </w:r>
      <w:r>
        <w:rPr>
          <w:bCs/>
          <w:b/>
          <w:u w:val="single"/>
        </w:rPr>
        <w:t xml:space="preserve">f</w:t>
      </w:r>
      <w:r>
        <w:rPr>
          <w:vertAlign w:val="superscript"/>
          <w:bCs/>
          <w:b/>
          <w:u w:val="single"/>
        </w:rPr>
        <w:t xml:space="preserve">35</w:t>
      </w:r>
      <w:r>
        <w:rPr>
          <w:u w:val="single"/>
        </w:rPr>
        <w:t xml:space="preserve">, mógł znać zamierzone znaczenie Autografu</w:t>
      </w:r>
      <w:r>
        <w:t xml:space="preserve">.</w:t>
      </w:r>
      <w:r>
        <w:rPr>
          <w:rStyle w:val="FootnoteReference"/>
        </w:rPr>
        <w:footnoteReference w:id="291"/>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r>
        <w:rPr>
          <w:rStyle w:val="FootnoteReference"/>
        </w:rPr>
        <w:footnoteReference w:id="292"/>
      </w:r>
    </w:p>
    <w:bookmarkEnd w:id="293"/>
    <w:bookmarkStart w:id="296" w:name="niewiarygodnie-staranny-przekaz-1"/>
    <w:p>
      <w:pPr>
        <w:pStyle w:val="Heading4"/>
      </w:pPr>
      <w:r>
        <w:rPr>
          <w:iCs/>
          <w:i/>
        </w:rPr>
        <w:t xml:space="preserve">Niewiarygodnie staranny przekaz</w:t>
      </w:r>
    </w:p>
    <w:p>
      <w:pPr>
        <w:pStyle w:val="FirstParagraph"/>
      </w:pPr>
      <w:r>
        <w:t xml:space="preserve">Ocenię teraz warianty u osiemnastu „wyjątkowych” przedstawicieli. (Osiemnaście spośród trzydziestu siedmiu to praktycznie połowa).</w:t>
      </w:r>
    </w:p>
    <w:p>
      <w:pPr>
        <w:pStyle w:val="BodyText"/>
      </w:pPr>
      <w:r>
        <w:t xml:space="preserve">Manuskrypty 1482, 2554 i 2723 są doskonałe w obecnym stanie.</w:t>
      </w:r>
    </w:p>
    <w:p>
      <w:pPr>
        <w:pStyle w:val="BodyText"/>
      </w:pPr>
      <w:r>
        <w:t xml:space="preserve">Manuskrypty 1855 i 1865 mają po jednym, zostaną omówione w tej kolejności. Manuskrypt 1855: 13,1 — υπο || 1 του 1855, 1856. Oba manuskrypty są przechowywane w tym samym klasztorze, mogły więc mieć wspólny egzemplarz. Dodają rodzajnik przed „Bogiem”, lecz ponieważ przypadkiem jest dopełniacz, znaczenie nie zostaje naruszone.</w:t>
      </w:r>
    </w:p>
    <w:p>
      <w:pPr>
        <w:pStyle w:val="BodyText"/>
      </w:pPr>
      <w:r>
        <w:t xml:space="preserve">Manuskrypt 1865: 16,18 — ευλογιας || ευλογολογιας 1865 (najwyraźniej — pracując z czarno-białego filmu, trudno mieć pewność). Oczywiście coś poszło tutaj źle, a rezultatem jest nonsens, czytelnik przypuszczalnie dokonałby koniecznej poprawki.</w:t>
      </w:r>
    </w:p>
    <w:p>
      <w:pPr>
        <w:pStyle w:val="BodyText"/>
      </w:pPr>
      <w:r>
        <w:t xml:space="preserve">Manuskrypty 928, 1100 i 1864 mają po dwa, zostaną omówione w tej kolejności. Manuskrypt 928: 11,1 — αβρααμ || 1 εκ 394, 928, 1856. Te trzy manuskrypty należą do grupy 2 i mogą wskazywać na podgrupę. Przyimek jest domyślny, a jego wyrażenie wprost nie zmienia znaczenia, tłumaczenie pozostaje takie samo. 16,19 — ειναι 1249</w:t>
      </w:r>
      <w:r>
        <w:rPr>
          <w:vertAlign w:val="superscript"/>
        </w:rPr>
        <w:t xml:space="preserve">c</w:t>
      </w:r>
      <w:r>
        <w:t xml:space="preserve"> </w:t>
      </w:r>
      <w:r>
        <w:t xml:space="preserve">|| --- 201, 394, 928, 1249, 1856. Wszystkie oprócz 201 należą do grupy 2. Czasownik i tak trzeba domyślnie uzupełnić, znaczenie nie zostaje więc naruszone.</w:t>
      </w:r>
    </w:p>
    <w:p>
      <w:pPr>
        <w:pStyle w:val="BodyText"/>
      </w:pPr>
      <w:r>
        <w:t xml:space="preserve">Manuskrypt 1100: 15,6 — δοξαζητε || δοξαζηται 1100. Zmiana ta jest dość powszechna, najwyraźniej uważano te formy za dwa sposoby powiedzenia tego samego. 16,24 — ημων || υμων (82%) (grupa 1)+ 1100. Manuskrypt 1100 nie należy ani do grupy 1, ani do grupy 2. Jest to zmiana, która zdominowała ogólny przekaz i byłaby dokonana niemal automatycznie, gdyby kopista nie zauważył, że mówi Tercjusz, w kontekście powoduje niewielką różnicę.</w:t>
      </w:r>
    </w:p>
    <w:p>
      <w:pPr>
        <w:pStyle w:val="BodyText"/>
      </w:pPr>
      <w:r>
        <w:t xml:space="preserve">Manuskrypt 1864: 2,5 — του || --- (grupa 1) 1864. Grupa pomija rodzajnik przed „Bogiem”, lecz ponieważ przypadkiem jest dopełniacz, znaczenie nie zostaje naruszone. 16,24 — ημων || υμων (82%) (grupa 1)+ 1864. Manuskrypt 1864 należy do grupy 1. Jest to zmiana, która zdominowała ogólny przekaz i byłaby dokonana niemal automatycznie, gdyby kopista nie zauważył, że mówi Tercjusz, w kontekście powoduje niewielką różnicę.</w:t>
      </w:r>
    </w:p>
    <w:p>
      <w:pPr>
        <w:pStyle w:val="BodyText"/>
      </w:pPr>
      <w:r>
        <w:t xml:space="preserve">Manuskrypty 35, 204, 1503, 1652 i 2587 mają po trzy, zostaną omówione w tej kolejności. Manuskrypt 35: 1,27 — εξεκαυθησαν 35</w:t>
      </w:r>
      <w:r>
        <w:rPr>
          <w:vertAlign w:val="superscript"/>
        </w:rPr>
        <w:t xml:space="preserve">c</w:t>
      </w:r>
      <w:r>
        <w:t xml:space="preserve"> </w:t>
      </w:r>
      <w:r>
        <w:t xml:space="preserve">|| 1 εν (70%) 35. Przyimek jest domyślny, lecz w każdym razie wariant poprawiono. 2,4 — αυτου και της 35</w:t>
      </w:r>
      <w:r>
        <w:rPr>
          <w:vertAlign w:val="superscript"/>
        </w:rPr>
        <w:t xml:space="preserve">c</w:t>
      </w:r>
      <w:r>
        <w:t xml:space="preserve"> </w:t>
      </w:r>
      <w:r>
        <w:t xml:space="preserve">|| --- 35. Może to być przypadek homoioteleutonu, lecz w każdym razie wariant poprawiono. 15,31 — γενηται τοις αγιοις 35</w:t>
      </w:r>
      <w:r>
        <w:rPr>
          <w:vertAlign w:val="superscript"/>
        </w:rPr>
        <w:t xml:space="preserve">c</w:t>
      </w:r>
      <w:r>
        <w:t xml:space="preserve"> </w:t>
      </w:r>
      <w:r>
        <w:t xml:space="preserve">|| ~ 231 (5%) 35, 2466. Zmiana szyku słów nie wpływa na znaczenie, lecz wariant i tak poprawiono. Po uwzględnieniu poprawek manuskrypt ten jest doskonały.</w:t>
      </w:r>
    </w:p>
    <w:p>
      <w:pPr>
        <w:pStyle w:val="BodyText"/>
      </w:pPr>
      <w:r>
        <w:t xml:space="preserve">Manuskrypt 204: 2,25 — σου || 11 204. Słowo powtórzono z jednej strony karty na drugą. Jest to oczywiście niezamierzony błąd, który czytelnik automatycznie by poprawił. 6,8 — πιστευομεν || πιστευωμεν (grupa 2)+ 204. Może to być itacyzm, lecz zmienia tryb oznajmujący na łączący, co nieco osłabia siłę czasownika. Ponieważ manuskrypt 204 nie należy do grupy 2, mogło to być niezależne przeoczenie. 10,15 — ειρηνην των ευαγγελιζομενων || --- 204. Wygląda to na wyraźny przypadek homoioteleutonu, którego nie uważam za właściwy wariant, ponieważ jednak rezultat ma dobry sens, kopista najwyraźniej go nie zauważył (jest to część cytatu ze Starego Testamentu).</w:t>
      </w:r>
    </w:p>
    <w:p>
      <w:pPr>
        <w:pStyle w:val="BodyText"/>
      </w:pPr>
      <w:r>
        <w:t xml:space="preserve">Manuskrypt 1503: 2,5 — του || --- (grupa 1) 1503. Grupa pomija rodzajnik przed „Bogiem”, lecz ponieważ przypadkiem jest dopełniacz, znaczenie nie zostaje naruszone. 11,4 — 1503 powtarza ὁ z jednego wiersza w następnym. Jest to oczywiście niezamierzony błąd, który czytelnik automatycznie by poprawił. 16,24 — ημων || υμων (82%) (grupa 1)+ 1503. Manuskrypt 1503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1652: 1,15 — και || 1 εν 1652. Wygląda to na niestaranny błąd, który czytelnik prawdopodobnie by zignorował. 2,5 — του || --- (grupa 1) 1652. Grupa pomija rodzajnik przed „Bogiem”, lecz ponieważ przypadkiem jest dopełniacz, znaczenie nie zostaje naruszone. 16,24 — ημων || υμων (82%) (grupa 1)+ 1652. Manuskrypt 1652 należy do grupy 1. Jest to zmiana, która zdominowała ogólny przekaz i byłaby dokonana niemal automatycznie, gdyby kopista nie zauważył, że mówi Tercjusz, w kontekście powoduje niewielką różnicę.</w:t>
      </w:r>
    </w:p>
    <w:p>
      <w:pPr>
        <w:pStyle w:val="BodyText"/>
      </w:pPr>
      <w:r>
        <w:t xml:space="preserve">Manuskrypt 2587: 3,20 — δικαιωθησεται || δικαιουται 2587. Zmienia to osobę z liczby mnogiej na pojedynczą oraz czas z przyszłego na teraźniejszy. W kontekście znaczenie nie zostaje zmienione. 6,8 — πιστευομεν || πιστευωμεν (grupa 2)+ 2587. Może to być itacyzm, lecz zmienia tryb oznajmujący na łączący, co nieco osłabia siłę czasownika. 12,2 — μεταμορφουσθε || μεταμορφουσθαι 2587. Zmienia to tryb łączący na oznajmujący, lecz oba mają ten sam skutek, są dwoma sposobami powiedzenia tego samego.</w:t>
      </w:r>
    </w:p>
    <w:p>
      <w:pPr>
        <w:pStyle w:val="BodyText"/>
      </w:pPr>
      <w:r>
        <w:t xml:space="preserve">Manuskrypty 824, 1040, 1249, 1637 i 1858 mają po cztery, zostaną omówione w tej kolejności. Manuskrypt 824: 2,5 — του || --- (grupa 1) 824. Grupa pomija rodzajnik przed „Bogiem”, lecz ponieważ przypadkiem jest dopełniacz, znaczenie nie zostaje naruszone. 11,17 — αγριελαιος || αγριελεος 824. Wygląda to na itacyzm powodujący alternatywną pisownię. 15,14 — αλλους || αλληλους (7%) 824. „Napominajcie jedni drugich” być może wydawało się bardziej naturalne niż „napominajcie innych”, lecz różnica znaczeniowa jest niewielka. 16,24 — ημων || υμων (82%) (grupa 1)+ 824. Manuskrypt 824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1040: 11,17 — πιοτητος || ποιοτητος 1040, 1072</w:t>
      </w:r>
      <w:r>
        <w:rPr>
          <w:vertAlign w:val="superscript"/>
        </w:rPr>
        <w:t xml:space="preserve">c</w:t>
      </w:r>
      <w:r>
        <w:t xml:space="preserve">, 1548. Wygląda to na niestaranny błąd pisowni, ponieważ rezultat nie jest słowem. W kontekście czytelnik dokonałby koniecznej poprawki. 15,2 — ημων || υμων (22%) 1040. O „naturalności” tej zmiany świadczy 22%, lecz w kontekście powoduje niewielką różnicę. 15,7 — ημας || υμας (38%) 757</w:t>
      </w:r>
      <w:r>
        <w:rPr>
          <w:vertAlign w:val="superscript"/>
        </w:rPr>
        <w:t xml:space="preserve">c</w:t>
      </w:r>
      <w:r>
        <w:t xml:space="preserve">, 1040. O „naturalności” tej zmiany również świadczy 38%, lecz w kontekście powoduje niewielką różnicę. 16,24 — ημων || υμων (82%) (grupa 1)+ 1040. Manuskrypt 1040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1249: 2,14 — ποιη || ποιει 1249. Chociaż był to prawdopodobnie itacyzm, zmienia tryb, lecz znaczenie nie zostaje naruszone. 9,12 — τω || το 1249. Wygląda to na kolejny itacyzm, lecz błędnie zmienia przypadek. Czytelnik dokonałby koniecznej poprawki, a ponieważ obie formy wymawia się tak samo, słuchacz zrozumiałby poprawnie. 9,20 — το || τω 1249, 1876. Wygląda to na odwrotny itacyzm, zobacz uwagę wyżej. 16,19 — ειναι 1249</w:t>
      </w:r>
      <w:r>
        <w:rPr>
          <w:vertAlign w:val="superscript"/>
        </w:rPr>
        <w:t xml:space="preserve">c</w:t>
      </w:r>
      <w:r>
        <w:t xml:space="preserve"> </w:t>
      </w:r>
      <w:r>
        <w:t xml:space="preserve">|| --- 201, 394, 928, 1249, 1856. Wszystkie oprócz 201 należą do grupy 2. Czasownik i tak trzeba domyślnie uzupełnić, znaczenie nie zostaje więc naruszone, wariant jednak poprawiono.</w:t>
      </w:r>
    </w:p>
    <w:p>
      <w:pPr>
        <w:pStyle w:val="BodyText"/>
      </w:pPr>
      <w:r>
        <w:t xml:space="preserve">Manuskrypt 1637: 2,5 — του || --- (grupa 1) 1637. Grupa pomija rodzajnik przed „Bogiem”, lecz ponieważ przypadkiem jest dopełniacz, znaczenie nie zostaje naruszone. 15,20 — δε || --- 1637. Wygląda to na niestaranne pominięcie, które nie wpływa na znaczenie. 16,2 — και || 11 1637. Jest to niestaranny błąd, słowo powtórzono z jednego wiersza w następnym. Czytelnik automatycznie by go poprawił. 16,24 — ημων || υμων (82%) (grupa 1)+ 1637. Manuskrypt 1637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1858: 1,25 — κτισει || κτιση 1858. Wygląda to na itacyzm powodujący błąd pisowni, czytelnik dokonałby koniecznej poprawki. 2,15 — κατηγορουντων || κατοιγορουντων 1858. Powtórz poprzednią uwagę. 6,8 — πιστευομεν || πιστευωμεν (grupa 2)+ 1858. Może to być itacyzm, lecz zmienia tryb oznajmujący na łączący, co nieco osłabia siłę czasownika. 8,28 — εις || 1 το (27%) 986, 1732</w:t>
      </w:r>
      <w:r>
        <w:rPr>
          <w:vertAlign w:val="superscript"/>
        </w:rPr>
        <w:t xml:space="preserve">c</w:t>
      </w:r>
      <w:r>
        <w:t xml:space="preserve">, 1858. Rodzajnik nie jest potrzebny, lecz powoduje niewielką różnicę.</w:t>
      </w:r>
    </w:p>
    <w:p>
      <w:pPr>
        <w:pStyle w:val="BodyText"/>
      </w:pPr>
      <w:r>
        <w:t xml:space="preserve">Spośród łącznie czterdziestu trzech wariantów u osiemnastu manuskryptów w całym Liście do Rzymian</w:t>
      </w:r>
      <w:r>
        <w:rPr>
          <w:rStyle w:val="FootnoteReference"/>
        </w:rPr>
        <w:footnoteReference w:id="294"/>
      </w:r>
      <w:r>
        <w:t xml:space="preserve"> </w:t>
      </w:r>
      <w:r>
        <w:t xml:space="preserve">pięć poprawiono, pozostaje więc trzydzieści osiem. Co najmniej dziesięć nie jest właściwymi wariantami, pozostaje więc dwadzieścia osiem. Trzynaście to powtórzenia wspólnego wariantu, pozostaje więc piętnaście.</w:t>
      </w:r>
      <w:r>
        <w:rPr>
          <w:rStyle w:val="FootnoteReference"/>
        </w:rPr>
        <w:footnoteReference w:id="295"/>
      </w:r>
      <w:r>
        <w:t xml:space="preserve"> </w:t>
      </w:r>
      <w:r>
        <w:t xml:space="preserve">Ponad 30 spośród 43 obejmuje jedną literę lub sylabę, jak jest typowe dla wariantów</w:t>
      </w:r>
      <w:r>
        <w:t xml:space="preserve"> </w:t>
      </w:r>
      <w:r>
        <w:rPr>
          <w:bCs/>
          <w:b/>
        </w:rPr>
        <w:t xml:space="preserve">f</w:t>
      </w:r>
      <w:r>
        <w:rPr>
          <w:vertAlign w:val="superscript"/>
          <w:bCs/>
          <w:b/>
        </w:rPr>
        <w:t xml:space="preserve">35</w:t>
      </w:r>
      <w:r>
        <w:t xml:space="preserve">. Żaden nie zmienia znaczenia. To właśnie nazywam</w:t>
      </w:r>
      <w:r>
        <w:t xml:space="preserve"> </w:t>
      </w:r>
      <w:r>
        <w:rPr>
          <w:bCs/>
          <w:b/>
        </w:rPr>
        <w:t xml:space="preserve">niewiarygodnie starannym przekazem</w:t>
      </w:r>
      <w:r>
        <w:t xml:space="preserve">.</w:t>
      </w:r>
    </w:p>
    <w:p>
      <w:pPr>
        <w:pStyle w:val="BodyText"/>
      </w:pPr>
      <w:r>
        <w:t xml:space="preserve">Ośmielam się przewidzieć, że jeśli kiedykolwiek skolacjonowane zostaną wszystkie zachowane manuskrypty, żadna inna linia przekazu nawet nie zbliży się do tego poziomu precyzji, czyli</w:t>
      </w:r>
      <w:r>
        <w:t xml:space="preserve"> </w:t>
      </w:r>
      <w:r>
        <w:rPr>
          <w:u w:val="single"/>
        </w:rPr>
        <w:t xml:space="preserve">współczynnika staranności kopisty</w:t>
      </w:r>
      <w:r>
        <w:t xml:space="preserve">.</w:t>
      </w:r>
    </w:p>
    <w:bookmarkEnd w:id="296"/>
    <w:bookmarkStart w:id="297" w:name="spostrzeżenia-1"/>
    <w:p>
      <w:pPr>
        <w:pStyle w:val="Heading4"/>
      </w:pPr>
      <w:r>
        <w:rPr>
          <w:iCs/>
          <w:i/>
        </w:rPr>
        <w:t xml:space="preserve">Spostrzeżenia</w:t>
      </w:r>
    </w:p>
    <w:p>
      <w:pPr>
        <w:numPr>
          <w:ilvl w:val="0"/>
          <w:numId w:val="1018"/>
        </w:numPr>
      </w:pPr>
      <w:r>
        <w:t xml:space="preserve">Dwie trzecie skolacjonowanych wyżej manuskryptów nie ma wariantów spoza rodziny = brak domieszki. Mnisi wiernie odtwarzali to, co mieli przed sobą.</w:t>
      </w:r>
    </w:p>
    <w:p>
      <w:pPr>
        <w:numPr>
          <w:ilvl w:val="0"/>
          <w:numId w:val="1018"/>
        </w:numPr>
      </w:pPr>
      <w:r>
        <w:t xml:space="preserve">Trzy manuskrypty z XI wieku wyraźnie odzwierciedlają odrębne egzemplarze (które same prawdopodobnie miały odrębne egzemplarze), archetyp z pewnością istniał więc w okresie uncjalnym.</w:t>
      </w:r>
    </w:p>
    <w:p>
      <w:pPr>
        <w:numPr>
          <w:ilvl w:val="0"/>
          <w:numId w:val="1018"/>
        </w:numPr>
      </w:pPr>
      <w:r>
        <w:t xml:space="preserve">Chociaż precyzyjny profil archetypu jest jasny, jasne jest również, że zachowane manuskrypty odzwierciedlają pewną liczbę odrębnych linii przekazu w obrębie rodziny.</w:t>
      </w:r>
    </w:p>
    <w:p>
      <w:pPr>
        <w:numPr>
          <w:ilvl w:val="0"/>
          <w:numId w:val="1018"/>
        </w:numPr>
      </w:pPr>
      <w:r>
        <w:t xml:space="preserve">Każda próba odtworzenia drzewa rodziny będzie wymagała postulowania sporej liczby węzłów pośrednich, które równie dobrze mogą być oddzielone od siebie stuleciami.</w:t>
      </w:r>
    </w:p>
    <w:p>
      <w:pPr>
        <w:numPr>
          <w:ilvl w:val="0"/>
          <w:numId w:val="1018"/>
        </w:numPr>
      </w:pPr>
      <w:r>
        <w:t xml:space="preserve">Wynika z tego, że każde twierdzenie, iż archetyp</w:t>
      </w:r>
      <w:r>
        <w:t xml:space="preserve"> </w:t>
      </w:r>
      <w:r>
        <w:rPr>
          <w:bCs/>
          <w:b/>
        </w:rPr>
        <w:t xml:space="preserve">f</w:t>
      </w:r>
      <w:r>
        <w:rPr>
          <w:vertAlign w:val="superscript"/>
          <w:bCs/>
          <w:b/>
        </w:rPr>
        <w:t xml:space="preserve">35</w:t>
      </w:r>
      <w:r>
        <w:t xml:space="preserve"> </w:t>
      </w:r>
      <w:r>
        <w:t xml:space="preserve">powstał po rozpoczęciu okresu minuskułowego, jest albo niedoinformowane, albo przewrotne.</w:t>
      </w:r>
    </w:p>
    <w:bookmarkEnd w:id="297"/>
    <w:bookmarkEnd w:id="298"/>
    <w:bookmarkStart w:id="299" w:name="postscriptum"/>
    <w:p>
      <w:pPr>
        <w:pStyle w:val="Heading3"/>
      </w:pPr>
      <w:r>
        <w:t xml:space="preserve">Postscriptum</w:t>
      </w:r>
    </w:p>
    <w:p>
      <w:pPr>
        <w:pStyle w:val="FirstParagraph"/>
      </w:pPr>
      <w:r>
        <w:t xml:space="preserve">Odczyty Rodziny 35 są poświadczone przez wczesnych świadków, lecz bez wzorca, a zatem bez zależności. Istnieje jednak wiele setek takich odczytów. Jak więc archetyp</w:t>
      </w:r>
      <w:r>
        <w:t xml:space="preserve"> </w:t>
      </w:r>
      <w:r>
        <w:rPr>
          <w:bCs/>
          <w:b/>
        </w:rPr>
        <w:t xml:space="preserve">f</w:t>
      </w:r>
      <w:r>
        <w:rPr>
          <w:vertAlign w:val="superscript"/>
          <w:bCs/>
          <w:b/>
        </w:rPr>
        <w:t xml:space="preserve">35</w:t>
      </w:r>
      <w:r>
        <w:t xml:space="preserve"> </w:t>
      </w:r>
      <w:r>
        <w:t xml:space="preserve">wszedł w posiadanie wszystkich tych wczesnych odczytów? Czy jego twórca podróżował i zebrał kilka odczytów z Alefa, kilka z B, kilka z P</w:t>
      </w:r>
      <w:r>
        <w:rPr>
          <w:vertAlign w:val="superscript"/>
        </w:rPr>
        <w:t xml:space="preserve">45,66,75</w:t>
      </w:r>
      <w:r>
        <w:t xml:space="preserve">, kilka z W i D itd.? Czy taka sugestia nie jest jawnie niedorzeczna? Jedynym rozsądnym wnioskiem jest, że tekst</w:t>
      </w:r>
      <w:r>
        <w:t xml:space="preserve"> </w:t>
      </w:r>
      <w:r>
        <w:rPr>
          <w:bCs/>
          <w:b/>
        </w:rPr>
        <w:t xml:space="preserve">f</w:t>
      </w:r>
      <w:r>
        <w:rPr>
          <w:vertAlign w:val="superscript"/>
          <w:bCs/>
          <w:b/>
        </w:rPr>
        <w:t xml:space="preserve">35</w:t>
      </w:r>
      <w:r>
        <w:t xml:space="preserve"> </w:t>
      </w:r>
      <w:r>
        <w:t xml:space="preserve">jest starożytny (a także niezależny).</w:t>
      </w:r>
    </w:p>
    <w:p>
      <w:pPr>
        <w:pStyle w:val="BodyText"/>
      </w:pPr>
      <w:r>
        <w:t xml:space="preserve">Twierdzę, że wykazałem wyższość Rodziny 35 na podstawie wielkości (liczby przedstawicieli), niezależności, wieku, rozmieszczenia geograficznego, profilu (ustalonego empirycznie), staranności (zobacz wyżej) oraz zakresu (wszystkie 27 ksiąg). Rzucam każdemu i wszystkim wyzwanie, aby uczynili to samo dla jakiejkolwiek innej linii przekazu!</w:t>
      </w:r>
    </w:p>
    <w:bookmarkEnd w:id="299"/>
    <w:bookmarkEnd w:id="300"/>
    <w:bookmarkStart w:id="314" w:name="niewiarygodnie-staranny-przekaz-2"/>
    <w:p>
      <w:pPr>
        <w:pStyle w:val="Heading2"/>
      </w:pPr>
      <w:r>
        <w:t xml:space="preserve">Niewiarygodnie staranny przekaz</w:t>
      </w:r>
    </w:p>
    <w:p>
      <w:pPr>
        <w:pStyle w:val="FirstParagraph"/>
      </w:pPr>
      <w:r>
        <w:t xml:space="preserve">Ta część koncentruje się na Listach do Tesaloniczan, które powszechnie uważa się za pierwsze kanoniczne pisma apostoła Pawła (przynajmniej w kręgach konserwatywnych). Jeśli tak było, jego prestiż i autorytet jako apostoła nie osiągnęłyby jeszcze pełnej miary, a w konsekwencji tak wczesnym pismom mogło nie być okazywane tyle szacunku, co późniejszym. W miarę kolacjonowania kolejnych manuskryptów</w:t>
      </w:r>
      <w:r>
        <w:t xml:space="preserve"> </w:t>
      </w:r>
      <w:r>
        <w:rPr>
          <w:bCs/>
          <w:b/>
        </w:rPr>
        <w:t xml:space="preserve">f</w:t>
      </w:r>
      <w:r>
        <w:rPr>
          <w:vertAlign w:val="superscript"/>
          <w:bCs/>
          <w:b/>
        </w:rPr>
        <w:t xml:space="preserve">35</w:t>
      </w:r>
      <w:r>
        <w:t xml:space="preserve"> </w:t>
      </w:r>
      <w:r>
        <w:t xml:space="preserve">zaskakiwał mnie odmienny obraz. Skolacjonowałem następujących trzydziestu czterech przedstawicieli rodziny i zwracam uwagę na wyniki.</w:t>
      </w:r>
    </w:p>
    <w:bookmarkStart w:id="304" w:name="X9f5c359d61fbf94cb441b0708c24e54c089360f"/>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Listach do Tesaloniczan</w:t>
      </w:r>
    </w:p>
    <w:tbl>
      <w:tblPr>
        <w:tblStyle w:val="Table"/>
        <w:tblW w:type="pct" w:w="5000"/>
        <w:tblLook w:firstRow="1" w:lastRow="0" w:firstColumn="0" w:lastColumn="0" w:noHBand="0" w:noVBand="0" w:val="0020"/>
        <w:jc w:val="start"/>
      </w:tblPr>
      <w:tblGrid>
        <w:gridCol w:w="1131"/>
        <w:gridCol w:w="1414"/>
        <w:gridCol w:w="1414"/>
        <w:gridCol w:w="1131"/>
        <w:gridCol w:w="1414"/>
        <w:gridCol w:w="1414"/>
      </w:tblGrid>
      <w:tr>
        <w:trPr>
          <w:tblHeader w:val="true"/>
        </w:trPr>
        <w:tc>
          <w:tcPr/>
          <w:p>
            <w:pPr>
              <w:pStyle w:val="Compact"/>
              <w:jc w:val="right"/>
            </w:pPr>
            <w:r>
              <w:rPr>
                <w:bCs/>
                <w:b/>
              </w:rPr>
              <w:t xml:space="preserve">Manuskrypt</w:t>
            </w:r>
          </w:p>
        </w:tc>
        <w:tc>
          <w:tcPr/>
          <w:p>
            <w:pPr>
              <w:pStyle w:val="Compact"/>
              <w:jc w:val="center"/>
            </w:pPr>
            <w:r>
              <w:t xml:space="preserve">1 List do Tesaloniczan</w:t>
            </w:r>
          </w:p>
        </w:tc>
        <w:tc>
          <w:tcPr/>
          <w:p>
            <w:pPr>
              <w:pStyle w:val="Compact"/>
              <w:jc w:val="center"/>
            </w:pPr>
            <w:r>
              <w:t xml:space="preserve">2 List do Tesaloniczan</w:t>
            </w:r>
          </w:p>
        </w:tc>
        <w:tc>
          <w:tcPr/>
          <w:p>
            <w:pPr>
              <w:pStyle w:val="Compact"/>
              <w:jc w:val="left"/>
            </w:pPr>
            <w:r>
              <w:t xml:space="preserve">Miejsce</w:t>
            </w:r>
          </w:p>
        </w:tc>
        <w:tc>
          <w:tcPr/>
          <w:p>
            <w:pPr>
              <w:pStyle w:val="Compact"/>
              <w:jc w:val="center"/>
            </w:pPr>
            <w:r>
              <w:t xml:space="preserve">Data</w:t>
            </w:r>
            <w:r>
              <w:rPr>
                <w:rStyle w:val="FootnoteReference"/>
              </w:rPr>
              <w:footnoteReference w:id="301"/>
            </w:r>
          </w:p>
        </w:tc>
        <w:tc>
          <w:tcPr/>
          <w:p>
            <w:pPr>
              <w:pStyle w:val="Compact"/>
              <w:jc w:val="center"/>
            </w:pPr>
            <w:r>
              <w:t xml:space="preserve">Egzemplarz</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r>
              <w:rPr>
                <w:rStyle w:val="FootnoteReference"/>
              </w:rPr>
              <w:footnoteReference w:id="302"/>
            </w:r>
          </w:p>
        </w:tc>
        <w:tc>
          <w:tcPr/>
          <w:p>
            <w:pPr>
              <w:pStyle w:val="Compact"/>
              <w:jc w:val="center"/>
            </w:pPr>
            <w:r>
              <w:t xml:space="preserve">1364</w:t>
            </w:r>
          </w:p>
        </w:tc>
        <w:tc>
          <w:tcPr/>
          <w:p>
            <w:pPr>
              <w:pStyle w:val="Compact"/>
              <w:jc w:val="center"/>
            </w:pPr>
            <w:r>
              <w:t xml:space="preserve">---</w:t>
            </w:r>
          </w:p>
        </w:tc>
      </w:tr>
      <w:tr>
        <w:tc>
          <w:tcPr/>
          <w:p>
            <w:pPr>
              <w:pStyle w:val="Compact"/>
              <w:jc w:val="right"/>
            </w:pPr>
            <w:r>
              <w:t xml:space="preserve">35</w:t>
            </w:r>
          </w:p>
        </w:tc>
        <w:tc>
          <w:tcPr/>
          <w:p>
            <w:pPr>
              <w:pStyle w:val="Compact"/>
              <w:jc w:val="center"/>
            </w:pPr>
            <w:r>
              <w:t xml:space="preserve">2c</w:t>
            </w:r>
          </w:p>
        </w:tc>
        <w:tc>
          <w:tcPr/>
          <w:p>
            <w:pPr>
              <w:pStyle w:val="Compact"/>
              <w:jc w:val="center"/>
            </w:pPr>
            <w:r>
              <w:t xml:space="preserve">---</w:t>
            </w:r>
          </w:p>
        </w:tc>
        <w:tc>
          <w:tcPr/>
          <w:p>
            <w:pPr>
              <w:pStyle w:val="Compact"/>
              <w:jc w:val="left"/>
            </w:pPr>
            <w:r>
              <w:t xml:space="preserve">obszar egejski</w:t>
            </w:r>
            <w:r>
              <w:rPr>
                <w:rStyle w:val="FootnoteReference"/>
              </w:rPr>
              <w:footnoteReference w:id="303"/>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201</w:t>
            </w:r>
          </w:p>
        </w:tc>
        <w:tc>
          <w:tcPr/>
          <w:p>
            <w:pPr>
              <w:pStyle w:val="Compact"/>
              <w:jc w:val="center"/>
            </w:pPr>
            <w:r>
              <w:t xml:space="preserve">2y, 2/</w:t>
            </w:r>
          </w:p>
        </w:tc>
        <w:tc>
          <w:tcPr/>
          <w:p>
            <w:pPr>
              <w:pStyle w:val="Compact"/>
              <w:jc w:val="center"/>
            </w:pPr>
            <w:r>
              <w:t xml:space="preserve">2x</w:t>
            </w:r>
          </w:p>
        </w:tc>
        <w:tc>
          <w:tcPr/>
          <w:p>
            <w:pPr>
              <w:pStyle w:val="Compact"/>
              <w:jc w:val="left"/>
            </w:pPr>
            <w:r>
              <w:t xml:space="preserve">Londyn</w:t>
            </w:r>
          </w:p>
        </w:tc>
        <w:tc>
          <w:tcPr/>
          <w:p>
            <w:pPr>
              <w:pStyle w:val="Compact"/>
              <w:jc w:val="center"/>
            </w:pPr>
            <w:r>
              <w:t xml:space="preserve">1357</w:t>
            </w:r>
          </w:p>
        </w:tc>
        <w:tc>
          <w:tcPr/>
          <w:p>
            <w:pPr>
              <w:pStyle w:val="Compact"/>
              <w:jc w:val="center"/>
            </w:pPr>
            <w:r>
              <w:t xml:space="preserve">2x, 2y, 2/</w:t>
            </w:r>
          </w:p>
        </w:tc>
      </w:tr>
      <w:tr>
        <w:tc>
          <w:tcPr/>
          <w:p>
            <w:pPr>
              <w:pStyle w:val="Compact"/>
              <w:jc w:val="right"/>
            </w:pPr>
            <w:r>
              <w:t xml:space="preserve">204</w:t>
            </w:r>
          </w:p>
        </w:tc>
        <w:tc>
          <w:tcPr/>
          <w:p>
            <w:pPr>
              <w:pStyle w:val="Compact"/>
              <w:jc w:val="center"/>
            </w:pPr>
            <w:r>
              <w:t xml:space="preserve">1</w:t>
            </w:r>
          </w:p>
        </w:tc>
        <w:tc>
          <w:tcPr/>
          <w:p>
            <w:pPr>
              <w:pStyle w:val="Compact"/>
              <w:jc w:val="center"/>
            </w:pPr>
            <w:r>
              <w:t xml:space="preserve">---</w:t>
            </w:r>
          </w:p>
        </w:tc>
        <w:tc>
          <w:tcPr/>
          <w:p>
            <w:pPr>
              <w:pStyle w:val="Compact"/>
              <w:jc w:val="left"/>
            </w:pPr>
            <w:r>
              <w:t xml:space="preserve">Bolonia</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328</w:t>
            </w:r>
          </w:p>
        </w:tc>
        <w:tc>
          <w:tcPr/>
          <w:p>
            <w:pPr>
              <w:pStyle w:val="Compact"/>
              <w:jc w:val="center"/>
            </w:pPr>
            <w:r>
              <w:t xml:space="preserve">1/, 1s</w:t>
            </w:r>
          </w:p>
        </w:tc>
        <w:tc>
          <w:tcPr/>
          <w:p>
            <w:pPr>
              <w:pStyle w:val="Compact"/>
              <w:jc w:val="center"/>
            </w:pPr>
            <w:r>
              <w:t xml:space="preserve">2s</w:t>
            </w:r>
          </w:p>
        </w:tc>
        <w:tc>
          <w:tcPr/>
          <w:p>
            <w:pPr>
              <w:pStyle w:val="Compact"/>
              <w:jc w:val="left"/>
            </w:pPr>
            <w:r>
              <w:t xml:space="preserve">Lejda</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386</w:t>
            </w:r>
          </w:p>
        </w:tc>
        <w:tc>
          <w:tcPr/>
          <w:p>
            <w:pPr>
              <w:pStyle w:val="Compact"/>
              <w:jc w:val="center"/>
            </w:pPr>
            <w:r>
              <w:t xml:space="preserve">1y, 1/, 1s</w:t>
            </w:r>
          </w:p>
        </w:tc>
        <w:tc>
          <w:tcPr/>
          <w:p>
            <w:pPr>
              <w:pStyle w:val="Compact"/>
              <w:jc w:val="center"/>
            </w:pPr>
            <w:r>
              <w:t xml:space="preserve">1s</w:t>
            </w:r>
          </w:p>
        </w:tc>
        <w:tc>
          <w:tcPr/>
          <w:p>
            <w:pPr>
              <w:pStyle w:val="Compact"/>
              <w:jc w:val="left"/>
            </w:pPr>
            <w:r>
              <w:t xml:space="preserve">Watykan</w:t>
            </w:r>
          </w:p>
        </w:tc>
        <w:tc>
          <w:tcPr/>
          <w:p>
            <w:pPr>
              <w:pStyle w:val="Compact"/>
              <w:jc w:val="center"/>
            </w:pPr>
            <w:r>
              <w:t xml:space="preserve">XIV</w:t>
            </w:r>
          </w:p>
        </w:tc>
        <w:tc>
          <w:tcPr/>
          <w:p>
            <w:pPr>
              <w:pStyle w:val="Compact"/>
              <w:jc w:val="center"/>
            </w:pPr>
            <w:r>
              <w:t xml:space="preserve">1y, 1/</w:t>
            </w:r>
          </w:p>
        </w:tc>
      </w:tr>
      <w:tr>
        <w:tc>
          <w:tcPr/>
          <w:p>
            <w:pPr>
              <w:pStyle w:val="Compact"/>
              <w:jc w:val="right"/>
            </w:pPr>
            <w:r>
              <w:t xml:space="preserve">394</w:t>
            </w:r>
          </w:p>
        </w:tc>
        <w:tc>
          <w:tcPr/>
          <w:p>
            <w:pPr>
              <w:pStyle w:val="Compact"/>
              <w:jc w:val="center"/>
            </w:pPr>
            <w:r>
              <w:t xml:space="preserve">1s</w:t>
            </w:r>
          </w:p>
        </w:tc>
        <w:tc>
          <w:tcPr/>
          <w:p>
            <w:pPr>
              <w:pStyle w:val="Compact"/>
              <w:jc w:val="center"/>
            </w:pPr>
            <w:r>
              <w:t xml:space="preserve">---</w:t>
            </w:r>
          </w:p>
        </w:tc>
        <w:tc>
          <w:tcPr/>
          <w:p>
            <w:pPr>
              <w:pStyle w:val="Compact"/>
              <w:jc w:val="left"/>
            </w:pPr>
            <w:r>
              <w:t xml:space="preserve">Rzym</w:t>
            </w:r>
          </w:p>
        </w:tc>
        <w:tc>
          <w:tcPr/>
          <w:p>
            <w:pPr>
              <w:pStyle w:val="Compact"/>
              <w:jc w:val="center"/>
            </w:pPr>
            <w:r>
              <w:t xml:space="preserve">1330</w:t>
            </w:r>
          </w:p>
        </w:tc>
        <w:tc>
          <w:tcPr/>
          <w:p>
            <w:pPr>
              <w:pStyle w:val="Compact"/>
              <w:jc w:val="center"/>
            </w:pPr>
            <w:r>
              <w:t xml:space="preserve">---</w:t>
            </w:r>
          </w:p>
        </w:tc>
      </w:tr>
      <w:tr>
        <w:tc>
          <w:tcPr/>
          <w:p>
            <w:pPr>
              <w:pStyle w:val="Compact"/>
              <w:jc w:val="right"/>
            </w:pPr>
            <w:r>
              <w:t xml:space="preserve">444</w:t>
            </w:r>
          </w:p>
        </w:tc>
        <w:tc>
          <w:tcPr/>
          <w:p>
            <w:pPr>
              <w:pStyle w:val="Compact"/>
              <w:jc w:val="center"/>
            </w:pPr>
            <w:r>
              <w:t xml:space="preserve">1s</w:t>
            </w:r>
          </w:p>
        </w:tc>
        <w:tc>
          <w:tcPr/>
          <w:p>
            <w:pPr>
              <w:pStyle w:val="Compact"/>
              <w:jc w:val="center"/>
            </w:pPr>
            <w:r>
              <w:t xml:space="preserve">2s</w:t>
            </w:r>
          </w:p>
        </w:tc>
        <w:tc>
          <w:tcPr/>
          <w:p>
            <w:pPr>
              <w:pStyle w:val="Compact"/>
              <w:jc w:val="left"/>
            </w:pPr>
            <w:r>
              <w:t xml:space="preserve">Londyn</w:t>
            </w:r>
          </w:p>
        </w:tc>
        <w:tc>
          <w:tcPr/>
          <w:p>
            <w:pPr>
              <w:pStyle w:val="Compact"/>
              <w:jc w:val="center"/>
            </w:pPr>
            <w:r>
              <w:t xml:space="preserve">XV</w:t>
            </w:r>
          </w:p>
        </w:tc>
        <w:tc>
          <w:tcPr/>
          <w:p>
            <w:pPr>
              <w:pStyle w:val="Compact"/>
              <w:jc w:val="center"/>
            </w:pPr>
            <w:r>
              <w:t xml:space="preserve">---</w:t>
            </w:r>
          </w:p>
        </w:tc>
      </w:tr>
      <w:tr>
        <w:tc>
          <w:tcPr/>
          <w:p>
            <w:pPr>
              <w:pStyle w:val="Compact"/>
              <w:jc w:val="right"/>
            </w:pPr>
            <w:r>
              <w:t xml:space="preserve">604</w:t>
            </w:r>
          </w:p>
        </w:tc>
        <w:tc>
          <w:tcPr/>
          <w:p>
            <w:pPr>
              <w:pStyle w:val="Compact"/>
              <w:jc w:val="center"/>
            </w:pPr>
            <w:r>
              <w:t xml:space="preserve">1x, 1y</w:t>
            </w:r>
          </w:p>
        </w:tc>
        <w:tc>
          <w:tcPr/>
          <w:p>
            <w:pPr>
              <w:pStyle w:val="Compact"/>
              <w:jc w:val="center"/>
            </w:pPr>
            <w:r>
              <w:t xml:space="preserve">1s</w:t>
            </w:r>
          </w:p>
        </w:tc>
        <w:tc>
          <w:tcPr/>
          <w:p>
            <w:pPr>
              <w:pStyle w:val="Compact"/>
              <w:jc w:val="left"/>
            </w:pPr>
            <w:r>
              <w:t xml:space="preserve">Paryż</w:t>
            </w:r>
          </w:p>
        </w:tc>
        <w:tc>
          <w:tcPr/>
          <w:p>
            <w:pPr>
              <w:pStyle w:val="Compact"/>
              <w:jc w:val="center"/>
            </w:pPr>
            <w:r>
              <w:t xml:space="preserve">XIV</w:t>
            </w:r>
          </w:p>
        </w:tc>
        <w:tc>
          <w:tcPr/>
          <w:p>
            <w:pPr>
              <w:pStyle w:val="Compact"/>
              <w:jc w:val="center"/>
            </w:pPr>
            <w:r>
              <w:t xml:space="preserve">1x, 1y</w:t>
            </w:r>
          </w:p>
        </w:tc>
      </w:tr>
      <w:tr>
        <w:tc>
          <w:tcPr/>
          <w:p>
            <w:pPr>
              <w:pStyle w:val="Compact"/>
              <w:jc w:val="right"/>
            </w:pPr>
            <w:r>
              <w:t xml:space="preserve">757</w:t>
            </w:r>
          </w:p>
        </w:tc>
        <w:tc>
          <w:tcPr/>
          <w:p>
            <w:pPr>
              <w:pStyle w:val="Compact"/>
              <w:jc w:val="center"/>
            </w:pPr>
            <w:r>
              <w:t xml:space="preserve">1s</w:t>
            </w:r>
          </w:p>
        </w:tc>
        <w:tc>
          <w:tcPr/>
          <w:p>
            <w:pPr>
              <w:pStyle w:val="Compact"/>
              <w:jc w:val="center"/>
            </w:pPr>
            <w:r>
              <w:t xml:space="preserve">1y, 1c</w:t>
            </w:r>
          </w:p>
        </w:tc>
        <w:tc>
          <w:tcPr/>
          <w:p>
            <w:pPr>
              <w:pStyle w:val="Compact"/>
              <w:jc w:val="left"/>
            </w:pPr>
            <w:r>
              <w:t xml:space="preserve">Ateny</w:t>
            </w:r>
          </w:p>
        </w:tc>
        <w:tc>
          <w:tcPr/>
          <w:p>
            <w:pPr>
              <w:pStyle w:val="Compact"/>
              <w:jc w:val="center"/>
            </w:pPr>
            <w:r>
              <w:t xml:space="preserve">XIII</w:t>
            </w:r>
          </w:p>
        </w:tc>
        <w:tc>
          <w:tcPr/>
          <w:p>
            <w:pPr>
              <w:pStyle w:val="Compact"/>
              <w:jc w:val="center"/>
            </w:pPr>
            <w:r>
              <w:t xml:space="preserve">1y</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1i</w:t>
            </w:r>
          </w:p>
        </w:tc>
        <w:tc>
          <w:tcPr/>
          <w:p>
            <w:pPr>
              <w:pStyle w:val="Compact"/>
              <w:jc w:val="left"/>
            </w:pPr>
            <w:r>
              <w:t xml:space="preserve">Grottaferrata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 (Athos)</w:t>
            </w:r>
          </w:p>
        </w:tc>
        <w:tc>
          <w:tcPr/>
          <w:p>
            <w:pPr>
              <w:pStyle w:val="Compact"/>
              <w:jc w:val="center"/>
            </w:pPr>
            <w:r>
              <w:t xml:space="preserve">1304</w:t>
            </w:r>
          </w:p>
        </w:tc>
        <w:tc>
          <w:tcPr/>
          <w:p>
            <w:pPr>
              <w:pStyle w:val="Compact"/>
              <w:jc w:val="center"/>
            </w:pPr>
            <w:r>
              <w:t xml:space="preserve">---</w:t>
            </w:r>
          </w:p>
        </w:tc>
      </w:tr>
      <w:tr>
        <w:tc>
          <w:tcPr/>
          <w:p>
            <w:pPr>
              <w:pStyle w:val="Compact"/>
              <w:jc w:val="right"/>
            </w:pPr>
            <w:r>
              <w:t xml:space="preserve">986</w:t>
            </w:r>
          </w:p>
        </w:tc>
        <w:tc>
          <w:tcPr/>
          <w:p>
            <w:pPr>
              <w:pStyle w:val="Compact"/>
              <w:jc w:val="center"/>
            </w:pPr>
            <w:r>
              <w:t xml:space="preserve">1s</w:t>
            </w:r>
          </w:p>
        </w:tc>
        <w:tc>
          <w:tcPr/>
          <w:p>
            <w:pPr>
              <w:pStyle w:val="Compact"/>
              <w:jc w:val="center"/>
            </w:pPr>
            <w:r>
              <w:t xml:space="preserve">1s</w:t>
            </w:r>
          </w:p>
        </w:tc>
        <w:tc>
          <w:tcPr/>
          <w:p>
            <w:pPr>
              <w:pStyle w:val="Compact"/>
              <w:jc w:val="left"/>
            </w:pPr>
            <w:r>
              <w:t xml:space="preserve">Esfigmenu (Athos)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1072</w:t>
            </w:r>
          </w:p>
        </w:tc>
        <w:tc>
          <w:tcPr/>
          <w:p>
            <w:pPr>
              <w:pStyle w:val="Compact"/>
              <w:jc w:val="center"/>
            </w:pPr>
            <w:r>
              <w:t xml:space="preserve">1i</w:t>
            </w:r>
          </w:p>
        </w:tc>
        <w:tc>
          <w:tcPr/>
          <w:p>
            <w:pPr>
              <w:pStyle w:val="Compact"/>
              <w:jc w:val="center"/>
            </w:pPr>
            <w:r>
              <w:t xml:space="preserve">---</w:t>
            </w:r>
          </w:p>
        </w:tc>
        <w:tc>
          <w:tcPr/>
          <w:p>
            <w:pPr>
              <w:pStyle w:val="Compact"/>
              <w:jc w:val="left"/>
            </w:pPr>
            <w:r>
              <w:t xml:space="preserve">M. Lavras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1075</w:t>
            </w:r>
          </w:p>
        </w:tc>
        <w:tc>
          <w:tcPr/>
          <w:p>
            <w:pPr>
              <w:pStyle w:val="Compact"/>
              <w:jc w:val="center"/>
            </w:pPr>
            <w:r>
              <w:t xml:space="preserve">1x, 1</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XIV</w:t>
            </w:r>
          </w:p>
        </w:tc>
        <w:tc>
          <w:tcPr/>
          <w:p>
            <w:pPr>
              <w:pStyle w:val="Compact"/>
              <w:jc w:val="center"/>
            </w:pPr>
            <w:r>
              <w:t xml:space="preserve">1x, 1/</w:t>
            </w:r>
          </w:p>
        </w:tc>
      </w:tr>
      <w:tr>
        <w:tc>
          <w:tcPr/>
          <w:p>
            <w:pPr>
              <w:pStyle w:val="Compact"/>
              <w:jc w:val="right"/>
            </w:pPr>
            <w:r>
              <w:t xml:space="preserve">1100</w:t>
            </w:r>
          </w:p>
        </w:tc>
        <w:tc>
          <w:tcPr/>
          <w:p>
            <w:pPr>
              <w:pStyle w:val="Compact"/>
              <w:jc w:val="center"/>
            </w:pPr>
            <w:r>
              <w:t xml:space="preserve">1y, 1s</w:t>
            </w:r>
          </w:p>
        </w:tc>
        <w:tc>
          <w:tcPr/>
          <w:p>
            <w:pPr>
              <w:pStyle w:val="Compact"/>
              <w:jc w:val="center"/>
            </w:pPr>
            <w:r>
              <w:t xml:space="preserve">1y</w:t>
            </w:r>
          </w:p>
        </w:tc>
        <w:tc>
          <w:tcPr/>
          <w:p>
            <w:pPr>
              <w:pStyle w:val="Compact"/>
              <w:jc w:val="left"/>
            </w:pPr>
            <w:r>
              <w:t xml:space="preserve">Dionysiu</w:t>
            </w:r>
          </w:p>
        </w:tc>
        <w:tc>
          <w:tcPr/>
          <w:p>
            <w:pPr>
              <w:pStyle w:val="Compact"/>
              <w:jc w:val="center"/>
            </w:pPr>
            <w:r>
              <w:t xml:space="preserve">1376</w:t>
            </w:r>
          </w:p>
        </w:tc>
        <w:tc>
          <w:tcPr/>
          <w:p>
            <w:pPr>
              <w:pStyle w:val="Compact"/>
              <w:jc w:val="center"/>
            </w:pPr>
            <w:r>
              <w:t xml:space="preserve">2y</w:t>
            </w:r>
          </w:p>
        </w:tc>
      </w:tr>
      <w:tr>
        <w:tc>
          <w:tcPr/>
          <w:p>
            <w:pPr>
              <w:pStyle w:val="Compact"/>
              <w:jc w:val="right"/>
            </w:pPr>
            <w:r>
              <w:t xml:space="preserve">1248</w:t>
            </w:r>
          </w:p>
        </w:tc>
        <w:tc>
          <w:tcPr/>
          <w:p>
            <w:pPr>
              <w:pStyle w:val="Compact"/>
              <w:jc w:val="center"/>
            </w:pPr>
            <w:r>
              <w:t xml:space="preserve">3x, 1/, 4s</w:t>
            </w:r>
          </w:p>
        </w:tc>
        <w:tc>
          <w:tcPr/>
          <w:p>
            <w:pPr>
              <w:pStyle w:val="Compact"/>
              <w:jc w:val="center"/>
            </w:pPr>
            <w:r>
              <w:t xml:space="preserve">2s, 2i</w:t>
            </w:r>
          </w:p>
        </w:tc>
        <w:tc>
          <w:tcPr/>
          <w:p>
            <w:pPr>
              <w:pStyle w:val="Compact"/>
              <w:jc w:val="left"/>
            </w:pPr>
            <w:r>
              <w:t xml:space="preserve">Synaj</w:t>
            </w:r>
          </w:p>
        </w:tc>
        <w:tc>
          <w:tcPr/>
          <w:p>
            <w:pPr>
              <w:pStyle w:val="Compact"/>
              <w:jc w:val="center"/>
            </w:pPr>
            <w:r>
              <w:t xml:space="preserve">XIV</w:t>
            </w:r>
          </w:p>
        </w:tc>
        <w:tc>
          <w:tcPr/>
          <w:p>
            <w:pPr>
              <w:pStyle w:val="Compact"/>
              <w:jc w:val="center"/>
            </w:pPr>
            <w:r>
              <w:t xml:space="preserve">3x, 1/</w:t>
            </w:r>
          </w:p>
        </w:tc>
      </w:tr>
      <w:tr>
        <w:tc>
          <w:tcPr/>
          <w:p>
            <w:pPr>
              <w:pStyle w:val="Compact"/>
              <w:jc w:val="right"/>
            </w:pPr>
            <w:r>
              <w:t xml:space="preserve">1249</w:t>
            </w:r>
          </w:p>
        </w:tc>
        <w:tc>
          <w:tcPr/>
          <w:p>
            <w:pPr>
              <w:pStyle w:val="Compact"/>
              <w:jc w:val="center"/>
            </w:pPr>
            <w:r>
              <w:t xml:space="preserve">1y</w:t>
            </w:r>
          </w:p>
        </w:tc>
        <w:tc>
          <w:tcPr/>
          <w:p>
            <w:pPr>
              <w:pStyle w:val="Compact"/>
              <w:jc w:val="center"/>
            </w:pPr>
            <w:r>
              <w:t xml:space="preserve">---</w:t>
            </w:r>
          </w:p>
        </w:tc>
        <w:tc>
          <w:tcPr/>
          <w:p>
            <w:pPr>
              <w:pStyle w:val="Compact"/>
              <w:jc w:val="left"/>
            </w:pPr>
            <w:r>
              <w:t xml:space="preserve">Synaj</w:t>
            </w:r>
          </w:p>
        </w:tc>
        <w:tc>
          <w:tcPr/>
          <w:p>
            <w:pPr>
              <w:pStyle w:val="Compact"/>
              <w:jc w:val="center"/>
            </w:pPr>
            <w:r>
              <w:t xml:space="preserve">1324</w:t>
            </w:r>
          </w:p>
        </w:tc>
        <w:tc>
          <w:tcPr/>
          <w:p>
            <w:pPr>
              <w:pStyle w:val="Compact"/>
              <w:jc w:val="center"/>
            </w:pPr>
            <w:r>
              <w:t xml:space="preserve">1y</w:t>
            </w:r>
          </w:p>
        </w:tc>
      </w:tr>
      <w:tr>
        <w:tc>
          <w:tcPr/>
          <w:p>
            <w:pPr>
              <w:pStyle w:val="Compact"/>
              <w:jc w:val="right"/>
            </w:pPr>
            <w:r>
              <w:t xml:space="preserve">1503</w:t>
            </w:r>
          </w:p>
        </w:tc>
        <w:tc>
          <w:tcPr/>
          <w:p>
            <w:pPr>
              <w:pStyle w:val="Compact"/>
              <w:jc w:val="center"/>
            </w:pPr>
            <w:r>
              <w:t xml:space="preserve">2s</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1317</w:t>
            </w:r>
          </w:p>
        </w:tc>
        <w:tc>
          <w:tcPr/>
          <w:p>
            <w:pPr>
              <w:pStyle w:val="Compact"/>
              <w:jc w:val="center"/>
            </w:pPr>
            <w:r>
              <w:t xml:space="preserve">---</w:t>
            </w:r>
          </w:p>
        </w:tc>
      </w:tr>
      <w:tr>
        <w:tc>
          <w:tcPr/>
          <w:p>
            <w:pPr>
              <w:pStyle w:val="Compact"/>
              <w:jc w:val="right"/>
            </w:pPr>
            <w:r>
              <w:t xml:space="preserve">1548</w:t>
            </w:r>
          </w:p>
        </w:tc>
        <w:tc>
          <w:tcPr/>
          <w:p>
            <w:pPr>
              <w:pStyle w:val="Compact"/>
              <w:jc w:val="center"/>
            </w:pPr>
            <w:r>
              <w:t xml:space="preserve">2x, 1s</w:t>
            </w:r>
          </w:p>
        </w:tc>
        <w:tc>
          <w:tcPr/>
          <w:p>
            <w:pPr>
              <w:pStyle w:val="Compact"/>
              <w:jc w:val="center"/>
            </w:pPr>
            <w:r>
              <w:t xml:space="preserve">1s</w:t>
            </w:r>
          </w:p>
        </w:tc>
        <w:tc>
          <w:tcPr/>
          <w:p>
            <w:pPr>
              <w:pStyle w:val="Compact"/>
              <w:jc w:val="left"/>
            </w:pPr>
            <w:r>
              <w:t xml:space="preserve">Vatopediu (Athos)</w:t>
            </w:r>
          </w:p>
        </w:tc>
        <w:tc>
          <w:tcPr/>
          <w:p>
            <w:pPr>
              <w:pStyle w:val="Compact"/>
              <w:jc w:val="center"/>
            </w:pPr>
            <w:r>
              <w:t xml:space="preserve">1359</w:t>
            </w:r>
          </w:p>
        </w:tc>
        <w:tc>
          <w:tcPr/>
          <w:p>
            <w:pPr>
              <w:pStyle w:val="Compact"/>
              <w:jc w:val="center"/>
            </w:pPr>
            <w:r>
              <w:t xml:space="preserve">2x</w:t>
            </w:r>
          </w:p>
        </w:tc>
      </w:tr>
      <w:tr>
        <w:tc>
          <w:tcPr/>
          <w:p>
            <w:pPr>
              <w:pStyle w:val="Compact"/>
              <w:jc w:val="right"/>
            </w:pPr>
            <w:r>
              <w:t xml:space="preserve">1637</w:t>
            </w:r>
          </w:p>
        </w:tc>
        <w:tc>
          <w:tcPr/>
          <w:p>
            <w:pPr>
              <w:pStyle w:val="Compact"/>
              <w:jc w:val="center"/>
            </w:pPr>
            <w:r>
              <w:t xml:space="preserve">1/</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1328</w:t>
            </w:r>
          </w:p>
        </w:tc>
        <w:tc>
          <w:tcPr/>
          <w:p>
            <w:pPr>
              <w:pStyle w:val="Compact"/>
              <w:jc w:val="center"/>
            </w:pPr>
            <w:r>
              <w:t xml:space="preserve">1/</w:t>
            </w:r>
          </w:p>
        </w:tc>
      </w:tr>
      <w:tr>
        <w:tc>
          <w:tcPr/>
          <w:p>
            <w:pPr>
              <w:pStyle w:val="Compact"/>
              <w:jc w:val="right"/>
            </w:pPr>
            <w:r>
              <w:t xml:space="preserve">1725</w:t>
            </w:r>
          </w:p>
        </w:tc>
        <w:tc>
          <w:tcPr/>
          <w:p>
            <w:pPr>
              <w:pStyle w:val="Compact"/>
              <w:jc w:val="center"/>
            </w:pPr>
            <w:r>
              <w:t xml:space="preserve">2/</w:t>
            </w:r>
          </w:p>
        </w:tc>
        <w:tc>
          <w:tcPr/>
          <w:p>
            <w:pPr>
              <w:pStyle w:val="Compact"/>
              <w:jc w:val="center"/>
            </w:pPr>
            <w:r>
              <w:t xml:space="preserve">1/</w:t>
            </w:r>
          </w:p>
        </w:tc>
        <w:tc>
          <w:tcPr/>
          <w:p>
            <w:pPr>
              <w:pStyle w:val="Compact"/>
              <w:jc w:val="left"/>
            </w:pPr>
            <w:r>
              <w:t xml:space="preserve">Vatopediu</w:t>
            </w:r>
          </w:p>
        </w:tc>
        <w:tc>
          <w:tcPr/>
          <w:p>
            <w:pPr>
              <w:pStyle w:val="Compact"/>
              <w:jc w:val="center"/>
            </w:pPr>
            <w:r>
              <w:t xml:space="preserve">1367</w:t>
            </w:r>
          </w:p>
        </w:tc>
        <w:tc>
          <w:tcPr/>
          <w:p>
            <w:pPr>
              <w:pStyle w:val="Compact"/>
              <w:jc w:val="center"/>
            </w:pPr>
            <w:r>
              <w:t xml:space="preserve">3/</w:t>
            </w:r>
          </w:p>
        </w:tc>
      </w:tr>
      <w:tr>
        <w:tc>
          <w:tcPr/>
          <w:p>
            <w:pPr>
              <w:pStyle w:val="Compact"/>
              <w:jc w:val="right"/>
            </w:pPr>
            <w:r>
              <w:t xml:space="preserve">1732</w:t>
            </w:r>
          </w:p>
        </w:tc>
        <w:tc>
          <w:tcPr/>
          <w:p>
            <w:pPr>
              <w:pStyle w:val="Compact"/>
              <w:jc w:val="center"/>
            </w:pPr>
            <w:r>
              <w:t xml:space="preserve">1y, 2s</w:t>
            </w:r>
          </w:p>
        </w:tc>
        <w:tc>
          <w:tcPr/>
          <w:p>
            <w:pPr>
              <w:pStyle w:val="Compact"/>
              <w:jc w:val="center"/>
            </w:pPr>
            <w:r>
              <w:t xml:space="preserve">1/</w:t>
            </w:r>
          </w:p>
        </w:tc>
        <w:tc>
          <w:tcPr/>
          <w:p>
            <w:pPr>
              <w:pStyle w:val="Compact"/>
              <w:jc w:val="left"/>
            </w:pPr>
            <w:r>
              <w:t xml:space="preserve">M. Lavras</w:t>
            </w:r>
          </w:p>
        </w:tc>
        <w:tc>
          <w:tcPr/>
          <w:p>
            <w:pPr>
              <w:pStyle w:val="Compact"/>
              <w:jc w:val="center"/>
            </w:pPr>
            <w:r>
              <w:t xml:space="preserve">1384</w:t>
            </w:r>
          </w:p>
        </w:tc>
        <w:tc>
          <w:tcPr/>
          <w:p>
            <w:pPr>
              <w:pStyle w:val="Compact"/>
              <w:jc w:val="center"/>
            </w:pPr>
            <w:r>
              <w:t xml:space="preserve">1y, 1/</w:t>
            </w:r>
          </w:p>
        </w:tc>
      </w:tr>
      <w:tr>
        <w:tc>
          <w:tcPr/>
          <w:p>
            <w:pPr>
              <w:pStyle w:val="Compact"/>
              <w:jc w:val="right"/>
            </w:pPr>
            <w:r>
              <w:t xml:space="preserve">1761</w:t>
            </w:r>
          </w:p>
        </w:tc>
        <w:tc>
          <w:tcPr/>
          <w:p>
            <w:pPr>
              <w:pStyle w:val="Compact"/>
              <w:jc w:val="center"/>
            </w:pPr>
            <w:r>
              <w:t xml:space="preserve">2x, 2y, 1s</w:t>
            </w:r>
          </w:p>
        </w:tc>
        <w:tc>
          <w:tcPr/>
          <w:p>
            <w:pPr>
              <w:pStyle w:val="Compact"/>
              <w:jc w:val="center"/>
            </w:pPr>
            <w:r>
              <w:t xml:space="preserve">1s, 1i</w:t>
            </w:r>
          </w:p>
        </w:tc>
        <w:tc>
          <w:tcPr/>
          <w:p>
            <w:pPr>
              <w:pStyle w:val="Compact"/>
              <w:jc w:val="left"/>
            </w:pPr>
            <w:r>
              <w:t xml:space="preserve">Ateny</w:t>
            </w:r>
          </w:p>
        </w:tc>
        <w:tc>
          <w:tcPr/>
          <w:p>
            <w:pPr>
              <w:pStyle w:val="Compact"/>
              <w:jc w:val="center"/>
            </w:pPr>
            <w:r>
              <w:t xml:space="preserve">XIV</w:t>
            </w:r>
          </w:p>
        </w:tc>
        <w:tc>
          <w:tcPr/>
          <w:p>
            <w:pPr>
              <w:pStyle w:val="Compact"/>
              <w:jc w:val="center"/>
            </w:pPr>
            <w:r>
              <w:t xml:space="preserve">2x, 2y</w:t>
            </w:r>
          </w:p>
        </w:tc>
      </w:tr>
      <w:tr>
        <w:tc>
          <w:tcPr/>
          <w:p>
            <w:pPr>
              <w:pStyle w:val="Compact"/>
              <w:jc w:val="right"/>
            </w:pPr>
            <w:r>
              <w:t xml:space="preserve">1855</w:t>
            </w:r>
          </w:p>
        </w:tc>
        <w:tc>
          <w:tcPr/>
          <w:p>
            <w:pPr>
              <w:pStyle w:val="Compact"/>
              <w:jc w:val="center"/>
            </w:pPr>
            <w:r>
              <w:t xml:space="preserve">---</w:t>
            </w:r>
          </w:p>
        </w:tc>
        <w:tc>
          <w:tcPr/>
          <w:p>
            <w:pPr>
              <w:pStyle w:val="Compact"/>
              <w:jc w:val="center"/>
            </w:pPr>
            <w:r>
              <w:t xml:space="preserve">1s</w:t>
            </w:r>
          </w:p>
        </w:tc>
        <w:tc>
          <w:tcPr/>
          <w:p>
            <w:pPr>
              <w:pStyle w:val="Compact"/>
              <w:jc w:val="left"/>
            </w:pPr>
            <w:r>
              <w:t xml:space="preserve">Iviron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1865</w:t>
            </w:r>
          </w:p>
        </w:tc>
        <w:tc>
          <w:tcPr/>
          <w:p>
            <w:pPr>
              <w:pStyle w:val="Compact"/>
              <w:jc w:val="center"/>
            </w:pPr>
            <w:r>
              <w:t xml:space="preserve">1c</w:t>
            </w:r>
          </w:p>
        </w:tc>
        <w:tc>
          <w:tcPr/>
          <w:p>
            <w:pPr>
              <w:pStyle w:val="Compact"/>
              <w:jc w:val="center"/>
            </w:pPr>
            <w:r>
              <w:t xml:space="preserve">---</w:t>
            </w:r>
          </w:p>
        </w:tc>
        <w:tc>
          <w:tcPr/>
          <w:p>
            <w:pPr>
              <w:pStyle w:val="Compact"/>
              <w:jc w:val="left"/>
            </w:pPr>
            <w:r>
              <w:t xml:space="preserve">Filotheu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1876</w:t>
            </w:r>
          </w:p>
        </w:tc>
        <w:tc>
          <w:tcPr/>
          <w:p>
            <w:pPr>
              <w:pStyle w:val="Compact"/>
              <w:jc w:val="center"/>
            </w:pPr>
            <w:r>
              <w:t xml:space="preserve">4y, 1/</w:t>
            </w:r>
          </w:p>
        </w:tc>
        <w:tc>
          <w:tcPr/>
          <w:p>
            <w:pPr>
              <w:pStyle w:val="Compact"/>
              <w:jc w:val="center"/>
            </w:pPr>
            <w:r>
              <w:t xml:space="preserve">1y, 1/</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5y, 2/</w:t>
            </w:r>
          </w:p>
        </w:tc>
      </w:tr>
      <w:tr>
        <w:tc>
          <w:tcPr/>
          <w:p>
            <w:pPr>
              <w:pStyle w:val="Compact"/>
              <w:jc w:val="right"/>
            </w:pPr>
            <w:r>
              <w:t xml:space="preserve">1892</w:t>
            </w:r>
          </w:p>
        </w:tc>
        <w:tc>
          <w:tcPr/>
          <w:p>
            <w:pPr>
              <w:pStyle w:val="Compact"/>
              <w:jc w:val="center"/>
            </w:pPr>
            <w:r>
              <w:t xml:space="preserve">10s</w:t>
            </w:r>
          </w:p>
        </w:tc>
        <w:tc>
          <w:tcPr/>
          <w:p>
            <w:pPr>
              <w:pStyle w:val="Compact"/>
              <w:jc w:val="center"/>
            </w:pPr>
            <w:r>
              <w:t xml:space="preserve">3s</w:t>
            </w:r>
          </w:p>
        </w:tc>
        <w:tc>
          <w:tcPr/>
          <w:p>
            <w:pPr>
              <w:pStyle w:val="Compact"/>
              <w:jc w:val="left"/>
            </w:pPr>
            <w:r>
              <w:t xml:space="preserve">Jerozolima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1897</w:t>
            </w:r>
          </w:p>
        </w:tc>
        <w:tc>
          <w:tcPr/>
          <w:p>
            <w:pPr>
              <w:pStyle w:val="Compact"/>
              <w:jc w:val="center"/>
            </w:pPr>
            <w:r>
              <w:t xml:space="preserve">1/, 1c</w:t>
            </w:r>
          </w:p>
        </w:tc>
        <w:tc>
          <w:tcPr/>
          <w:p>
            <w:pPr>
              <w:pStyle w:val="Compact"/>
              <w:jc w:val="center"/>
            </w:pPr>
            <w:r>
              <w:t xml:space="preserve">3s, 1h</w:t>
            </w:r>
          </w:p>
        </w:tc>
        <w:tc>
          <w:tcPr/>
          <w:p>
            <w:pPr>
              <w:pStyle w:val="Compact"/>
              <w:jc w:val="left"/>
            </w:pPr>
            <w:r>
              <w:t xml:space="preserve">Jerozolima</w:t>
            </w:r>
          </w:p>
        </w:tc>
        <w:tc>
          <w:tcPr/>
          <w:p>
            <w:pPr>
              <w:pStyle w:val="Compact"/>
              <w:jc w:val="center"/>
            </w:pPr>
            <w:r>
              <w:t xml:space="preserve">XII</w:t>
            </w:r>
          </w:p>
        </w:tc>
        <w:tc>
          <w:tcPr/>
          <w:p>
            <w:pPr>
              <w:pStyle w:val="Compact"/>
              <w:jc w:val="center"/>
            </w:pPr>
            <w:r>
              <w:t xml:space="preserve">1/</w:t>
            </w:r>
          </w:p>
        </w:tc>
      </w:tr>
      <w:tr>
        <w:tc>
          <w:tcPr/>
          <w:p>
            <w:pPr>
              <w:pStyle w:val="Compact"/>
              <w:jc w:val="right"/>
            </w:pPr>
            <w:r>
              <w:t xml:space="preserve">2466</w:t>
            </w:r>
          </w:p>
        </w:tc>
        <w:tc>
          <w:tcPr/>
          <w:p>
            <w:pPr>
              <w:pStyle w:val="Compact"/>
              <w:jc w:val="center"/>
            </w:pPr>
            <w:r>
              <w:t xml:space="preserve">1x, 2y, 1s</w:t>
            </w:r>
          </w:p>
        </w:tc>
        <w:tc>
          <w:tcPr/>
          <w:p>
            <w:pPr>
              <w:pStyle w:val="Compact"/>
              <w:jc w:val="center"/>
            </w:pPr>
            <w:r>
              <w:t xml:space="preserve">1s</w:t>
            </w:r>
          </w:p>
        </w:tc>
        <w:tc>
          <w:tcPr/>
          <w:p>
            <w:pPr>
              <w:pStyle w:val="Compact"/>
              <w:jc w:val="left"/>
            </w:pPr>
            <w:r>
              <w:t xml:space="preserve">Patmos</w:t>
            </w:r>
          </w:p>
        </w:tc>
        <w:tc>
          <w:tcPr/>
          <w:p>
            <w:pPr>
              <w:pStyle w:val="Compact"/>
              <w:jc w:val="center"/>
            </w:pPr>
            <w:r>
              <w:t xml:space="preserve">1329</w:t>
            </w:r>
          </w:p>
        </w:tc>
        <w:tc>
          <w:tcPr/>
          <w:p>
            <w:pPr>
              <w:pStyle w:val="Compact"/>
              <w:jc w:val="center"/>
            </w:pPr>
            <w:r>
              <w:t xml:space="preserve">1x, 2y</w:t>
            </w:r>
          </w:p>
        </w:tc>
      </w:tr>
      <w:tr>
        <w:tc>
          <w:tcPr/>
          <w:p>
            <w:pPr>
              <w:pStyle w:val="Compact"/>
              <w:jc w:val="right"/>
            </w:pPr>
            <w:r>
              <w:t xml:space="preserve">2554</w:t>
            </w:r>
          </w:p>
        </w:tc>
        <w:tc>
          <w:tcPr/>
          <w:p>
            <w:pPr>
              <w:pStyle w:val="Compact"/>
              <w:jc w:val="center"/>
            </w:pPr>
            <w:r>
              <w:t xml:space="preserve">1c</w:t>
            </w:r>
          </w:p>
        </w:tc>
        <w:tc>
          <w:tcPr/>
          <w:p>
            <w:pPr>
              <w:pStyle w:val="Compact"/>
              <w:jc w:val="center"/>
            </w:pPr>
            <w:r>
              <w:t xml:space="preserve">---</w:t>
            </w:r>
          </w:p>
        </w:tc>
        <w:tc>
          <w:tcPr/>
          <w:p>
            <w:pPr>
              <w:pStyle w:val="Compact"/>
              <w:jc w:val="left"/>
            </w:pPr>
            <w:r>
              <w:t xml:space="preserve">Bukareszt</w:t>
            </w:r>
          </w:p>
        </w:tc>
        <w:tc>
          <w:tcPr/>
          <w:p>
            <w:pPr>
              <w:pStyle w:val="Compact"/>
              <w:jc w:val="center"/>
            </w:pPr>
            <w:r>
              <w:t xml:space="preserve">1434</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1s</w:t>
            </w:r>
          </w:p>
        </w:tc>
        <w:tc>
          <w:tcPr/>
          <w:p>
            <w:pPr>
              <w:pStyle w:val="Compact"/>
              <w:jc w:val="center"/>
            </w:pPr>
            <w:r>
              <w:t xml:space="preserve">1s</w:t>
            </w:r>
          </w:p>
        </w:tc>
        <w:tc>
          <w:tcPr/>
          <w:p>
            <w:pPr>
              <w:pStyle w:val="Compact"/>
              <w:jc w:val="left"/>
            </w:pPr>
            <w:r>
              <w:t xml:space="preserve">Watykan</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left"/>
            </w:pPr>
            <w:r>
              <w:t xml:space="preserve">Trikala</w:t>
            </w:r>
          </w:p>
        </w:tc>
        <w:tc>
          <w:tcPr/>
          <w:p>
            <w:pPr>
              <w:pStyle w:val="Compact"/>
              <w:jc w:val="center"/>
            </w:pPr>
            <w:r>
              <w:t xml:space="preserve">XI</w:t>
            </w:r>
          </w:p>
        </w:tc>
        <w:tc>
          <w:tcPr/>
          <w:p>
            <w:pPr>
              <w:pStyle w:val="Compact"/>
              <w:jc w:val="center"/>
            </w:pPr>
            <w:r>
              <w:t xml:space="preserve">---</w:t>
            </w:r>
          </w:p>
        </w:tc>
      </w:tr>
    </w:tbl>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x</w:t>
            </w:r>
          </w:p>
        </w:tc>
        <w:tc>
          <w:tcPr/>
          <w:p>
            <w:pPr>
              <w:pStyle w:val="Compact"/>
              <w:jc w:val="left"/>
            </w:pPr>
            <w:r>
              <w:t xml:space="preserve">niepoprawiony wariant poświadczony przez manuskrypty spoza rodziny</w:t>
            </w:r>
          </w:p>
        </w:tc>
      </w:tr>
      <w:tr>
        <w:tc>
          <w:tcPr/>
          <w:p>
            <w:pPr>
              <w:pStyle w:val="Compact"/>
              <w:jc w:val="center"/>
            </w:pPr>
            <w:r>
              <w:t xml:space="preserve">y</w:t>
            </w:r>
          </w:p>
        </w:tc>
        <w:tc>
          <w:tcPr/>
          <w:p>
            <w:pPr>
              <w:pStyle w:val="Compact"/>
              <w:jc w:val="left"/>
            </w:pPr>
            <w:r>
              <w:t xml:space="preserve">podział, który nie ogranicza się do rodziny</w:t>
            </w:r>
          </w:p>
        </w:tc>
      </w:tr>
      <w:tr>
        <w:tc>
          <w:tcPr/>
          <w:p>
            <w:pPr>
              <w:pStyle w:val="Compact"/>
              <w:jc w:val="center"/>
            </w:pPr>
            <w:r>
              <w:t xml:space="preserve">/</w:t>
            </w:r>
          </w:p>
        </w:tc>
        <w:tc>
          <w:tcPr/>
          <w:p>
            <w:pPr>
              <w:pStyle w:val="Compact"/>
              <w:jc w:val="left"/>
            </w:pPr>
            <w:r>
              <w:t xml:space="preserve">podział w obrębie rodziny (bez poświadczenia zewnętrznego)</w:t>
            </w:r>
          </w:p>
        </w:tc>
      </w:tr>
      <w:tr>
        <w:tc>
          <w:tcPr/>
          <w:p>
            <w:pPr>
              <w:pStyle w:val="Compact"/>
              <w:jc w:val="center"/>
            </w:pPr>
            <w:r>
              <w:t xml:space="preserve">c</w:t>
            </w:r>
          </w:p>
        </w:tc>
        <w:tc>
          <w:tcPr/>
          <w:p>
            <w:pPr>
              <w:pStyle w:val="Compact"/>
              <w:jc w:val="left"/>
            </w:pPr>
            <w:r>
              <w:t xml:space="preserve">wszelkiego rodzaju wariant poprawiony do domniemanego archetypu</w:t>
            </w:r>
          </w:p>
        </w:tc>
      </w:tr>
      <w:tr>
        <w:tc>
          <w:tcPr/>
          <w:p>
            <w:pPr>
              <w:pStyle w:val="Compact"/>
              <w:jc w:val="center"/>
            </w:pPr>
            <w:r>
              <w:t xml:space="preserve">s</w:t>
            </w:r>
          </w:p>
        </w:tc>
        <w:tc>
          <w:tcPr/>
          <w:p>
            <w:pPr>
              <w:pStyle w:val="Compact"/>
              <w:jc w:val="left"/>
            </w:pPr>
            <w:r>
              <w:t xml:space="preserve">odczyt singularny / wariant prywatny (dopóki wszystkie manuskrypty nie zostaną skolacjonowane, jest to tylko założenie)</w:t>
            </w:r>
          </w:p>
        </w:tc>
      </w:tr>
      <w:tr>
        <w:tc>
          <w:tcPr/>
          <w:p>
            <w:pPr>
              <w:pStyle w:val="Compact"/>
              <w:jc w:val="center"/>
            </w:pPr>
            <w:r>
              <w:t xml:space="preserve">h</w:t>
            </w:r>
          </w:p>
        </w:tc>
        <w:tc>
          <w:tcPr/>
          <w:p>
            <w:pPr>
              <w:pStyle w:val="Compact"/>
              <w:jc w:val="left"/>
            </w:pPr>
            <w:r>
              <w:t xml:space="preserve">oczywisty przypadek homoioteleutonu (lub homoioarktonu), często obejmujący wiersz lub więcej, ale może obejmować tylko trzy lub cztery słowa</w:t>
            </w:r>
          </w:p>
        </w:tc>
      </w:tr>
      <w:tr>
        <w:tc>
          <w:tcPr/>
          <w:p>
            <w:pPr>
              <w:pStyle w:val="Compact"/>
              <w:jc w:val="center"/>
            </w:pPr>
            <w:r>
              <w:t xml:space="preserve">i</w:t>
            </w:r>
          </w:p>
        </w:tc>
        <w:tc>
          <w:tcPr/>
          <w:p>
            <w:pPr>
              <w:pStyle w:val="Compact"/>
              <w:jc w:val="left"/>
            </w:pPr>
            <w:r>
              <w:t xml:space="preserve">zwykła nieuwaga</w:t>
            </w:r>
          </w:p>
        </w:tc>
      </w:tr>
      <w:tr>
        <w:tc>
          <w:tcPr/>
          <w:p>
            <w:pPr>
              <w:pStyle w:val="Compact"/>
              <w:jc w:val="center"/>
            </w:pPr>
            <w:r>
              <w:t xml:space="preserve">---</w:t>
            </w:r>
          </w:p>
        </w:tc>
        <w:tc>
          <w:tcPr/>
          <w:p>
            <w:pPr>
              <w:pStyle w:val="Compact"/>
              <w:jc w:val="left"/>
            </w:pPr>
            <w:r>
              <w:t xml:space="preserve">brak odejść od domniemanego profilu</w:t>
            </w:r>
          </w:p>
        </w:tc>
      </w:tr>
    </w:tbl>
    <w:bookmarkEnd w:id="304"/>
    <w:bookmarkStart w:id="308" w:name="konsekwencje"/>
    <w:p>
      <w:pPr>
        <w:pStyle w:val="Heading3"/>
      </w:pPr>
      <w:r>
        <w:rPr>
          <w:iCs/>
          <w:i/>
        </w:rPr>
        <w:t xml:space="preserve">Konsekwencje</w:t>
      </w:r>
    </w:p>
    <w:p>
      <w:pPr>
        <w:pStyle w:val="FirstParagraph"/>
      </w:pPr>
      <w:r>
        <w:t xml:space="preserve">Zacznę od ostatniej kolumny tabeli, „Egzemplarz”. Z wyjątkiem 18, 928, 1864 i 2723, które same są doskonałe, większość pozostałych ma inną ocenę. Wszystkie odczyty singularne należy pominąć (łącznie z homoioteleutonem i nieuwagą), jeśli nie wprowadził ich kopista, uczynił to „ojciec” lub „dziadek” — któryś przodek był wolny od wszystkich „odczytów singularnych”, nie wnoszą więc one niczego do historii przekazu i nie są istotne dla śledzenia tego przekazu. Należy również pominąć wszystkie warianty poprawione do domniemanego profilu rodziny — ktokolwiek dokonał poprawki, uczynił to na podstawie poprawnego egzemplarza (poprawnego w tym miejscu). Egzemplarzowi przypisuję więc jedynie „x”, „y” i „/” — oczywiście niektóre z nich również mogły być dziełem kopisty, co czyniłoby egzemplarz jeszcze lepszym, lecz nie mam sposobu ustalenia, kiedy to nastąpiło.</w:t>
      </w:r>
    </w:p>
    <w:p>
      <w:pPr>
        <w:pStyle w:val="BodyText"/>
      </w:pPr>
      <w:r>
        <w:t xml:space="preserve">Zauważ, że spośród trzydziestu czterech manuskryptów szesnaście ich egzemplarzy (prawie połowa) było „doskonałych”, a kolejnych sześć różniło się tylko jednym wariantem (najgorszy różnił się zaledwie siedmioma w dwóch księgach). Gdyby nie było odłamów, moglibyśmy patrzeć na trzydzieści cztery niezależne linie przekazu w obrębie rodziny, co jest dla mnie po prostu fantastyczne.</w:t>
      </w:r>
      <w:r>
        <w:rPr>
          <w:rStyle w:val="FootnoteReference"/>
        </w:rPr>
        <w:footnoteReference w:id="305"/>
      </w:r>
      <w:r>
        <w:t xml:space="preserve"> </w:t>
      </w:r>
      <w:r>
        <w:t xml:space="preserve">A co z odłamami? W 1 Liście do Tesaloniczan jest kilka bardzo drobnych, a w 2 Liście do Tesaloniczan zaledwie kilka par.</w:t>
      </w:r>
    </w:p>
    <w:p>
      <w:pPr>
        <w:pStyle w:val="BodyText"/>
      </w:pPr>
      <w:r>
        <w:t xml:space="preserve">Wnioskuję, że wszystkie trzydzieści cztery manuskrypty były niezależne w swoim pokoleniu i nie widzę dowodów wskazujących na inny wniosek w odniesieniu do ich egzemplarzy. Proszę zauważyć, że nie twierdzę, iż wszystkie trzydzieści cztery linie pozostają odrębne przez całą drogę aż do archetypu. Chętnie przyznaję, że zanim dotrzemy z powrotem do źródła, wystąpiłaby pewna liczba zbieżności. Jakkolwiek by było, patrzymy na bardzo staranny przekaz.</w:t>
      </w:r>
    </w:p>
    <w:p>
      <w:pPr>
        <w:pStyle w:val="BodyText"/>
      </w:pPr>
      <w:r>
        <w:t xml:space="preserve">Teraz zwracam uwagę na miejsce. Manuskrypty pochodzą z całego świata śródziemnomorskiego. Trzynaście manuskryptów z góry Athos z pewnością sporządzono w ich odpowiednich klasztorach (siedmiu). Ponieważ polityka kościelna ma skłonność być tym, czym ma skłonność być, niewielkie jest prawdopodobieństwo, że między klasztorami istniała zmowa w sprawie przekazywania pism Nowego Testamentu — uważam, że tych trzynaście reprezentuje tyle samo egzemplarzy. Manuskrypty z Trikali, Patmos, Jerozolimy i Synaju przypuszczalnie sporządzono w tych miejscach, rękopis kursywny 18 z pewnością sporządzono w Konstantynopolu, a rękopis kursywny 35 pozyskano na obszarze egejskim. Manuskrypty znajdujące się w Watykanie i Grottaferracie równie dobrze mogły zostać tam sporządzone.</w:t>
      </w:r>
    </w:p>
    <w:p>
      <w:pPr>
        <w:pStyle w:val="BodyText"/>
      </w:pPr>
      <w:r>
        <w:t xml:space="preserve">Teraz zwracam szczególną uwagę na minuskuł 18, sporządzony w Konstantynopolu w</w:t>
      </w:r>
      <w:r>
        <w:t xml:space="preserve"> </w:t>
      </w:r>
      <w:r>
        <w:rPr>
          <w:bCs/>
          <w:b/>
        </w:rPr>
        <w:t xml:space="preserve">1364</w:t>
      </w:r>
      <w:r>
        <w:t xml:space="preserve"> </w:t>
      </w:r>
      <w:r>
        <w:t xml:space="preserve">roku! W obecnym stanie jest doskonałym przedstawicielem domniemanego profilu rodziny dla Listów do Tesaloniczan (mówię „domniemanego” jedynie z uwagi na wszystkich przedstawicieli rodziny, których jeszcze nie skolacjonowałem, lecz biorąc pod uwagę rozmieszczenie geograficzne powyższych trzydziestu czterech, nie mam wątpliwości, że profil podany w moim Tekście jest poprawny).</w:t>
      </w:r>
      <w:r>
        <w:rPr>
          <w:rStyle w:val="FootnoteReference"/>
        </w:rPr>
        <w:footnoteReference w:id="306"/>
      </w:r>
      <w:r>
        <w:t xml:space="preserve"> </w:t>
      </w:r>
      <w:r>
        <w:t xml:space="preserve">Ile pokoleń kopii istniałoby między manuskryptem 18 a archetypem rodziny? Czy mogło ich być piętnaście lub więcej? Wyobrażam sobie, że było ich co najmniej dziesięć. Niezależnie od ich rzeczywistej liczby proszę zauważyć, że każde bez wyjątku było doskonałe!</w:t>
      </w:r>
      <w:r>
        <w:t xml:space="preserve"> </w:t>
      </w:r>
      <w:r>
        <w:rPr>
          <w:u w:val="single"/>
          <w:iCs/>
          <w:i/>
        </w:rPr>
        <w:t xml:space="preserve">Konsekwencje znalezienia doskonałego przedstawiciela jakiegokolwiek tekstu archetypalnego są dość doniosłe. Wszystkie</w:t>
      </w:r>
      <w:r>
        <w:rPr>
          <w:iCs/>
          <w:i/>
        </w:rPr>
        <w:t xml:space="preserve"> </w:t>
      </w:r>
      <w:r>
        <w:rPr>
          <w:iCs/>
          <w:i/>
        </w:rPr>
        <w:t xml:space="preserve">„kanony” krytyki tekstu stają się nieistotne dla każdego punktu późniejszego od</w:t>
      </w:r>
      <w:r>
        <w:t xml:space="preserve"> </w:t>
      </w:r>
      <w:r>
        <w:rPr>
          <w:u w:val="single"/>
          <w:iCs/>
          <w:i/>
        </w:rPr>
        <w:t xml:space="preserve">powstania tego tekstu</w:t>
      </w:r>
      <w:r>
        <w:t xml:space="preserve"> </w:t>
      </w:r>
      <w:r>
        <w:t xml:space="preserve">(nadal mogłyby mieć zastosowanie przy badaniu powstania tekstu, zależnie od okoliczności). Aby manuskrypt 18 był doskonały, wszystkie pokolenia pomiędzy nim a archetypem również musiały być doskonałe. To właśnie nazywam</w:t>
      </w:r>
      <w:r>
        <w:t xml:space="preserve"> </w:t>
      </w:r>
      <w:r>
        <w:rPr>
          <w:bCs/>
          <w:b/>
        </w:rPr>
        <w:t xml:space="preserve">niewiarygodnie starannym przekazem</w:t>
      </w:r>
      <w:r>
        <w:t xml:space="preserve">. Nic z tego, czego uczono mnie w seminarium o krytyce tekstu Nowego Testamentu, nie przygotowało mnie na to odkrycie! Ani zresztą nic z tego, co czytałem. Manuskrypt 18 nie jest jednak przypadkiem odosobnionym, wszystkie trzydzieści cztery manuskrypty w powyższej tabeli odzwierciedlają</w:t>
      </w:r>
      <w:r>
        <w:t xml:space="preserve"> </w:t>
      </w:r>
      <w:r>
        <w:rPr>
          <w:bCs/>
          <w:b/>
        </w:rPr>
        <w:t xml:space="preserve">niewiarygodnie staranny przekaz</w:t>
      </w:r>
      <w:r>
        <w:t xml:space="preserve"> </w:t>
      </w:r>
      <w:r>
        <w:t xml:space="preserve">— nawet najgorsze z nich, minuskuły 1761 i 1874, ze swoimi siedmioma wariantami („odczyty singularne” w 1893 i 1248 są niestarannymi błędami (nieszczęśliwi mnisi)), są naprawdę całkiem dobre, zważywszy na wszystkie pośrednie pokolenia.</w:t>
      </w:r>
    </w:p>
    <w:p>
      <w:pPr>
        <w:pStyle w:val="BodyText"/>
      </w:pPr>
      <w:r>
        <w:t xml:space="preserve">Punkt ten zasługuje na rozwinięcie. Typowy manuskrypt „aleksandryjski” ma ponad tuzin wariantów na stronę drukowanego tekstu greckiego. Typowy manuskrypt „bizantyjski” ma od 3 do 5 wariantów na stronę. Manuskrypty 1761 i 1876 mają około jednego na stronę, a jeden z lepszych manuskryptów</w:t>
      </w:r>
      <w:r>
        <w:t xml:space="preserve"> </w:t>
      </w:r>
      <w:r>
        <w:rPr>
          <w:bCs/>
          <w:b/>
        </w:rPr>
        <w:t xml:space="preserve">f</w:t>
      </w:r>
      <w:r>
        <w:rPr>
          <w:vertAlign w:val="superscript"/>
          <w:bCs/>
          <w:b/>
        </w:rPr>
        <w:t xml:space="preserve">35</w:t>
      </w:r>
      <w:r>
        <w:t xml:space="preserve"> </w:t>
      </w:r>
      <w:r>
        <w:t xml:space="preserve">przejdzie wiele stron bez wariantu. Istnieje oczywista różnica w mentalności, z jaką mnisi przystępowali do swojego zadania. Mnich kopiujący manuskrypt „aleksandryjski” najwyraźniej nie uważał, że ma do czynienia z Pismem, w jaskrawym przeciwieństwie do mnicha kopiującego manuskrypt</w:t>
      </w:r>
      <w:r>
        <w:t xml:space="preserve"> </w:t>
      </w:r>
      <w:r>
        <w:rPr>
          <w:bCs/>
          <w:b/>
        </w:rPr>
        <w:t xml:space="preserve">f</w:t>
      </w:r>
      <w:r>
        <w:rPr>
          <w:vertAlign w:val="superscript"/>
          <w:bCs/>
          <w:b/>
        </w:rPr>
        <w:t xml:space="preserve">35</w:t>
      </w:r>
      <w:r>
        <w:t xml:space="preserve">. Tym, którzy nie wykluczają czynnika nadprzyrodzonego ze swojego modelu, przedkładam, że powyższe informacje są wysoce znaczące: Bóg najwyraźniej nie chronił żadnego „aleksandryjskiego” typu manuskryptu, prawdopodobnie dlatego, że zawierał „kąkol” (Ewangelia Mateusza 13,28). Mnich kopiujący manuskrypt typu masy „bizantyjskiej” wykonywał znacznie lepszą pracę niż aleksandryjski, nadal jednak nie był wystarczająco staranny — prawdopodobnie tylko wykonywał religijny obowiązek, lecz bez osobistego przywiązania do Tekstu. Ponieważ Bóg szanuje nasze wybory (Ewangelia Jana 4,23-24), rezultatem był typowy manuskrypt „bizantyjski”. Prawdą jest również, że nie wszystkie manuskrypty</w:t>
      </w:r>
      <w:r>
        <w:t xml:space="preserve"> </w:t>
      </w:r>
      <w:r>
        <w:rPr>
          <w:bCs/>
          <w:b/>
        </w:rPr>
        <w:t xml:space="preserve">f</w:t>
      </w:r>
      <w:r>
        <w:rPr>
          <w:vertAlign w:val="superscript"/>
          <w:bCs/>
          <w:b/>
        </w:rPr>
        <w:t xml:space="preserve">35</w:t>
      </w:r>
      <w:r>
        <w:t xml:space="preserve"> </w:t>
      </w:r>
      <w:r>
        <w:t xml:space="preserve">sporządzono starannie, wnioskuję jednak, że rdzeń przedstawicieli został sporządzony przez kopistów, którzy wierzyli, iż mają do czynienia ze Słowem Bożym, i chcieli, aby ich praca Mu się podobała</w:t>
      </w:r>
      <w:r>
        <w:rPr>
          <w:rStyle w:val="FootnoteReference"/>
        </w:rPr>
        <w:footnoteReference w:id="307"/>
      </w:r>
      <w:r>
        <w:t xml:space="preserve"> </w:t>
      </w:r>
      <w:r>
        <w:t xml:space="preserve">— właśnie takich, którym Duch Święty z radością pomagałby i których by chronił.</w:t>
      </w:r>
    </w:p>
    <w:bookmarkEnd w:id="308"/>
    <w:bookmarkStart w:id="310" w:name="X3d866095db41acc28052a7dcbf6dd5533a4cf95"/>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2 i 3 Liście Jana oraz Liście Judy</w:t>
      </w:r>
    </w:p>
    <w:p>
      <w:pPr>
        <w:pStyle w:val="FirstParagraph"/>
      </w:pPr>
      <w:r>
        <w:t xml:space="preserve">Ta część koncentruje się na 2 i 3 Liście Jana oraz Liście Judy. Jak dotąd skolacjonowałem czterdziestu sześciu przedstawicieli Rodziny 35 (dla tych trzech ksiąg) i zwracam uwagę na wyniki. Dotąd zidentyfikowałem 84 manuskrypty należące do</w:t>
      </w:r>
      <w:r>
        <w:t xml:space="preserve"> </w:t>
      </w:r>
      <w:r>
        <w:rPr>
          <w:bCs/>
          <w:b/>
        </w:rPr>
        <w:t xml:space="preserve">f</w:t>
      </w:r>
      <w:r>
        <w:rPr>
          <w:vertAlign w:val="superscript"/>
          <w:bCs/>
          <w:b/>
        </w:rPr>
        <w:t xml:space="preserve">35</w:t>
      </w:r>
      <w:r>
        <w:t xml:space="preserve"> </w:t>
      </w:r>
      <w:r>
        <w:t xml:space="preserve">w Listach Ogólnych (oraz kolejnych 10 lub 12 na obrzeżach), próba ta jest więc z pewnością reprezentatywna, biorąc pod uwagę również rozmieszczenie geograficzne.</w:t>
      </w:r>
    </w:p>
    <w:tbl>
      <w:tblPr>
        <w:tblStyle w:val="Table"/>
        <w:tblW w:type="pct" w:w="5000"/>
        <w:tblLook w:firstRow="1" w:lastRow="0" w:firstColumn="0" w:lastColumn="0" w:noHBand="0" w:noVBand="0" w:val="0020"/>
        <w:jc w:val="start"/>
      </w:tblPr>
      <w:tblGrid>
        <w:gridCol w:w="960"/>
        <w:gridCol w:w="1200"/>
        <w:gridCol w:w="1200"/>
        <w:gridCol w:w="1200"/>
        <w:gridCol w:w="960"/>
        <w:gridCol w:w="1200"/>
        <w:gridCol w:w="1200"/>
      </w:tblGrid>
      <w:tr>
        <w:trPr>
          <w:tblHeader w:val="true"/>
        </w:trPr>
        <w:tc>
          <w:tcPr/>
          <w:p>
            <w:pPr>
              <w:pStyle w:val="Compact"/>
              <w:jc w:val="right"/>
            </w:pPr>
            <w:r>
              <w:rPr>
                <w:bCs/>
                <w:b/>
              </w:rPr>
              <w:t xml:space="preserve">Manuskrypt</w:t>
            </w:r>
          </w:p>
        </w:tc>
        <w:tc>
          <w:tcPr/>
          <w:p>
            <w:pPr>
              <w:pStyle w:val="Compact"/>
              <w:jc w:val="center"/>
            </w:pPr>
            <w:r>
              <w:t xml:space="preserve">2 List Jana</w:t>
            </w:r>
          </w:p>
        </w:tc>
        <w:tc>
          <w:tcPr/>
          <w:p>
            <w:pPr>
              <w:pStyle w:val="Compact"/>
              <w:jc w:val="center"/>
            </w:pPr>
            <w:r>
              <w:t xml:space="preserve">3 List Jana</w:t>
            </w:r>
          </w:p>
        </w:tc>
        <w:tc>
          <w:tcPr/>
          <w:p>
            <w:pPr>
              <w:pStyle w:val="Compact"/>
              <w:jc w:val="center"/>
            </w:pPr>
            <w:r>
              <w:t xml:space="preserve">List Judy</w:t>
            </w:r>
          </w:p>
        </w:tc>
        <w:tc>
          <w:tcPr/>
          <w:p>
            <w:pPr>
              <w:pStyle w:val="Compact"/>
              <w:jc w:val="left"/>
            </w:pPr>
            <w:r>
              <w:t xml:space="preserve">Miejsce</w:t>
            </w:r>
          </w:p>
        </w:tc>
        <w:tc>
          <w:tcPr/>
          <w:p>
            <w:pPr>
              <w:pStyle w:val="Compact"/>
              <w:jc w:val="center"/>
            </w:pPr>
            <w:r>
              <w:t xml:space="preserve">Data</w:t>
            </w:r>
          </w:p>
        </w:tc>
        <w:tc>
          <w:tcPr/>
          <w:p>
            <w:pPr>
              <w:pStyle w:val="Compact"/>
              <w:jc w:val="center"/>
            </w:pPr>
            <w:r>
              <w:t xml:space="preserve">Egzemplarz</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w:t>
            </w:r>
          </w:p>
        </w:tc>
        <w:tc>
          <w:tcPr/>
          <w:p>
            <w:pPr>
              <w:pStyle w:val="Compact"/>
              <w:jc w:val="left"/>
            </w:pPr>
            <w:r>
              <w:t xml:space="preserve">Konstantynopol</w:t>
            </w:r>
          </w:p>
        </w:tc>
        <w:tc>
          <w:tcPr/>
          <w:p>
            <w:pPr>
              <w:pStyle w:val="Compact"/>
              <w:jc w:val="center"/>
            </w:pPr>
            <w:r>
              <w:t xml:space="preserve">1364</w:t>
            </w:r>
          </w:p>
        </w:tc>
        <w:tc>
          <w:tcPr/>
          <w:p>
            <w:pPr>
              <w:pStyle w:val="Compact"/>
              <w:jc w:val="center"/>
            </w:pPr>
            <w:r>
              <w:t xml:space="preserve">---</w:t>
            </w:r>
          </w:p>
        </w:tc>
      </w:tr>
      <w:tr>
        <w:tc>
          <w:tcPr/>
          <w:p>
            <w:pPr>
              <w:pStyle w:val="Compact"/>
              <w:jc w:val="right"/>
            </w:pPr>
            <w:r>
              <w:t xml:space="preserve">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2c</w:t>
            </w:r>
          </w:p>
        </w:tc>
        <w:tc>
          <w:tcPr/>
          <w:p>
            <w:pPr>
              <w:pStyle w:val="Compact"/>
              <w:jc w:val="left"/>
            </w:pPr>
            <w:r>
              <w:t xml:space="preserve">obszar egejski</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141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149</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 1c</w:t>
            </w:r>
          </w:p>
        </w:tc>
        <w:tc>
          <w:tcPr/>
          <w:p>
            <w:pPr>
              <w:pStyle w:val="Compact"/>
              <w:jc w:val="left"/>
            </w:pPr>
            <w:r>
              <w:t xml:space="preserve">Watykan</w:t>
            </w:r>
          </w:p>
        </w:tc>
        <w:tc>
          <w:tcPr/>
          <w:p>
            <w:pPr>
              <w:pStyle w:val="Compact"/>
              <w:jc w:val="center"/>
            </w:pPr>
            <w:r>
              <w:t xml:space="preserve">XV</w:t>
            </w:r>
          </w:p>
        </w:tc>
        <w:tc>
          <w:tcPr/>
          <w:p>
            <w:pPr>
              <w:pStyle w:val="Compact"/>
              <w:jc w:val="center"/>
            </w:pPr>
            <w:r>
              <w:t xml:space="preserve">2/</w:t>
            </w:r>
          </w:p>
        </w:tc>
      </w:tr>
      <w:tr>
        <w:tc>
          <w:tcPr/>
          <w:p>
            <w:pPr>
              <w:pStyle w:val="Compact"/>
              <w:jc w:val="right"/>
            </w:pPr>
            <w:r>
              <w:t xml:space="preserve">201</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w:t>
            </w:r>
          </w:p>
        </w:tc>
        <w:tc>
          <w:tcPr/>
          <w:p>
            <w:pPr>
              <w:pStyle w:val="Compact"/>
              <w:jc w:val="left"/>
            </w:pPr>
            <w:r>
              <w:t xml:space="preserve">Londyn</w:t>
            </w:r>
          </w:p>
        </w:tc>
        <w:tc>
          <w:tcPr/>
          <w:p>
            <w:pPr>
              <w:pStyle w:val="Compact"/>
              <w:jc w:val="center"/>
            </w:pPr>
            <w:r>
              <w:t xml:space="preserve">1357</w:t>
            </w:r>
          </w:p>
        </w:tc>
        <w:tc>
          <w:tcPr/>
          <w:p>
            <w:pPr>
              <w:pStyle w:val="Compact"/>
              <w:jc w:val="center"/>
            </w:pPr>
            <w:r>
              <w:t xml:space="preserve">2/</w:t>
            </w:r>
          </w:p>
        </w:tc>
      </w:tr>
      <w:tr>
        <w:tc>
          <w:tcPr/>
          <w:p>
            <w:pPr>
              <w:pStyle w:val="Compact"/>
              <w:jc w:val="right"/>
            </w:pPr>
            <w:r>
              <w:t xml:space="preserve">204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Bolonia</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328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1x, 1s</w:t>
            </w:r>
          </w:p>
        </w:tc>
        <w:tc>
          <w:tcPr/>
          <w:p>
            <w:pPr>
              <w:pStyle w:val="Compact"/>
              <w:jc w:val="left"/>
            </w:pPr>
            <w:r>
              <w:t xml:space="preserve">Lejda</w:t>
            </w:r>
          </w:p>
        </w:tc>
        <w:tc>
          <w:tcPr/>
          <w:p>
            <w:pPr>
              <w:pStyle w:val="Compact"/>
              <w:jc w:val="center"/>
            </w:pPr>
            <w:r>
              <w:t xml:space="preserve">XIII</w:t>
            </w:r>
          </w:p>
        </w:tc>
        <w:tc>
          <w:tcPr/>
          <w:p>
            <w:pPr>
              <w:pStyle w:val="Compact"/>
              <w:jc w:val="center"/>
            </w:pPr>
            <w:r>
              <w:t xml:space="preserve">1x</w:t>
            </w:r>
          </w:p>
        </w:tc>
      </w:tr>
      <w:tr>
        <w:tc>
          <w:tcPr/>
          <w:p>
            <w:pPr>
              <w:pStyle w:val="Compact"/>
              <w:jc w:val="right"/>
            </w:pPr>
            <w:r>
              <w:t xml:space="preserve">386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394</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w:t>
            </w:r>
          </w:p>
        </w:tc>
        <w:tc>
          <w:tcPr/>
          <w:p>
            <w:pPr>
              <w:pStyle w:val="Compact"/>
              <w:jc w:val="left"/>
            </w:pPr>
            <w:r>
              <w:t xml:space="preserve">Rzym</w:t>
            </w:r>
          </w:p>
        </w:tc>
        <w:tc>
          <w:tcPr/>
          <w:p>
            <w:pPr>
              <w:pStyle w:val="Compact"/>
              <w:jc w:val="center"/>
            </w:pPr>
            <w:r>
              <w:t xml:space="preserve">1330</w:t>
            </w:r>
          </w:p>
        </w:tc>
        <w:tc>
          <w:tcPr/>
          <w:p>
            <w:pPr>
              <w:pStyle w:val="Compact"/>
              <w:jc w:val="center"/>
            </w:pPr>
            <w:r>
              <w:t xml:space="preserve">---</w:t>
            </w:r>
          </w:p>
        </w:tc>
      </w:tr>
      <w:tr>
        <w:tc>
          <w:tcPr/>
          <w:p>
            <w:pPr>
              <w:pStyle w:val="Compact"/>
              <w:jc w:val="right"/>
            </w:pPr>
            <w:r>
              <w:t xml:space="preserve">432</w:t>
            </w:r>
          </w:p>
        </w:tc>
        <w:tc>
          <w:tcPr/>
          <w:p>
            <w:pPr>
              <w:pStyle w:val="Compact"/>
              <w:jc w:val="center"/>
            </w:pPr>
            <w:r>
              <w:t xml:space="preserve">2s</w:t>
            </w:r>
          </w:p>
        </w:tc>
        <w:tc>
          <w:tcPr/>
          <w:p>
            <w:pPr>
              <w:pStyle w:val="Compact"/>
              <w:jc w:val="center"/>
            </w:pPr>
            <w:r>
              <w:t xml:space="preserve">1/</w:t>
            </w:r>
          </w:p>
        </w:tc>
        <w:tc>
          <w:tcPr/>
          <w:p>
            <w:pPr>
              <w:pStyle w:val="Compact"/>
              <w:jc w:val="center"/>
            </w:pPr>
            <w:r>
              <w:t xml:space="preserve">3s</w:t>
            </w:r>
          </w:p>
        </w:tc>
        <w:tc>
          <w:tcPr/>
          <w:p>
            <w:pPr>
              <w:pStyle w:val="Compact"/>
              <w:jc w:val="left"/>
            </w:pPr>
            <w:r>
              <w:t xml:space="preserve">Watykan</w:t>
            </w:r>
          </w:p>
        </w:tc>
        <w:tc>
          <w:tcPr/>
          <w:p>
            <w:pPr>
              <w:pStyle w:val="Compact"/>
              <w:jc w:val="center"/>
            </w:pPr>
            <w:r>
              <w:t xml:space="preserve">XV</w:t>
            </w:r>
          </w:p>
        </w:tc>
        <w:tc>
          <w:tcPr/>
          <w:p>
            <w:pPr>
              <w:pStyle w:val="Compact"/>
              <w:jc w:val="center"/>
            </w:pPr>
            <w:r>
              <w:t xml:space="preserve">1/</w:t>
            </w:r>
          </w:p>
        </w:tc>
      </w:tr>
      <w:tr>
        <w:tc>
          <w:tcPr/>
          <w:p>
            <w:pPr>
              <w:pStyle w:val="Compact"/>
              <w:jc w:val="right"/>
            </w:pPr>
            <w:r>
              <w:t xml:space="preserve">444</w:t>
            </w:r>
            <w:r>
              <w:rPr>
                <w:rStyle w:val="FootnoteReference"/>
              </w:rPr>
              <w:footnoteReference w:id="309"/>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Londyn</w:t>
            </w:r>
          </w:p>
        </w:tc>
        <w:tc>
          <w:tcPr/>
          <w:p>
            <w:pPr>
              <w:pStyle w:val="Compact"/>
              <w:jc w:val="center"/>
            </w:pPr>
            <w:r>
              <w:t xml:space="preserve">XV</w:t>
            </w:r>
          </w:p>
        </w:tc>
        <w:tc>
          <w:tcPr/>
          <w:p>
            <w:pPr>
              <w:pStyle w:val="Compact"/>
              <w:jc w:val="center"/>
            </w:pPr>
            <w:r>
              <w:t xml:space="preserve">---</w:t>
            </w:r>
          </w:p>
        </w:tc>
      </w:tr>
      <w:tr>
        <w:tc>
          <w:tcPr/>
          <w:p>
            <w:pPr>
              <w:pStyle w:val="Compact"/>
              <w:jc w:val="right"/>
            </w:pPr>
            <w:r>
              <w:t xml:space="preserve">604</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w:t>
            </w:r>
          </w:p>
        </w:tc>
        <w:tc>
          <w:tcPr/>
          <w:p>
            <w:pPr>
              <w:pStyle w:val="Compact"/>
              <w:jc w:val="left"/>
            </w:pPr>
            <w:r>
              <w:t xml:space="preserve">Paryż</w:t>
            </w:r>
          </w:p>
        </w:tc>
        <w:tc>
          <w:tcPr/>
          <w:p>
            <w:pPr>
              <w:pStyle w:val="Compact"/>
              <w:jc w:val="center"/>
            </w:pPr>
            <w:r>
              <w:t xml:space="preserve">XIV</w:t>
            </w:r>
          </w:p>
        </w:tc>
        <w:tc>
          <w:tcPr/>
          <w:p>
            <w:pPr>
              <w:pStyle w:val="Compact"/>
              <w:jc w:val="center"/>
            </w:pPr>
            <w:r>
              <w:t xml:space="preserve">1x, 1/</w:t>
            </w:r>
          </w:p>
        </w:tc>
      </w:tr>
      <w:tr>
        <w:tc>
          <w:tcPr/>
          <w:p>
            <w:pPr>
              <w:pStyle w:val="Compact"/>
              <w:jc w:val="right"/>
            </w:pPr>
            <w:r>
              <w:t xml:space="preserve">664</w:t>
            </w:r>
          </w:p>
        </w:tc>
        <w:tc>
          <w:tcPr/>
          <w:p>
            <w:pPr>
              <w:pStyle w:val="Compact"/>
              <w:jc w:val="center"/>
            </w:pPr>
            <w:r>
              <w:t xml:space="preserve">1x, 1s</w:t>
            </w:r>
          </w:p>
        </w:tc>
        <w:tc>
          <w:tcPr/>
          <w:p>
            <w:pPr>
              <w:pStyle w:val="Compact"/>
              <w:jc w:val="center"/>
            </w:pPr>
            <w:r>
              <w:t xml:space="preserve">3s</w:t>
            </w:r>
          </w:p>
        </w:tc>
        <w:tc>
          <w:tcPr/>
          <w:p>
            <w:pPr>
              <w:pStyle w:val="Compact"/>
              <w:jc w:val="center"/>
            </w:pPr>
            <w:r>
              <w:t xml:space="preserve">3s</w:t>
            </w:r>
          </w:p>
        </w:tc>
        <w:tc>
          <w:tcPr/>
          <w:p>
            <w:pPr>
              <w:pStyle w:val="Compact"/>
              <w:jc w:val="left"/>
            </w:pPr>
            <w:r>
              <w:t xml:space="preserve">Żytawa</w:t>
            </w:r>
          </w:p>
        </w:tc>
        <w:tc>
          <w:tcPr/>
          <w:p>
            <w:pPr>
              <w:pStyle w:val="Compact"/>
              <w:jc w:val="center"/>
            </w:pPr>
            <w:r>
              <w:t xml:space="preserve">XV</w:t>
            </w:r>
          </w:p>
        </w:tc>
        <w:tc>
          <w:tcPr/>
          <w:p>
            <w:pPr>
              <w:pStyle w:val="Compact"/>
              <w:jc w:val="center"/>
            </w:pPr>
            <w:r>
              <w:t xml:space="preserve">1x</w:t>
            </w:r>
          </w:p>
        </w:tc>
      </w:tr>
      <w:tr>
        <w:tc>
          <w:tcPr/>
          <w:p>
            <w:pPr>
              <w:pStyle w:val="Compact"/>
              <w:jc w:val="right"/>
            </w:pPr>
            <w:r>
              <w:t xml:space="preserve">757</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Grottaferrata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 (Athos)</w:t>
            </w:r>
          </w:p>
        </w:tc>
        <w:tc>
          <w:tcPr/>
          <w:p>
            <w:pPr>
              <w:pStyle w:val="Compact"/>
              <w:jc w:val="center"/>
            </w:pPr>
            <w:r>
              <w:t xml:space="preserve">1304</w:t>
            </w:r>
          </w:p>
        </w:tc>
        <w:tc>
          <w:tcPr/>
          <w:p>
            <w:pPr>
              <w:pStyle w:val="Compact"/>
              <w:jc w:val="center"/>
            </w:pPr>
            <w:r>
              <w:t xml:space="preserve">---</w:t>
            </w:r>
          </w:p>
        </w:tc>
      </w:tr>
      <w:tr>
        <w:tc>
          <w:tcPr/>
          <w:p>
            <w:pPr>
              <w:pStyle w:val="Compact"/>
              <w:jc w:val="right"/>
            </w:pPr>
            <w:r>
              <w:t xml:space="preserve">986</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1s, 1i</w:t>
            </w:r>
          </w:p>
        </w:tc>
        <w:tc>
          <w:tcPr/>
          <w:p>
            <w:pPr>
              <w:pStyle w:val="Compact"/>
              <w:jc w:val="left"/>
            </w:pPr>
            <w:r>
              <w:t xml:space="preserve">Esfigmenu (Athos)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1072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1100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center"/>
            </w:pPr>
            <w:r>
              <w:t xml:space="preserve">1376</w:t>
            </w:r>
          </w:p>
        </w:tc>
        <w:tc>
          <w:tcPr/>
          <w:p>
            <w:pPr>
              <w:pStyle w:val="Compact"/>
              <w:jc w:val="center"/>
            </w:pPr>
            <w:r>
              <w:t xml:space="preserve">---</w:t>
            </w:r>
          </w:p>
        </w:tc>
      </w:tr>
      <w:tr>
        <w:tc>
          <w:tcPr/>
          <w:p>
            <w:pPr>
              <w:pStyle w:val="Compact"/>
              <w:jc w:val="right"/>
            </w:pPr>
            <w:r>
              <w:t xml:space="preserve">1247</w:t>
            </w:r>
          </w:p>
        </w:tc>
        <w:tc>
          <w:tcPr/>
          <w:p>
            <w:pPr>
              <w:pStyle w:val="Compact"/>
              <w:jc w:val="center"/>
            </w:pPr>
            <w:r>
              <w:t xml:space="preserve">1x, 1/, 1s</w:t>
            </w:r>
          </w:p>
        </w:tc>
        <w:tc>
          <w:tcPr/>
          <w:p>
            <w:pPr>
              <w:pStyle w:val="Compact"/>
              <w:jc w:val="center"/>
            </w:pPr>
            <w:r>
              <w:t xml:space="preserve">1/, 1s</w:t>
            </w:r>
          </w:p>
        </w:tc>
        <w:tc>
          <w:tcPr/>
          <w:p>
            <w:pPr>
              <w:pStyle w:val="Compact"/>
              <w:jc w:val="center"/>
            </w:pPr>
            <w:r>
              <w:t xml:space="preserve">1x, 1/, 6s</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2x, 3/</w:t>
            </w:r>
          </w:p>
        </w:tc>
      </w:tr>
      <w:tr>
        <w:tc>
          <w:tcPr/>
          <w:p>
            <w:pPr>
              <w:pStyle w:val="Compact"/>
              <w:jc w:val="right"/>
            </w:pPr>
            <w:r>
              <w:t xml:space="preserve">1248</w:t>
            </w:r>
          </w:p>
        </w:tc>
        <w:tc>
          <w:tcPr/>
          <w:p>
            <w:pPr>
              <w:pStyle w:val="Compact"/>
              <w:jc w:val="center"/>
            </w:pPr>
            <w:r>
              <w:t xml:space="preserve">2/</w:t>
            </w:r>
          </w:p>
        </w:tc>
        <w:tc>
          <w:tcPr/>
          <w:p>
            <w:pPr>
              <w:pStyle w:val="Compact"/>
              <w:jc w:val="center"/>
            </w:pPr>
            <w:r>
              <w:t xml:space="preserve">1/, 3s</w:t>
            </w:r>
          </w:p>
        </w:tc>
        <w:tc>
          <w:tcPr/>
          <w:p>
            <w:pPr>
              <w:pStyle w:val="Compact"/>
              <w:jc w:val="center"/>
            </w:pPr>
            <w:r>
              <w:t xml:space="preserve">4s</w:t>
            </w:r>
          </w:p>
        </w:tc>
        <w:tc>
          <w:tcPr/>
          <w:p>
            <w:pPr>
              <w:pStyle w:val="Compact"/>
              <w:jc w:val="left"/>
            </w:pPr>
            <w:r>
              <w:t xml:space="preserve">Synaj</w:t>
            </w:r>
          </w:p>
        </w:tc>
        <w:tc>
          <w:tcPr/>
          <w:p>
            <w:pPr>
              <w:pStyle w:val="Compact"/>
              <w:jc w:val="center"/>
            </w:pPr>
            <w:r>
              <w:t xml:space="preserve">XIV</w:t>
            </w:r>
          </w:p>
        </w:tc>
        <w:tc>
          <w:tcPr/>
          <w:p>
            <w:pPr>
              <w:pStyle w:val="Compact"/>
              <w:jc w:val="center"/>
            </w:pPr>
            <w:r>
              <w:t xml:space="preserve">3/</w:t>
            </w:r>
          </w:p>
        </w:tc>
      </w:tr>
      <w:tr>
        <w:tc>
          <w:tcPr/>
          <w:p>
            <w:pPr>
              <w:pStyle w:val="Compact"/>
              <w:jc w:val="right"/>
            </w:pPr>
            <w:r>
              <w:t xml:space="preserve">1249</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w:t>
            </w:r>
          </w:p>
        </w:tc>
        <w:tc>
          <w:tcPr/>
          <w:p>
            <w:pPr>
              <w:pStyle w:val="Compact"/>
              <w:jc w:val="left"/>
            </w:pPr>
            <w:r>
              <w:t xml:space="preserve">Synaj</w:t>
            </w:r>
          </w:p>
        </w:tc>
        <w:tc>
          <w:tcPr/>
          <w:p>
            <w:pPr>
              <w:pStyle w:val="Compact"/>
              <w:jc w:val="center"/>
            </w:pPr>
            <w:r>
              <w:t xml:space="preserve">1324</w:t>
            </w:r>
          </w:p>
        </w:tc>
        <w:tc>
          <w:tcPr/>
          <w:p>
            <w:pPr>
              <w:pStyle w:val="Compact"/>
              <w:jc w:val="center"/>
            </w:pPr>
            <w:r>
              <w:t xml:space="preserve">2/</w:t>
            </w:r>
          </w:p>
        </w:tc>
      </w:tr>
      <w:tr>
        <w:tc>
          <w:tcPr/>
          <w:p>
            <w:pPr>
              <w:pStyle w:val="Compact"/>
              <w:jc w:val="right"/>
            </w:pPr>
            <w:r>
              <w:t xml:space="preserve">1503</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1317</w:t>
            </w:r>
          </w:p>
        </w:tc>
        <w:tc>
          <w:tcPr/>
          <w:p>
            <w:pPr>
              <w:pStyle w:val="Compact"/>
              <w:jc w:val="center"/>
            </w:pPr>
            <w:r>
              <w:t xml:space="preserve">---</w:t>
            </w:r>
          </w:p>
        </w:tc>
      </w:tr>
      <w:tr>
        <w:tc>
          <w:tcPr/>
          <w:p>
            <w:pPr>
              <w:pStyle w:val="Compact"/>
              <w:jc w:val="right"/>
            </w:pPr>
            <w:r>
              <w:t xml:space="preserve">1548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Vatopediu (Athos)</w:t>
            </w:r>
          </w:p>
        </w:tc>
        <w:tc>
          <w:tcPr/>
          <w:p>
            <w:pPr>
              <w:pStyle w:val="Compact"/>
              <w:jc w:val="center"/>
            </w:pPr>
            <w:r>
              <w:t xml:space="preserve">1359</w:t>
            </w:r>
          </w:p>
        </w:tc>
        <w:tc>
          <w:tcPr/>
          <w:p>
            <w:pPr>
              <w:pStyle w:val="Compact"/>
              <w:jc w:val="center"/>
            </w:pPr>
            <w:r>
              <w:t xml:space="preserve">---</w:t>
            </w:r>
          </w:p>
        </w:tc>
      </w:tr>
      <w:tr>
        <w:tc>
          <w:tcPr/>
          <w:p>
            <w:pPr>
              <w:pStyle w:val="Compact"/>
              <w:jc w:val="right"/>
            </w:pPr>
            <w:r>
              <w:t xml:space="preserve">1628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M. Lavras</w:t>
            </w:r>
          </w:p>
        </w:tc>
        <w:tc>
          <w:tcPr/>
          <w:p>
            <w:pPr>
              <w:pStyle w:val="Compact"/>
              <w:jc w:val="center"/>
            </w:pPr>
            <w:r>
              <w:t xml:space="preserve">1400</w:t>
            </w:r>
          </w:p>
        </w:tc>
        <w:tc>
          <w:tcPr/>
          <w:p>
            <w:pPr>
              <w:pStyle w:val="Compact"/>
              <w:jc w:val="center"/>
            </w:pPr>
            <w:r>
              <w:t xml:space="preserve">---</w:t>
            </w:r>
          </w:p>
        </w:tc>
      </w:tr>
      <w:tr>
        <w:tc>
          <w:tcPr/>
          <w:p>
            <w:pPr>
              <w:pStyle w:val="Compact"/>
              <w:jc w:val="right"/>
            </w:pPr>
            <w:r>
              <w:t xml:space="preserve">1637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1328</w:t>
            </w:r>
          </w:p>
        </w:tc>
        <w:tc>
          <w:tcPr/>
          <w:p>
            <w:pPr>
              <w:pStyle w:val="Compact"/>
              <w:jc w:val="center"/>
            </w:pPr>
            <w:r>
              <w:t xml:space="preserve">---</w:t>
            </w:r>
          </w:p>
        </w:tc>
      </w:tr>
      <w:tr>
        <w:tc>
          <w:tcPr/>
          <w:p>
            <w:pPr>
              <w:pStyle w:val="Compact"/>
              <w:jc w:val="right"/>
            </w:pPr>
            <w:r>
              <w:t xml:space="preserve">1725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Vatopediu</w:t>
            </w:r>
          </w:p>
        </w:tc>
        <w:tc>
          <w:tcPr/>
          <w:p>
            <w:pPr>
              <w:pStyle w:val="Compact"/>
              <w:jc w:val="center"/>
            </w:pPr>
            <w:r>
              <w:t xml:space="preserve">1367</w:t>
            </w:r>
          </w:p>
        </w:tc>
        <w:tc>
          <w:tcPr/>
          <w:p>
            <w:pPr>
              <w:pStyle w:val="Compact"/>
              <w:jc w:val="center"/>
            </w:pPr>
            <w:r>
              <w:t xml:space="preserve">---</w:t>
            </w:r>
          </w:p>
        </w:tc>
      </w:tr>
      <w:tr>
        <w:tc>
          <w:tcPr/>
          <w:p>
            <w:pPr>
              <w:pStyle w:val="Compact"/>
              <w:jc w:val="right"/>
            </w:pPr>
            <w:r>
              <w:t xml:space="preserve">1732</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1x, 1s</w:t>
            </w:r>
          </w:p>
        </w:tc>
        <w:tc>
          <w:tcPr/>
          <w:p>
            <w:pPr>
              <w:pStyle w:val="Compact"/>
              <w:jc w:val="left"/>
            </w:pPr>
            <w:r>
              <w:t xml:space="preserve">M. Lavras</w:t>
            </w:r>
          </w:p>
        </w:tc>
        <w:tc>
          <w:tcPr/>
          <w:p>
            <w:pPr>
              <w:pStyle w:val="Compact"/>
              <w:jc w:val="center"/>
            </w:pPr>
            <w:r>
              <w:t xml:space="preserve">1384</w:t>
            </w:r>
          </w:p>
        </w:tc>
        <w:tc>
          <w:tcPr/>
          <w:p>
            <w:pPr>
              <w:pStyle w:val="Compact"/>
              <w:jc w:val="center"/>
            </w:pPr>
            <w:r>
              <w:t xml:space="preserve">1x, 1/</w:t>
            </w:r>
          </w:p>
        </w:tc>
      </w:tr>
      <w:tr>
        <w:tc>
          <w:tcPr/>
          <w:p>
            <w:pPr>
              <w:pStyle w:val="Compact"/>
              <w:jc w:val="right"/>
            </w:pPr>
            <w:r>
              <w:t xml:space="preserve">1754</w:t>
            </w:r>
          </w:p>
        </w:tc>
        <w:tc>
          <w:tcPr/>
          <w:p>
            <w:pPr>
              <w:pStyle w:val="Compact"/>
              <w:jc w:val="center"/>
            </w:pPr>
            <w:r>
              <w:t xml:space="preserve">1s</w:t>
            </w:r>
          </w:p>
        </w:tc>
        <w:tc>
          <w:tcPr/>
          <w:p>
            <w:pPr>
              <w:pStyle w:val="Compact"/>
              <w:jc w:val="center"/>
            </w:pPr>
            <w:r>
              <w:t xml:space="preserve">1/, 1s</w:t>
            </w:r>
          </w:p>
        </w:tc>
        <w:tc>
          <w:tcPr/>
          <w:p>
            <w:pPr>
              <w:pStyle w:val="Compact"/>
              <w:jc w:val="center"/>
            </w:pPr>
            <w:r>
              <w:t xml:space="preserve">2s</w:t>
            </w:r>
          </w:p>
        </w:tc>
        <w:tc>
          <w:tcPr/>
          <w:p>
            <w:pPr>
              <w:pStyle w:val="Compact"/>
              <w:jc w:val="left"/>
            </w:pPr>
            <w:r>
              <w:t xml:space="preserve">Panteleimonos (Athos)</w:t>
            </w:r>
          </w:p>
        </w:tc>
        <w:tc>
          <w:tcPr/>
          <w:p>
            <w:pPr>
              <w:pStyle w:val="Compact"/>
              <w:jc w:val="center"/>
            </w:pPr>
            <w:r>
              <w:t xml:space="preserve">XII</w:t>
            </w:r>
          </w:p>
        </w:tc>
        <w:tc>
          <w:tcPr/>
          <w:p>
            <w:pPr>
              <w:pStyle w:val="Compact"/>
              <w:jc w:val="center"/>
            </w:pPr>
            <w:r>
              <w:t xml:space="preserve">1/</w:t>
            </w:r>
          </w:p>
        </w:tc>
      </w:tr>
      <w:tr>
        <w:tc>
          <w:tcPr/>
          <w:p>
            <w:pPr>
              <w:pStyle w:val="Compact"/>
              <w:jc w:val="right"/>
            </w:pPr>
            <w:r>
              <w:t xml:space="preserve">1761</w:t>
            </w:r>
          </w:p>
        </w:tc>
        <w:tc>
          <w:tcPr/>
          <w:p>
            <w:pPr>
              <w:pStyle w:val="Compact"/>
              <w:jc w:val="center"/>
            </w:pPr>
            <w:r>
              <w:t xml:space="preserve">1s</w:t>
            </w:r>
          </w:p>
        </w:tc>
        <w:tc>
          <w:tcPr/>
          <w:p>
            <w:pPr>
              <w:pStyle w:val="Compact"/>
              <w:jc w:val="center"/>
            </w:pPr>
            <w:r>
              <w:t xml:space="preserve">2s</w:t>
            </w:r>
          </w:p>
        </w:tc>
        <w:tc>
          <w:tcPr/>
          <w:p>
            <w:pPr>
              <w:pStyle w:val="Compact"/>
              <w:jc w:val="center"/>
            </w:pPr>
            <w:r>
              <w:t xml:space="preserve">---</w:t>
            </w:r>
          </w:p>
        </w:tc>
        <w:tc>
          <w:tcPr/>
          <w:p>
            <w:pPr>
              <w:pStyle w:val="Compact"/>
              <w:jc w:val="left"/>
            </w:pPr>
            <w:r>
              <w:t xml:space="preserve">Ateny</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1768</w:t>
            </w:r>
          </w:p>
        </w:tc>
        <w:tc>
          <w:tcPr/>
          <w:p>
            <w:pPr>
              <w:pStyle w:val="Compact"/>
              <w:jc w:val="center"/>
            </w:pPr>
            <w:r>
              <w:t xml:space="preserve">---</w:t>
            </w:r>
          </w:p>
        </w:tc>
        <w:tc>
          <w:tcPr/>
          <w:p>
            <w:pPr>
              <w:pStyle w:val="Compact"/>
              <w:jc w:val="center"/>
            </w:pPr>
            <w:r>
              <w:t xml:space="preserve">1y</w:t>
            </w:r>
          </w:p>
        </w:tc>
        <w:tc>
          <w:tcPr/>
          <w:p>
            <w:pPr>
              <w:pStyle w:val="Compact"/>
              <w:jc w:val="center"/>
            </w:pPr>
            <w:r>
              <w:t xml:space="preserve">1s</w:t>
            </w:r>
          </w:p>
        </w:tc>
        <w:tc>
          <w:tcPr/>
          <w:p>
            <w:pPr>
              <w:pStyle w:val="Compact"/>
              <w:jc w:val="left"/>
            </w:pPr>
            <w:r>
              <w:t xml:space="preserve">Iviron (Athos)</w:t>
            </w:r>
          </w:p>
        </w:tc>
        <w:tc>
          <w:tcPr/>
          <w:p>
            <w:pPr>
              <w:pStyle w:val="Compact"/>
              <w:jc w:val="center"/>
            </w:pPr>
            <w:r>
              <w:t xml:space="preserve">1516</w:t>
            </w:r>
          </w:p>
        </w:tc>
        <w:tc>
          <w:tcPr/>
          <w:p>
            <w:pPr>
              <w:pStyle w:val="Compact"/>
              <w:jc w:val="center"/>
            </w:pPr>
            <w:r>
              <w:t xml:space="preserve">1y</w:t>
            </w:r>
          </w:p>
        </w:tc>
      </w:tr>
      <w:tr>
        <w:tc>
          <w:tcPr/>
          <w:p>
            <w:pPr>
              <w:pStyle w:val="Compact"/>
              <w:jc w:val="right"/>
            </w:pPr>
            <w:r>
              <w:t xml:space="preserve">1855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1865</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w:t>
            </w:r>
          </w:p>
        </w:tc>
        <w:tc>
          <w:tcPr/>
          <w:p>
            <w:pPr>
              <w:pStyle w:val="Compact"/>
              <w:jc w:val="left"/>
            </w:pPr>
            <w:r>
              <w:t xml:space="preserve">Filotheu (Athos)</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1876</w:t>
            </w:r>
          </w:p>
        </w:tc>
        <w:tc>
          <w:tcPr/>
          <w:p>
            <w:pPr>
              <w:pStyle w:val="Compact"/>
              <w:jc w:val="center"/>
            </w:pPr>
            <w:r>
              <w:t xml:space="preserve">2/, 1s</w:t>
            </w:r>
          </w:p>
        </w:tc>
        <w:tc>
          <w:tcPr/>
          <w:p>
            <w:pPr>
              <w:pStyle w:val="Compact"/>
              <w:jc w:val="center"/>
            </w:pPr>
            <w:r>
              <w:t xml:space="preserve">1/</w:t>
            </w:r>
          </w:p>
        </w:tc>
        <w:tc>
          <w:tcPr/>
          <w:p>
            <w:pPr>
              <w:pStyle w:val="Compact"/>
              <w:jc w:val="center"/>
            </w:pPr>
            <w:r>
              <w:t xml:space="preserve">1/, 2s</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4/</w:t>
            </w:r>
          </w:p>
        </w:tc>
      </w:tr>
      <w:tr>
        <w:tc>
          <w:tcPr/>
          <w:p>
            <w:pPr>
              <w:pStyle w:val="Compact"/>
              <w:jc w:val="right"/>
            </w:pPr>
            <w:r>
              <w:t xml:space="preserve">1892</w:t>
            </w:r>
          </w:p>
        </w:tc>
        <w:tc>
          <w:tcPr/>
          <w:p>
            <w:pPr>
              <w:pStyle w:val="Compact"/>
              <w:jc w:val="center"/>
            </w:pPr>
            <w:r>
              <w:t xml:space="preserve">1x</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center"/>
            </w:pPr>
            <w:r>
              <w:t xml:space="preserve">XIV</w:t>
            </w:r>
          </w:p>
        </w:tc>
        <w:tc>
          <w:tcPr/>
          <w:p>
            <w:pPr>
              <w:pStyle w:val="Compact"/>
              <w:jc w:val="center"/>
            </w:pPr>
            <w:r>
              <w:t xml:space="preserve">1x</w:t>
            </w:r>
          </w:p>
        </w:tc>
      </w:tr>
      <w:tr>
        <w:tc>
          <w:tcPr/>
          <w:p>
            <w:pPr>
              <w:pStyle w:val="Compact"/>
              <w:jc w:val="right"/>
            </w:pPr>
            <w:r>
              <w:t xml:space="preserve">1897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Jerozolima</w:t>
            </w:r>
          </w:p>
        </w:tc>
        <w:tc>
          <w:tcPr/>
          <w:p>
            <w:pPr>
              <w:pStyle w:val="Compact"/>
              <w:jc w:val="center"/>
            </w:pPr>
            <w:r>
              <w:t xml:space="preserve">XII</w:t>
            </w:r>
          </w:p>
        </w:tc>
        <w:tc>
          <w:tcPr/>
          <w:p>
            <w:pPr>
              <w:pStyle w:val="Compact"/>
              <w:jc w:val="center"/>
            </w:pPr>
            <w:r>
              <w:t xml:space="preserve">---</w:t>
            </w:r>
          </w:p>
        </w:tc>
      </w:tr>
      <w:tr>
        <w:tc>
          <w:tcPr/>
          <w:p>
            <w:pPr>
              <w:pStyle w:val="Compact"/>
              <w:jc w:val="right"/>
            </w:pPr>
            <w:r>
              <w:t xml:space="preserve">2221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Sparta</w:t>
            </w:r>
          </w:p>
        </w:tc>
        <w:tc>
          <w:tcPr/>
          <w:p>
            <w:pPr>
              <w:pStyle w:val="Compact"/>
              <w:jc w:val="center"/>
            </w:pPr>
            <w:r>
              <w:t xml:space="preserve">1432</w:t>
            </w:r>
          </w:p>
        </w:tc>
        <w:tc>
          <w:tcPr/>
          <w:p>
            <w:pPr>
              <w:pStyle w:val="Compact"/>
              <w:jc w:val="center"/>
            </w:pPr>
            <w:r>
              <w:t xml:space="preserve">---</w:t>
            </w:r>
          </w:p>
        </w:tc>
      </w:tr>
      <w:tr>
        <w:tc>
          <w:tcPr/>
          <w:p>
            <w:pPr>
              <w:pStyle w:val="Compact"/>
              <w:jc w:val="right"/>
            </w:pPr>
            <w:r>
              <w:t xml:space="preserve">2352</w:t>
            </w:r>
          </w:p>
        </w:tc>
        <w:tc>
          <w:tcPr/>
          <w:p>
            <w:pPr>
              <w:pStyle w:val="Compact"/>
              <w:jc w:val="center"/>
            </w:pPr>
            <w:r>
              <w:t xml:space="preserve">1c, 1i</w:t>
            </w:r>
          </w:p>
        </w:tc>
        <w:tc>
          <w:tcPr/>
          <w:p>
            <w:pPr>
              <w:pStyle w:val="Compact"/>
              <w:jc w:val="center"/>
            </w:pPr>
            <w:r>
              <w:t xml:space="preserve">---</w:t>
            </w:r>
          </w:p>
        </w:tc>
        <w:tc>
          <w:tcPr/>
          <w:p>
            <w:pPr>
              <w:pStyle w:val="Compact"/>
              <w:jc w:val="center"/>
            </w:pPr>
            <w:r>
              <w:t xml:space="preserve">---</w:t>
            </w:r>
          </w:p>
        </w:tc>
        <w:tc>
          <w:tcPr/>
          <w:p>
            <w:pPr>
              <w:pStyle w:val="Compact"/>
              <w:jc w:val="left"/>
            </w:pPr>
            <w:r>
              <w:t xml:space="preserve">Meteory</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2431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1i</w:t>
            </w:r>
          </w:p>
        </w:tc>
        <w:tc>
          <w:tcPr/>
          <w:p>
            <w:pPr>
              <w:pStyle w:val="Compact"/>
              <w:jc w:val="left"/>
            </w:pPr>
            <w:r>
              <w:t xml:space="preserve">Kavsokalyvia (Athos)</w:t>
            </w:r>
          </w:p>
        </w:tc>
        <w:tc>
          <w:tcPr/>
          <w:p>
            <w:pPr>
              <w:pStyle w:val="Compact"/>
              <w:jc w:val="center"/>
            </w:pPr>
            <w:r>
              <w:t xml:space="preserve">1332</w:t>
            </w:r>
          </w:p>
        </w:tc>
        <w:tc>
          <w:tcPr/>
          <w:p>
            <w:pPr>
              <w:pStyle w:val="Compact"/>
              <w:jc w:val="center"/>
            </w:pPr>
            <w:r>
              <w:t xml:space="preserve">---</w:t>
            </w:r>
          </w:p>
        </w:tc>
      </w:tr>
      <w:tr>
        <w:tc>
          <w:tcPr/>
          <w:p>
            <w:pPr>
              <w:pStyle w:val="Compact"/>
              <w:jc w:val="right"/>
            </w:pPr>
            <w:r>
              <w:t xml:space="preserve">2466</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2s</w:t>
            </w:r>
          </w:p>
        </w:tc>
        <w:tc>
          <w:tcPr/>
          <w:p>
            <w:pPr>
              <w:pStyle w:val="Compact"/>
              <w:jc w:val="left"/>
            </w:pPr>
            <w:r>
              <w:t xml:space="preserve">Patmos</w:t>
            </w:r>
          </w:p>
        </w:tc>
        <w:tc>
          <w:tcPr/>
          <w:p>
            <w:pPr>
              <w:pStyle w:val="Compact"/>
              <w:jc w:val="center"/>
            </w:pPr>
            <w:r>
              <w:t xml:space="preserve">1329</w:t>
            </w:r>
          </w:p>
        </w:tc>
        <w:tc>
          <w:tcPr/>
          <w:p>
            <w:pPr>
              <w:pStyle w:val="Compact"/>
              <w:jc w:val="center"/>
            </w:pPr>
            <w:r>
              <w:t xml:space="preserve">1/</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Bukareszt</w:t>
            </w:r>
          </w:p>
        </w:tc>
        <w:tc>
          <w:tcPr/>
          <w:p>
            <w:pPr>
              <w:pStyle w:val="Compact"/>
              <w:jc w:val="center"/>
            </w:pPr>
            <w:r>
              <w:t xml:space="preserve">1434</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1c</w:t>
            </w:r>
          </w:p>
        </w:tc>
        <w:tc>
          <w:tcPr/>
          <w:p>
            <w:pPr>
              <w:pStyle w:val="Compact"/>
              <w:jc w:val="left"/>
            </w:pPr>
            <w:r>
              <w:t xml:space="preserve">Watykan</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2626</w:t>
            </w:r>
          </w:p>
        </w:tc>
        <w:tc>
          <w:tcPr/>
          <w:p>
            <w:pPr>
              <w:pStyle w:val="Compact"/>
              <w:jc w:val="center"/>
            </w:pPr>
            <w:r>
              <w:t xml:space="preserve">1/</w:t>
            </w:r>
          </w:p>
        </w:tc>
        <w:tc>
          <w:tcPr/>
          <w:p>
            <w:pPr>
              <w:pStyle w:val="Compact"/>
              <w:jc w:val="center"/>
            </w:pPr>
            <w:r>
              <w:t xml:space="preserve">1/, 1s</w:t>
            </w:r>
          </w:p>
        </w:tc>
        <w:tc>
          <w:tcPr/>
          <w:p>
            <w:pPr>
              <w:pStyle w:val="Compact"/>
              <w:jc w:val="center"/>
            </w:pPr>
            <w:r>
              <w:t xml:space="preserve">2/</w:t>
            </w:r>
          </w:p>
        </w:tc>
        <w:tc>
          <w:tcPr/>
          <w:p>
            <w:pPr>
              <w:pStyle w:val="Compact"/>
              <w:jc w:val="left"/>
            </w:pPr>
            <w:r>
              <w:t xml:space="preserve">Ochryda</w:t>
            </w:r>
          </w:p>
        </w:tc>
        <w:tc>
          <w:tcPr/>
          <w:p>
            <w:pPr>
              <w:pStyle w:val="Compact"/>
              <w:jc w:val="center"/>
            </w:pPr>
            <w:r>
              <w:t xml:space="preserve">XIV</w:t>
            </w:r>
          </w:p>
        </w:tc>
        <w:tc>
          <w:tcPr/>
          <w:p>
            <w:pPr>
              <w:pStyle w:val="Compact"/>
              <w:jc w:val="center"/>
            </w:pPr>
            <w:r>
              <w:t xml:space="preserve">4/</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Trikala</w:t>
            </w:r>
          </w:p>
        </w:tc>
        <w:tc>
          <w:tcPr/>
          <w:p>
            <w:pPr>
              <w:pStyle w:val="Compact"/>
              <w:jc w:val="center"/>
            </w:pPr>
            <w:r>
              <w:t xml:space="preserve">XI</w:t>
            </w:r>
          </w:p>
        </w:tc>
        <w:tc>
          <w:tcPr/>
          <w:p>
            <w:pPr>
              <w:pStyle w:val="Compact"/>
              <w:jc w:val="center"/>
            </w:pPr>
            <w:r>
              <w:t xml:space="preserve">---</w:t>
            </w:r>
          </w:p>
        </w:tc>
      </w:tr>
    </w:tbl>
    <w:bookmarkEnd w:id="310"/>
    <w:bookmarkStart w:id="313" w:name="konsekwencje-1"/>
    <w:p>
      <w:pPr>
        <w:pStyle w:val="Heading3"/>
      </w:pPr>
      <w:r>
        <w:rPr>
          <w:iCs/>
          <w:i/>
        </w:rPr>
        <w:t xml:space="preserve">Konsekwencje</w:t>
      </w:r>
    </w:p>
    <w:p>
      <w:pPr>
        <w:pStyle w:val="FirstParagraph"/>
      </w:pPr>
      <w:r>
        <w:t xml:space="preserve">W 2 Liście Jana dwie trzecie (trzydzieści) manuskryptów jest w obecnym stanie doskonałymi przedstawicielami rodziny, w 3 Liście Jana odsetek również wynosi dwie trzecie (trzydzieści, lecz inny zestaw), w Liście Judy nieco mniej niż połowę (dwadzieścia dwa), a we wszystkich trzech — mniej niż jedną trzecią (czternaście). Ponad połowa (dwadzieścia dziewięć) egzemplarzy była przypuszczalnie doskonała. Ponieważ mam liczby dla wszystkich siedmiu ksiąg Listów Ogólnych, mogę zapewnić czytelnika, że wszystkie czterdzieści sześć manuskryptów jest niezależnych w swoim pokoleniu, podobnie jak ich egzemplarze. Rękopisy kursywne 149 i 201 są wyraźnie ze sobą powiązane, tak samo jak 432 i 604, a wszystkie cztery prawdopodobnie pochodzą ze wspólnego źródła pośredniego między nimi a archetypem. Nie widzę dowodów zmowy, „upychania urny wyborczej” — nie podejmowano zorganizowanego wysiłku ujednolicenia Tekstu. Patrzymy na normalny przekaz, z tym wyjątkiem, że był</w:t>
      </w:r>
      <w:r>
        <w:t xml:space="preserve"> </w:t>
      </w:r>
      <w:r>
        <w:rPr>
          <w:bCs/>
          <w:b/>
        </w:rPr>
        <w:t xml:space="preserve">niewiarygodnie staranny</w:t>
      </w:r>
      <w:r>
        <w:t xml:space="preserve">. Czternaście manuskryptów doskonałych we wszystkich trzech księgach miało doskonałych przodków przez całą drogę aż do archetypu, podobnie jak dwadzieścia dziewięć doskonałych egzemplarzy. Wyjaśnienie, w jaki sposób dochodzę do klasyfikacji egzemplarzy, czytelnik znajdzie w poprzedniej części.</w:t>
      </w:r>
    </w:p>
    <w:p>
      <w:pPr>
        <w:pStyle w:val="BodyText"/>
      </w:pPr>
      <w:r>
        <w:t xml:space="preserve">W miarę kolacjonowania kolejnych manuskryptów zaobserwowałem przewidywalny wzorzec. Przez pierwsze dwie lub trzy, a nawet cztery strony manuskrypty wykazują zwykle niewiele błędów albo żadnych. Jeśli skryba ma popełniać błędy, następuje to zwykle po tym, jak pracował już dostatecznie długo, by zacząć się męczyć lub nudzić. Dość często większość błędów znajduje się na jednej stronie lub w jednym rozdziale, następnie skryba zrobił przerwę (jak przypuszczam) i po powrocie do zadania, wypoczęty, wykonywał lepszą pracę. Powiedziałbym, że wysoki odsetek „doskonałych” kopii wynika w dużej mierze z niewielkich rozmiarów naszych trzech ksiąg — kopiści nie zdążyli się zmęczyć. Mimo wszystko spostrzeżenie to nie zmienia faktu, że przez stulecia trwał</w:t>
      </w:r>
      <w:r>
        <w:t xml:space="preserve"> </w:t>
      </w:r>
      <w:r>
        <w:rPr>
          <w:bCs/>
          <w:b/>
        </w:rPr>
        <w:t xml:space="preserve">niewiarygodnie staranny przekaz</w:t>
      </w:r>
      <w:r>
        <w:t xml:space="preserve">.</w:t>
      </w:r>
      <w:r>
        <w:rPr>
          <w:rStyle w:val="FootnoteReference"/>
        </w:rPr>
        <w:footnoteReference w:id="311"/>
      </w:r>
      <w:r>
        <w:t xml:space="preserve"> </w:t>
      </w:r>
      <w:r>
        <w:t xml:space="preserve">Biorąc pod uwagę wielkość mojej próby i rozmieszczenie geograficzne manuskryptów, jestem radośnie pewien, że mamy precyzyjne oryginalne sformułowania archetypu</w:t>
      </w:r>
      <w:r>
        <w:t xml:space="preserve"> </w:t>
      </w:r>
      <w:r>
        <w:rPr>
          <w:bCs/>
          <w:b/>
        </w:rPr>
        <w:t xml:space="preserve">f</w:t>
      </w:r>
      <w:r>
        <w:rPr>
          <w:vertAlign w:val="superscript"/>
          <w:bCs/>
          <w:b/>
        </w:rPr>
        <w:t xml:space="preserve">35</w:t>
      </w:r>
      <w:r>
        <w:t xml:space="preserve"> </w:t>
      </w:r>
      <w:r>
        <w:t xml:space="preserve">dla 2 i 3 Listu Jana oraz Listu Judy, co do litery. Zostały one odtworzone w moim Tekście greckim.</w:t>
      </w:r>
    </w:p>
    <w:p>
      <w:pPr>
        <w:pStyle w:val="BodyText"/>
      </w:pPr>
      <w:r>
        <w:t xml:space="preserve">Uwzględniając moje założenia wstępne, uważam, że mam dobry powód, by ogłosić Boskie zachowanie precyzyjnych oryginalnych sformułowań całego Tekstu Nowego Testamentu aż do dziś. Sformułowania te zostały odtworzone w moim wydaniu greckiego Nowego Testamentu,</w:t>
      </w:r>
      <w:r>
        <w:t xml:space="preserve"> </w:t>
      </w:r>
      <w:r>
        <w:rPr>
          <w:iCs/>
          <w:i/>
        </w:rPr>
        <w:t xml:space="preserve">The Greek New Testament According to Family 35</w:t>
      </w:r>
      <w:r>
        <w:t xml:space="preserve">, dostępnym na Amazon.com, a także na mojej stronie,</w:t>
      </w:r>
      <w:r>
        <w:t xml:space="preserve"> </w:t>
      </w:r>
      <w:r>
        <w:rPr>
          <w:u w:val="single"/>
        </w:rPr>
        <w:t xml:space="preserve">www.prunch.org</w:t>
      </w:r>
      <w:r>
        <w:t xml:space="preserve">. PROSZĘ JEDNAK ZAUWAŻYĆ:</w:t>
      </w:r>
      <w:r>
        <w:t xml:space="preserve"> </w:t>
      </w:r>
      <w:r>
        <w:rPr>
          <w:u w:val="single"/>
        </w:rPr>
        <w:t xml:space="preserve">niezależnie od tego, czy archetyp</w:t>
      </w:r>
      <w:r>
        <w:rPr>
          <w:u w:val="single"/>
        </w:rPr>
        <w:t xml:space="preserve"> </w:t>
      </w:r>
      <w:r>
        <w:rPr>
          <w:bCs/>
          <w:b/>
          <w:u w:val="single"/>
        </w:rPr>
        <w:t xml:space="preserve">f</w:t>
      </w:r>
      <w:r>
        <w:rPr>
          <w:vertAlign w:val="superscript"/>
          <w:bCs/>
          <w:b/>
          <w:u w:val="single"/>
        </w:rPr>
        <w:t xml:space="preserve">35</w:t>
      </w:r>
      <w:r>
        <w:rPr>
          <w:u w:val="single"/>
        </w:rPr>
        <w:t xml:space="preserve"> </w:t>
      </w:r>
      <w:r>
        <w:rPr>
          <w:u w:val="single"/>
        </w:rPr>
        <w:t xml:space="preserve">jest Autografem (jak twierdzę), faktem pozostaje, że manuskrypty skolacjonowane na potrzeby tego badania odzwierciedlają niewiarygodnie staranny przekaz swojego źródła, i to przez całe średniowiecze</w:t>
      </w:r>
      <w:r>
        <w:t xml:space="preserve">. Moje założenia wstępne obejmują następujące: Bóg istnieje, natchnął Tekst biblijny, obiecał zachować go przez tysiąc pokoleń (1 Księga Kronik 16,15), musi więc czynnie i nieustannie interesować się tym zachowaniem (od Adama minęło mniej niż 300 pokoleń, ma więc jeszcze trochę do zrobienia!).</w:t>
      </w:r>
      <w:r>
        <w:t xml:space="preserve"> </w:t>
      </w:r>
      <w:r>
        <w:rPr>
          <w:bCs/>
          <w:b/>
        </w:rPr>
        <w:t xml:space="preserve">Gdyby zachowywał oryginalne sformułowania w jakiejś innej linii przekazu niż f</w:t>
      </w:r>
      <w:r>
        <w:rPr>
          <w:vertAlign w:val="superscript"/>
          <w:bCs/>
          <w:b/>
        </w:rPr>
        <w:t xml:space="preserve">35</w:t>
      </w:r>
      <w:r>
        <w:rPr>
          <w:bCs/>
          <w:b/>
        </w:rPr>
        <w:t xml:space="preserve">, czy przekaz ten byłby mniej staranny niż ten, który wykazałem dla f</w:t>
      </w:r>
      <w:r>
        <w:rPr>
          <w:vertAlign w:val="superscript"/>
          <w:bCs/>
          <w:b/>
        </w:rPr>
        <w:t xml:space="preserve">35</w:t>
      </w:r>
      <w:r>
        <w:rPr>
          <w:bCs/>
          <w:b/>
        </w:rPr>
        <w:t xml:space="preserve">?</w:t>
      </w:r>
      <w:r>
        <w:t xml:space="preserve"> </w:t>
      </w:r>
      <w:r>
        <w:t xml:space="preserve">Nie sądzę. Każda linia przekazu charakteryzująca się wewnętrznym pomieszaniem zostaje więc zdyskwalifikowana — obejmuje to</w:t>
      </w:r>
      <w:r>
        <w:t xml:space="preserve"> </w:t>
      </w:r>
      <w:r>
        <w:rPr>
          <w:u w:val="single"/>
        </w:rPr>
        <w:t xml:space="preserve">wszystkie</w:t>
      </w:r>
      <w:r>
        <w:t xml:space="preserve"> </w:t>
      </w:r>
      <w:r>
        <w:t xml:space="preserve">inne linie przekazu, jakie dotąd widziałem!</w:t>
      </w:r>
      <w:r>
        <w:rPr>
          <w:rStyle w:val="FootnoteReference"/>
        </w:rPr>
        <w:footnoteReference w:id="312"/>
      </w:r>
    </w:p>
    <w:bookmarkEnd w:id="313"/>
    <w:bookmarkEnd w:id="314"/>
    <w:bookmarkStart w:id="321" w:name="Xd94ea9fac9a0ac668d89d8701dab9fd1cd009cd"/>
    <w:p>
      <w:pPr>
        <w:pStyle w:val="Heading2"/>
      </w:pPr>
      <w:r>
        <w:t xml:space="preserve">Najlepszy kompletny Nowy Testament, jaki dotąd widziałem!</w:t>
      </w:r>
    </w:p>
    <w:p>
      <w:pPr>
        <w:pStyle w:val="FirstParagraph"/>
      </w:pPr>
      <w:r>
        <w:t xml:space="preserve">GA 2554 jest jednym z wielu kompletnych manuskryptów Nowego Testamentu reprezentujących Rodzinę 35, które są dostępne społeczności akademickiej. Datowany jest na rok 1434 po Chr. i przechowywany przez Akademię Rumuńską w Bukareszcie. Pragnę wyrazić szczerą wdzięczność Instytutowi Badań Tekstu Nowego Testamentu w Münster za udostępnienie cyfrowej kopii ich mikrofilmu tego manuskryptu. Chociaż pochodzi z XV wieku, pismo jest bardzo staranne. Spośród osiemnastu kompletnych manuskryptów Nowego Testamentu reprezentujących Rodzinę 35, których kopie posiadam (istnieją też inne), 2554 jest bez wątpienia najlepszy — skolacjonowałem go od deski do deski. Wymienię teraz wszystkie miejsca, w których odbiega od archetypu rodziny, łącznie z pewnymi przypadkami wątpliwymi, w całym Nowym Testamencie.</w:t>
      </w:r>
      <w:r>
        <w:rPr>
          <w:rStyle w:val="FootnoteReference"/>
        </w:rPr>
        <w:footnoteReference w:id="315"/>
      </w:r>
      <w:r>
        <w:t xml:space="preserve"> </w:t>
      </w:r>
      <w:r>
        <w:t xml:space="preserve">Jest ich tylko 49,</w:t>
      </w:r>
      <w:r>
        <w:rPr>
          <w:rStyle w:val="FootnoteReference"/>
        </w:rPr>
        <w:footnoteReference w:id="316"/>
      </w:r>
      <w:r>
        <w:t xml:space="preserve"> </w:t>
      </w:r>
      <w:r>
        <w:t xml:space="preserve">nie wszystkie są właściwymi wariantami.</w:t>
      </w:r>
    </w:p>
    <w:p>
      <w:pPr>
        <w:numPr>
          <w:ilvl w:val="0"/>
          <w:numId w:val="1019"/>
        </w:numPr>
      </w:pPr>
      <w:r>
        <w:t xml:space="preserve">Ewangelia Mateusza 11,8</w:t>
      </w:r>
      <w:r>
        <w:t xml:space="preserve"> </w:t>
      </w:r>
      <w:r>
        <w:rPr>
          <w:iCs/>
          <w:i/>
        </w:rPr>
        <w:t xml:space="preserve">βασιλειων</w:t>
      </w:r>
      <w:r>
        <w:t xml:space="preserve"> </w:t>
      </w:r>
      <w:r>
        <w:t xml:space="preserve">||</w:t>
      </w:r>
      <w:r>
        <w:t xml:space="preserve"> </w:t>
      </w:r>
      <w:r>
        <w:rPr>
          <w:iCs/>
          <w:i/>
        </w:rPr>
        <w:t xml:space="preserve">βασιλεων</w:t>
      </w:r>
      <w:r>
        <w:t xml:space="preserve"> </w:t>
      </w:r>
      <w:r>
        <w:t xml:space="preserve">(36,4%)</w:t>
      </w:r>
      <w:r>
        <w:rPr>
          <w:rStyle w:val="FootnoteReference"/>
        </w:rPr>
        <w:footnoteReference w:id="317"/>
      </w:r>
      <w:r>
        <w:t xml:space="preserve"> </w:t>
      </w:r>
      <w:r>
        <w:t xml:space="preserve">2554</w:t>
      </w:r>
      <w:r>
        <w:rPr>
          <w:vertAlign w:val="superscript"/>
        </w:rPr>
        <w:t xml:space="preserve">c</w:t>
      </w:r>
      <w:r>
        <w:t xml:space="preserve"> </w:t>
      </w:r>
      <w:r>
        <w:t xml:space="preserve">(pierwsza ręka wyraźnie miała</w:t>
      </w:r>
      <w:r>
        <w:t xml:space="preserve"> </w:t>
      </w:r>
      <w:r>
        <w:rPr>
          <w:iCs/>
          <w:i/>
        </w:rPr>
        <w:t xml:space="preserve">iotę</w:t>
      </w:r>
      <w:r>
        <w:t xml:space="preserve">, którą następnie wymazano, nie jest to więc wariant, w każdym razie w tym kontekście obie formy są synonimiczne).</w:t>
      </w:r>
    </w:p>
    <w:p>
      <w:pPr>
        <w:numPr>
          <w:ilvl w:val="0"/>
          <w:numId w:val="1019"/>
        </w:numPr>
      </w:pPr>
      <w:r>
        <w:t xml:space="preserve">Ewangelia Mateusza 13,15</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[50%] 2554</w:t>
      </w:r>
      <w:r>
        <w:rPr>
          <w:vertAlign w:val="superscript"/>
        </w:rPr>
        <w:t xml:space="preserve">c</w:t>
      </w:r>
      <w:r>
        <w:t xml:space="preserve"> </w:t>
      </w:r>
      <w:r>
        <w:t xml:space="preserve">(pozostały ślady wymazanej prawej strony omegi, pierwsza ręka była więc poprawna, nie jest to zatem wariant, w każdym razie w tym kontekście zmiana czasu nie wpływa na znaczenie).</w:t>
      </w:r>
    </w:p>
    <w:p>
      <w:pPr>
        <w:numPr>
          <w:ilvl w:val="0"/>
          <w:numId w:val="1019"/>
        </w:numPr>
      </w:pPr>
      <w:r>
        <w:t xml:space="preserve">Ewangelia Mateusza 25,32</w:t>
      </w:r>
      <w:r>
        <w:t xml:space="preserve"> </w:t>
      </w:r>
      <w:r>
        <w:rPr>
          <w:iCs/>
          <w:i/>
        </w:rPr>
        <w:t xml:space="preserve">συναχθησονται</w:t>
      </w:r>
      <w:r>
        <w:t xml:space="preserve"> </w:t>
      </w:r>
      <w:r>
        <w:t xml:space="preserve">||</w:t>
      </w:r>
      <w:r>
        <w:t xml:space="preserve"> </w:t>
      </w:r>
      <w:r>
        <w:rPr>
          <w:iCs/>
          <w:i/>
        </w:rPr>
        <w:t xml:space="preserve">συναχθησεται</w:t>
      </w:r>
      <w:r>
        <w:t xml:space="preserve"> </w:t>
      </w:r>
      <w:r>
        <w:t xml:space="preserve">[70%] (uwzględniam ten przypadek tylko dlatego, że spośród 51 przedstawicieli rodziny, których dotąd skolacjonowałem dla Ewangelii Mateusza, niewielka większość ma liczbę pojedynczą zamiast mnogiej (27/24), ze względu na jakość mniejszości, obejmującej 2554, wybrałem ją jako archetyp, w każdym razie niezależnie od tego, czy rzeczownik zbiorowy jest traktowany jako liczba pojedyncza czy mnoga, znaczenie pozostaje takie samo — są to dwa sposoby powiedzenia tego samego).</w:t>
      </w:r>
    </w:p>
    <w:p>
      <w:pPr>
        <w:numPr>
          <w:ilvl w:val="0"/>
          <w:numId w:val="1019"/>
        </w:numPr>
      </w:pPr>
      <w:r>
        <w:t xml:space="preserve">Ewangelia Mateusza 26,29</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[70%]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pStyle w:val="FirstParagraph"/>
      </w:pPr>
      <w:r>
        <w:rPr>
          <w:bCs/>
          <w:b/>
        </w:rPr>
        <w:t xml:space="preserve">Komentarz</w:t>
      </w:r>
      <w:r>
        <w:t xml:space="preserve">: Uważam, że pierwsza ręka daje nam doskonałą kopię archetypu dla Ewangelii Mateusza.</w:t>
      </w:r>
    </w:p>
    <w:p>
      <w:pPr>
        <w:numPr>
          <w:ilvl w:val="0"/>
          <w:numId w:val="1020"/>
        </w:numPr>
      </w:pPr>
      <w:r>
        <w:t xml:space="preserve">Ewangelia Marka 2,23</w:t>
      </w:r>
      <w:r>
        <w:t xml:space="preserve"> </w:t>
      </w:r>
      <w:r>
        <w:rPr>
          <w:iCs/>
          <w:i/>
        </w:rPr>
        <w:t xml:space="preserve">ποιειν</w:t>
      </w:r>
      <w:r>
        <w:t xml:space="preserve"> </w:t>
      </w:r>
      <w:r>
        <w:t xml:space="preserve">2554</w:t>
      </w:r>
      <w:r>
        <w:rPr>
          <w:vertAlign w:val="superscript"/>
        </w:rPr>
        <w:t xml:space="preserve">c</w:t>
      </w:r>
      <w:r>
        <w:t xml:space="preserve"> </w:t>
      </w:r>
      <w:r>
        <w:t xml:space="preserve">||</w:t>
      </w:r>
      <w:r>
        <w:t xml:space="preserve"> </w:t>
      </w:r>
      <w:r>
        <w:rPr>
          <w:iCs/>
          <w:i/>
        </w:rPr>
        <w:t xml:space="preserve">πιειν</w:t>
      </w:r>
      <w:r>
        <w:t xml:space="preserve"> </w:t>
      </w:r>
      <w:r>
        <w:t xml:space="preserve">2554 (wygląda na to, że egzemplarz 2554 miał πιειν, a kopista należycie to przepisał, następnie jednak uświadomił sobie, że był to bezsensowny błąd, i go poprawił, jeśli poprawki dokonała pierwsza ręka, nie mamy właściwego wariantu, lecz pracując z mikrofilmu, trudno stwierdzić, czy atrament jest ten sam).</w:t>
      </w:r>
    </w:p>
    <w:p>
      <w:pPr>
        <w:numPr>
          <w:ilvl w:val="0"/>
          <w:numId w:val="1020"/>
        </w:numPr>
      </w:pPr>
      <w:r>
        <w:t xml:space="preserve">Ewangelia Marka 5,41</w:t>
      </w:r>
      <w:r>
        <w:t xml:space="preserve"> </w:t>
      </w:r>
      <w:r>
        <w:rPr>
          <w:iCs/>
          <w:i/>
        </w:rPr>
        <w:t xml:space="preserve">κουμι</w:t>
      </w:r>
      <w:r>
        <w:t xml:space="preserve"> </w:t>
      </w:r>
      <w:r>
        <w:t xml:space="preserve">||</w:t>
      </w:r>
      <w:r>
        <w:t xml:space="preserve"> </w:t>
      </w:r>
      <w:r>
        <w:rPr>
          <w:iCs/>
          <w:i/>
        </w:rPr>
        <w:t xml:space="preserve">κουμ</w:t>
      </w:r>
      <w:r>
        <w:t xml:space="preserve"> </w:t>
      </w:r>
      <w:r>
        <w:t xml:space="preserve">(17,4%) 2554 (jest to transliteracja z innego języka, różnica w pisowni nie wpływa więc na znaczenie, tym bardziej że bezpośrednio potem podano tłumaczenie, nie uważam tego za właściwy wariant).</w:t>
      </w:r>
    </w:p>
    <w:p>
      <w:pPr>
        <w:numPr>
          <w:ilvl w:val="0"/>
          <w:numId w:val="1020"/>
        </w:numPr>
      </w:pPr>
      <w:r>
        <w:t xml:space="preserve">Ewangelia Marka 14,25</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[25%]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0"/>
        </w:numPr>
      </w:pPr>
      <w:r>
        <w:t xml:space="preserve">Ewangelia Marka 15,46</w:t>
      </w:r>
      <w:r>
        <w:t xml:space="preserve"> </w:t>
      </w:r>
      <w:r>
        <w:rPr>
          <w:iCs/>
          <w:i/>
        </w:rPr>
        <w:t xml:space="preserve">επι την θυραν</w:t>
      </w:r>
      <w:r>
        <w:t xml:space="preserve"> </w:t>
      </w:r>
      <w:r>
        <w:t xml:space="preserve">|| 1</w:t>
      </w:r>
      <w:r>
        <w:t xml:space="preserve"> </w:t>
      </w:r>
      <w:r>
        <w:rPr>
          <w:iCs/>
          <w:i/>
        </w:rPr>
        <w:t xml:space="preserve">τη θυρα</w:t>
      </w:r>
      <w:r>
        <w:t xml:space="preserve"> </w:t>
      </w:r>
      <w:r>
        <w:t xml:space="preserve">[1%] 2554 (około jednej czwartej przedstawicieli rodziny łączy się tutaj z 2554, przyimek łączy się z trzema przypadkami — dopełniaczem, celownikiem i biernikiem — w tym kontekście zmiana przypadku nie wpływa na znaczenie).</w:t>
      </w:r>
    </w:p>
    <w:p>
      <w:pPr>
        <w:pStyle w:val="FirstParagraph"/>
      </w:pPr>
      <w:r>
        <w:rPr>
          <w:bCs/>
          <w:b/>
        </w:rPr>
        <w:t xml:space="preserve">Komentarz</w:t>
      </w:r>
      <w:r>
        <w:t xml:space="preserve">: Uważam, że pierwsza ręka ma w Ewangelii Marka tylko jeden właściwy wariant, ostatni, i nie wpływa on na znaczenie.</w:t>
      </w:r>
    </w:p>
    <w:p>
      <w:pPr>
        <w:numPr>
          <w:ilvl w:val="0"/>
          <w:numId w:val="1021"/>
        </w:numPr>
      </w:pPr>
      <w:r>
        <w:t xml:space="preserve">Ewangelia Łukasza 1,36</w:t>
      </w:r>
      <w:r>
        <w:t xml:space="preserve"> </w:t>
      </w:r>
      <w:r>
        <w:rPr>
          <w:iCs/>
          <w:i/>
        </w:rPr>
        <w:t xml:space="preserve">συγγενης</w:t>
      </w:r>
      <w:r>
        <w:t xml:space="preserve"> </w:t>
      </w:r>
      <w:r>
        <w:t xml:space="preserve">||</w:t>
      </w:r>
      <w:r>
        <w:t xml:space="preserve"> </w:t>
      </w:r>
      <w:r>
        <w:rPr>
          <w:iCs/>
          <w:i/>
        </w:rPr>
        <w:t xml:space="preserve">συγγενις</w:t>
      </w:r>
      <w:r>
        <w:t xml:space="preserve"> </w:t>
      </w:r>
      <w:r>
        <w:t xml:space="preserve">[10%] 2554 (zamiast przymiotnika funkcjonującego jako rzeczownik rodzaju ogólnego 2554 używa rzeczownika rodzaju żeńskiego, w tym kontekście obie formy są synonimiczne).</w:t>
      </w:r>
    </w:p>
    <w:p>
      <w:pPr>
        <w:numPr>
          <w:ilvl w:val="0"/>
          <w:numId w:val="1021"/>
        </w:numPr>
      </w:pPr>
      <w:r>
        <w:t xml:space="preserve">Ewangelia Łukasza 1,55</w:t>
      </w:r>
      <w:r>
        <w:t xml:space="preserve"> </w:t>
      </w:r>
      <w:r>
        <w:rPr>
          <w:iCs/>
          <w:i/>
        </w:rPr>
        <w:t xml:space="preserve">εως αιωνος</w:t>
      </w:r>
      <w:r>
        <w:t xml:space="preserve"> </w:t>
      </w:r>
      <w:r>
        <w:t xml:space="preserve">||</w:t>
      </w:r>
      <w:r>
        <w:t xml:space="preserve"> </w:t>
      </w:r>
      <w:r>
        <w:rPr>
          <w:iCs/>
          <w:i/>
        </w:rPr>
        <w:t xml:space="preserve">εις τον αιωνα</w:t>
      </w:r>
      <w:r>
        <w:t xml:space="preserve"> </w:t>
      </w:r>
      <w:r>
        <w:t xml:space="preserve">[64%] 2554 (wariant jest zdecydowanie bardziej powszechny, a zatem oczekiwany, lecz w tym kontekście obie formy są praktycznie synonimiczne, żadna różnica odcienia nie zmienia podstawowego znaczenia).</w:t>
      </w:r>
    </w:p>
    <w:p>
      <w:pPr>
        <w:numPr>
          <w:ilvl w:val="0"/>
          <w:numId w:val="1021"/>
        </w:numPr>
      </w:pPr>
      <w:r>
        <w:t xml:space="preserve">Ewangelia Łukasza 3,1</w:t>
      </w:r>
      <w:r>
        <w:t xml:space="preserve"> </w:t>
      </w:r>
      <w:r>
        <w:rPr>
          <w:iCs/>
          <w:i/>
        </w:rPr>
        <w:t xml:space="preserve">αβιληνης</w:t>
      </w:r>
      <w:r>
        <w:t xml:space="preserve"> </w:t>
      </w:r>
      <w:r>
        <w:t xml:space="preserve">||</w:t>
      </w:r>
      <w:r>
        <w:t xml:space="preserve"> </w:t>
      </w:r>
      <w:r>
        <w:rPr>
          <w:iCs/>
          <w:i/>
        </w:rPr>
        <w:t xml:space="preserve">αβιλινης</w:t>
      </w:r>
      <w:r>
        <w:t xml:space="preserve"> </w:t>
      </w:r>
      <w:r>
        <w:t xml:space="preserve">2554 (być może itacyzm, który doprowadził do alternatywnej pisowni nazwy miejsca, obie formy wymawiano tak samo, nie uważam tego za właściwy wariant).</w:t>
      </w:r>
    </w:p>
    <w:p>
      <w:pPr>
        <w:numPr>
          <w:ilvl w:val="0"/>
          <w:numId w:val="1021"/>
        </w:numPr>
      </w:pPr>
      <w:r>
        <w:t xml:space="preserve">Ewangelia Łukasza 3,18</w:t>
      </w:r>
      <w:r>
        <w:t xml:space="preserve"> </w:t>
      </w:r>
      <w:r>
        <w:rPr>
          <w:iCs/>
          <w:i/>
        </w:rPr>
        <w:t xml:space="preserve">τω λαω</w:t>
      </w:r>
      <w:r>
        <w:t xml:space="preserve"> </w:t>
      </w:r>
      <w:r>
        <w:t xml:space="preserve">||</w:t>
      </w:r>
      <w:r>
        <w:t xml:space="preserve"> </w:t>
      </w:r>
      <w:r>
        <w:rPr>
          <w:iCs/>
          <w:i/>
        </w:rPr>
        <w:t xml:space="preserve">τον λαον</w:t>
      </w:r>
      <w:r>
        <w:t xml:space="preserve"> </w:t>
      </w:r>
      <w:r>
        <w:t xml:space="preserve">[85%] 2554 (ponieważ dopełnienie bliższe, „dobra nowina”, jest domyślnie zawarte w czasowniku, „lud” funkcjonuje jako dopełnienie dalsze, a celownik jest poprawny, występuje jednak także biernik, a w tym kontekście nie ma różnicy znaczeniowej).</w:t>
      </w:r>
    </w:p>
    <w:p>
      <w:pPr>
        <w:numPr>
          <w:ilvl w:val="0"/>
          <w:numId w:val="1021"/>
        </w:numPr>
      </w:pPr>
      <w:r>
        <w:t xml:space="preserve">Ewangelia Łukasza 12,18</w:t>
      </w:r>
      <w:r>
        <w:t xml:space="preserve"> </w:t>
      </w:r>
      <w:r>
        <w:rPr>
          <w:iCs/>
          <w:i/>
        </w:rPr>
        <w:t xml:space="preserve">γενηματα</w:t>
      </w:r>
      <w:r>
        <w:t xml:space="preserve"> </w:t>
      </w:r>
      <w:r>
        <w:t xml:space="preserve">||</w:t>
      </w:r>
      <w:r>
        <w:t xml:space="preserve"> </w:t>
      </w:r>
      <w:r>
        <w:rPr>
          <w:iCs/>
          <w:i/>
        </w:rPr>
        <w:t xml:space="preserve">γεννηματα</w:t>
      </w:r>
      <w:r>
        <w:t xml:space="preserve"> </w:t>
      </w:r>
      <w:r>
        <w:t xml:space="preserve">[7%]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1"/>
        </w:numPr>
      </w:pPr>
      <w:r>
        <w:t xml:space="preserve">Ewangelia Łukasza 21,33</w:t>
      </w:r>
      <w:r>
        <w:t xml:space="preserve"> </w:t>
      </w:r>
      <w:r>
        <w:rPr>
          <w:iCs/>
          <w:i/>
        </w:rPr>
        <w:t xml:space="preserve">παρελευσεται</w:t>
      </w:r>
      <w:r>
        <w:t xml:space="preserve"> </w:t>
      </w:r>
      <w:r>
        <w:t xml:space="preserve">||</w:t>
      </w:r>
      <w:r>
        <w:t xml:space="preserve"> </w:t>
      </w:r>
      <w:r>
        <w:rPr>
          <w:iCs/>
          <w:i/>
        </w:rPr>
        <w:t xml:space="preserve">παρελευσονται</w:t>
      </w:r>
      <w:r>
        <w:t xml:space="preserve"> </w:t>
      </w:r>
      <w:r>
        <w:t xml:space="preserve">[68%] 2554 (niezależnie od tego, czy złożony podmiot czasownika jest traktowany jako liczba pojedyncza czy mnoga, znaczenie jest takie samo, w języku angielskim tłumaczenie jest takie samo).</w:t>
      </w:r>
    </w:p>
    <w:p>
      <w:pPr>
        <w:numPr>
          <w:ilvl w:val="0"/>
          <w:numId w:val="1021"/>
        </w:numPr>
      </w:pPr>
      <w:r>
        <w:t xml:space="preserve">Ewangelia Łukasza 22,18</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[15%]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pStyle w:val="FirstParagraph"/>
      </w:pPr>
      <w:r>
        <w:rPr>
          <w:bCs/>
          <w:b/>
        </w:rPr>
        <w:t xml:space="preserve">Komentarz</w:t>
      </w:r>
      <w:r>
        <w:t xml:space="preserve">: Uważam, że pierwsza ręka ma w Ewangelii Łukasza cztery właściwe warianty i nie wpływają one na znaczenie.</w:t>
      </w:r>
    </w:p>
    <w:p>
      <w:pPr>
        <w:numPr>
          <w:ilvl w:val="0"/>
          <w:numId w:val="1022"/>
        </w:numPr>
      </w:pPr>
      <w:r>
        <w:t xml:space="preserve">Ewangelia Jana 6,55</w:t>
      </w:r>
      <w:r>
        <w:t xml:space="preserve"> </w:t>
      </w:r>
      <w:r>
        <w:rPr>
          <w:iCs/>
          <w:i/>
        </w:rPr>
        <w:t xml:space="preserve">αληθως</w:t>
      </w:r>
      <w:r>
        <w:t xml:space="preserve"> </w:t>
      </w:r>
      <w:r>
        <w:t xml:space="preserve">||</w:t>
      </w:r>
      <w:r>
        <w:t xml:space="preserve"> </w:t>
      </w:r>
      <w:r>
        <w:rPr>
          <w:iCs/>
          <w:i/>
        </w:rPr>
        <w:t xml:space="preserve">αληθης</w:t>
      </w:r>
      <w:r>
        <w:t xml:space="preserve"> </w:t>
      </w:r>
      <w:r>
        <w:t xml:space="preserve">(24,5%) 2554</w:t>
      </w:r>
      <w:r>
        <w:rPr>
          <w:vertAlign w:val="superscript"/>
        </w:rPr>
        <w:t xml:space="preserve">2x</w:t>
      </w:r>
      <w:r>
        <w:t xml:space="preserve"> </w:t>
      </w:r>
      <w:r>
        <w:t xml:space="preserve">(niezależnie od tego, czy jest to przysłówek, czy przymiotnik, w tym kontekście mają to samo znaczenie, powtórzenie traktuję jako jeden wariant).</w:t>
      </w:r>
    </w:p>
    <w:p>
      <w:pPr>
        <w:numPr>
          <w:ilvl w:val="0"/>
          <w:numId w:val="1022"/>
        </w:numPr>
      </w:pPr>
      <w:r>
        <w:t xml:space="preserve">Ewangelia Jana 12,6</w:t>
      </w:r>
      <w:r>
        <w:t xml:space="preserve"> </w:t>
      </w:r>
      <w:r>
        <w:rPr>
          <w:iCs/>
          <w:i/>
        </w:rPr>
        <w:t xml:space="preserve">εμελεν</w:t>
      </w:r>
      <w:r>
        <w:t xml:space="preserve"> </w:t>
      </w:r>
      <w:r>
        <w:t xml:space="preserve">||</w:t>
      </w:r>
      <w:r>
        <w:t xml:space="preserve"> </w:t>
      </w:r>
      <w:r>
        <w:rPr>
          <w:iCs/>
          <w:i/>
        </w:rPr>
        <w:t xml:space="preserve">εμελλεν</w:t>
      </w:r>
      <w:r>
        <w:t xml:space="preserve"> </w:t>
      </w:r>
      <w:r>
        <w:t xml:space="preserve">[60%] (po uwzględnieniu poprawek skolacjonowane przeze mnie manuskrypty (57) dzielą się mniej więcej po równo. Czy czasownikiem jest μελω, czy μελλω? μελει jako forma bezosobowa jest najczęstsze, czasownik ten jest jednak używany także w sensie osobowym/czynnym. μελλω („mieć coś uczynić”) nie ma tutaj sensu. μελλω występuje około dziesięć razy częściej w Nowym Testamencie i niektórzy kopiści mogli bez zastanowienia zapisać bardziej zwyczajną pisownię. Zaledwie dwa wiersze wyżej napisali μελλων i mogli powtórzyć tę formę przez przyciąganie. Ponieważ jednak obie formy wymawia się tak samo, ktoś słuchający głośnego odczytywania Tekstu zrozumiałby go poprawnie, kierując się kontekstem. Właśnie z tego powodu możliwe jest, że zakres semantyczny dłuższej formy zaczęto uważać za obejmujący zakres formy krótszej, w takim przypadku mielibyśmy alternatywne pisownie tego samego czasownika. (Nie mam zwyczaju odwoływać się do wczesnych uncjałów, lecz wszystkie mają tutaj formę krótszą, co zgadzałoby się z moją powyższą hipotezą). Pierwsza ręka 2554 pozostawiła miejsce na drugą</w:t>
      </w:r>
      <w:r>
        <w:t xml:space="preserve"> </w:t>
      </w:r>
      <w:r>
        <w:rPr>
          <w:iCs/>
          <w:i/>
        </w:rPr>
        <w:t xml:space="preserve">lambdę</w:t>
      </w:r>
      <w:r>
        <w:t xml:space="preserve">, była więc świadoma wariantu, lecz poprawnie go nie skopiowała).</w:t>
      </w:r>
    </w:p>
    <w:p>
      <w:pPr>
        <w:numPr>
          <w:ilvl w:val="0"/>
          <w:numId w:val="1022"/>
        </w:numPr>
      </w:pPr>
      <w:r>
        <w:t xml:space="preserve">Ewangelia Jana 12,40</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[20%] 2554 (pierwsza ręka 2554 pozostawiła miejsce na dokończenie</w:t>
      </w:r>
      <w:r>
        <w:t xml:space="preserve"> </w:t>
      </w:r>
      <w:r>
        <w:rPr>
          <w:iCs/>
          <w:i/>
        </w:rPr>
        <w:t xml:space="preserve">omegi</w:t>
      </w:r>
      <w:r>
        <w:t xml:space="preserve">, była więc świadoma wariantu, w tym kontekście zmiana czasu nie wpływa na znaczenie).</w:t>
      </w:r>
    </w:p>
    <w:p>
      <w:pPr>
        <w:pStyle w:val="FirstParagraph"/>
      </w:pPr>
      <w:r>
        <w:rPr>
          <w:bCs/>
          <w:b/>
        </w:rPr>
        <w:t xml:space="preserve">Komentarz</w:t>
      </w:r>
      <w:r>
        <w:t xml:space="preserve">: Uważam, że pierwsza ręka ma w Ewangelii Jana dwa właściwe warianty i nie wpływają one na znaczenie. 2 + 4 + 1 = 7, manuskrypt mający tylko siedem wariantów we wszystkich czterech Ewangeliach jest z pewnością wzorem cnót. Nazywam to nadzwyczaj starannym przekazem, ponieważ z konieczności odnosiłoby się to również do wcześniejszych pokoleń.</w:t>
      </w:r>
    </w:p>
    <w:p>
      <w:pPr>
        <w:numPr>
          <w:ilvl w:val="0"/>
          <w:numId w:val="1023"/>
        </w:numPr>
      </w:pPr>
      <w:r>
        <w:t xml:space="preserve">Dzieje Apostolskie 1,11</w:t>
      </w:r>
      <w:r>
        <w:t xml:space="preserve"> </w:t>
      </w:r>
      <w:r>
        <w:rPr>
          <w:iCs/>
          <w:i/>
        </w:rPr>
        <w:t xml:space="preserve">ουτος</w:t>
      </w:r>
      <w:r>
        <w:t xml:space="preserve"> </w:t>
      </w:r>
      <w:r>
        <w:t xml:space="preserve">|| 1</w:t>
      </w:r>
      <w:r>
        <w:t xml:space="preserve"> </w:t>
      </w:r>
      <w:r>
        <w:rPr>
          <w:iCs/>
          <w:i/>
        </w:rPr>
        <w:t xml:space="preserve">ο</w:t>
      </w:r>
      <w:r>
        <w:t xml:space="preserve"> </w:t>
      </w:r>
      <w:r>
        <w:t xml:space="preserve">[70%] 2554 (zaimek wskazujący określa nawet bardziej niż rodzajnik określony, rodzajnik jest więc tutaj zbędny, w każdym razie znaczenie nie zostaje naruszone).</w:t>
      </w:r>
    </w:p>
    <w:p>
      <w:pPr>
        <w:numPr>
          <w:ilvl w:val="0"/>
          <w:numId w:val="1023"/>
        </w:numPr>
      </w:pPr>
      <w:r>
        <w:t xml:space="preserve">Dzieje Apostolskie 11,26</w:t>
      </w:r>
      <w:r>
        <w:t xml:space="preserve"> </w:t>
      </w:r>
      <w:r>
        <w:rPr>
          <w:iCs/>
          <w:i/>
        </w:rPr>
        <w:t xml:space="preserve">συναχθηναι</w:t>
      </w:r>
      <w:r>
        <w:t xml:space="preserve"> </w:t>
      </w:r>
      <w:r>
        <w:t xml:space="preserve">|| 1</w:t>
      </w:r>
      <w:r>
        <w:t xml:space="preserve"> </w:t>
      </w:r>
      <w:r>
        <w:rPr>
          <w:iCs/>
          <w:i/>
        </w:rPr>
        <w:t xml:space="preserve">εν</w:t>
      </w:r>
      <w:r>
        <w:t xml:space="preserve"> </w:t>
      </w:r>
      <w:r>
        <w:t xml:space="preserve">[20%] 2554 (rodzina jest tutaj podzielona, niewielka większość z 35 skolacjonowanych przeze mnie manuskryptów dodaje przyimek, co jest zmianą „naturalną”, lecz zbędną, w każdym razie znaczenie nie zostaje naruszone).</w:t>
      </w:r>
    </w:p>
    <w:p>
      <w:pPr>
        <w:numPr>
          <w:ilvl w:val="0"/>
          <w:numId w:val="1023"/>
        </w:numPr>
      </w:pPr>
      <w:r>
        <w:t xml:space="preserve">Dzieje Apostolskie 12,25</w:t>
      </w:r>
      <w:r>
        <w:t xml:space="preserve"> </w:t>
      </w:r>
      <w:r>
        <w:rPr>
          <w:iCs/>
          <w:i/>
        </w:rPr>
        <w:t xml:space="preserve">εις αντιοχειαν</w:t>
      </w:r>
      <w:r>
        <w:t xml:space="preserve"> </w:t>
      </w:r>
      <w:r>
        <w:t xml:space="preserve">||</w:t>
      </w:r>
      <w:r>
        <w:t xml:space="preserve"> </w:t>
      </w:r>
      <w:r>
        <w:rPr>
          <w:iCs/>
          <w:i/>
        </w:rPr>
        <w:t xml:space="preserve">απο ιερουσαλημ</w:t>
      </w:r>
      <w:r>
        <w:t xml:space="preserve"> </w:t>
      </w:r>
      <w:r>
        <w:t xml:space="preserve">2554 (jest to jedyne miejsce w całym Nowym Testamencie, w którym Rodzina 35 rozpada się na odłamy, istnieje bowiem sześciokrotny podział [zazwyczaj jest tylko dwóch głównych kandydatów], szczegółowe omówienie zawiera mój artykuł „Where to place a comma—Acts 12:25”, dostępny na mojej stronie www.prunch.org, w tym kontekście oba podane tutaj odczyty mają ten sam skutek, artykuł jest również ostatnią pozycją w Dodatku do mojego tłumaczenia Nowego Testamentu,</w:t>
      </w:r>
      <w:r>
        <w:t xml:space="preserve"> </w:t>
      </w:r>
      <w:r>
        <w:rPr>
          <w:iCs/>
          <w:i/>
        </w:rPr>
        <w:t xml:space="preserve">The Sovereign Creator Has Spoken</w:t>
      </w:r>
      <w:r>
        <w:t xml:space="preserve">, wydanie drugie).</w:t>
      </w:r>
    </w:p>
    <w:p>
      <w:pPr>
        <w:numPr>
          <w:ilvl w:val="0"/>
          <w:numId w:val="1023"/>
        </w:numPr>
      </w:pPr>
      <w:r>
        <w:t xml:space="preserve">Dzieje Apostolskie 16,9</w:t>
      </w:r>
      <w:r>
        <w:t xml:space="preserve"> </w:t>
      </w:r>
      <w:r>
        <w:rPr>
          <w:iCs/>
          <w:i/>
        </w:rPr>
        <w:t xml:space="preserve">την</w:t>
      </w:r>
      <w:r>
        <w:t xml:space="preserve"> </w:t>
      </w:r>
      <w:r>
        <w:t xml:space="preserve">2554</w:t>
      </w:r>
      <w:r>
        <w:rPr>
          <w:vertAlign w:val="superscript"/>
        </w:rPr>
        <w:t xml:space="preserve">c</w:t>
      </w:r>
      <w:r>
        <w:t xml:space="preserve"> </w:t>
      </w:r>
      <w:r>
        <w:t xml:space="preserve">|| --- [80%] 2554 (Rodzina 35 jest praktycznie jednomyślna na rzecz rodzajnika, pierwsza ręka mogła więc pominąć go samodzielnie, po czym został poprawiony przez kogoś innego, w każdym razie znaczenie nie zostaje naruszone).</w:t>
      </w:r>
    </w:p>
    <w:p>
      <w:pPr>
        <w:numPr>
          <w:ilvl w:val="0"/>
          <w:numId w:val="1023"/>
        </w:numPr>
      </w:pPr>
      <w:r>
        <w:t xml:space="preserve">Dzieje Apostolskie 18,17</w:t>
      </w:r>
      <w:r>
        <w:t xml:space="preserve"> </w:t>
      </w:r>
      <w:r>
        <w:rPr>
          <w:iCs/>
          <w:i/>
        </w:rPr>
        <w:t xml:space="preserve">εμελλεν</w:t>
      </w:r>
      <w:r>
        <w:t xml:space="preserve"> </w:t>
      </w:r>
      <w:r>
        <w:t xml:space="preserve">||</w:t>
      </w:r>
      <w:r>
        <w:t xml:space="preserve"> </w:t>
      </w:r>
      <w:r>
        <w:rPr>
          <w:iCs/>
          <w:i/>
        </w:rPr>
        <w:t xml:space="preserve">εμελεν</w:t>
      </w:r>
      <w:r>
        <w:t xml:space="preserve"> </w:t>
      </w:r>
      <w:r>
        <w:t xml:space="preserve">[14%] 2554</w:t>
      </w:r>
      <w:r>
        <w:rPr>
          <w:vertAlign w:val="superscript"/>
        </w:rPr>
        <w:t xml:space="preserve">c</w:t>
      </w:r>
      <w:r>
        <w:t xml:space="preserve"> </w:t>
      </w:r>
      <w:r>
        <w:t xml:space="preserve">(Rodzina 35 jest tutaj podzielona, 2554 ma pojedynczą</w:t>
      </w:r>
      <w:r>
        <w:t xml:space="preserve"> </w:t>
      </w:r>
      <w:r>
        <w:rPr>
          <w:iCs/>
          <w:i/>
        </w:rPr>
        <w:t xml:space="preserve">lambdę</w:t>
      </w:r>
      <w:r>
        <w:t xml:space="preserve"> </w:t>
      </w:r>
      <w:r>
        <w:t xml:space="preserve">w miejscu, które jest dla niej zbyt duże, zakładam więc, że pierwsza ręka miała podwójną, lecz została ona wymazana. Czy czasownikiem jest</w:t>
      </w:r>
      <w:r>
        <w:t xml:space="preserve"> </w:t>
      </w:r>
      <w:r>
        <w:rPr>
          <w:iCs/>
          <w:i/>
        </w:rPr>
        <w:t xml:space="preserve">μελλω</w:t>
      </w:r>
      <w:r>
        <w:t xml:space="preserve">, czy</w:t>
      </w:r>
      <w:r>
        <w:t xml:space="preserve"> </w:t>
      </w:r>
      <w:r>
        <w:rPr>
          <w:iCs/>
          <w:i/>
        </w:rPr>
        <w:t xml:space="preserve">μελω</w:t>
      </w:r>
      <w:r>
        <w:t xml:space="preserve">? Jeśli pierwszy, znaczenie nie jest powszechne i mogło łatwo dać początek drugiemu. Tłumaczenie: „Żadna z tych rzeczy nie była dla Galliona zwłoką”, Gallion jest w celowniku. Gallion przypuszczalnie uważał się za człowieka zajętego i nie doceniał zakłócenia, nie zamierzał pozwolić, by dalej go zatrzymywano. W 22,16 ten sam czasownik ma znaczenie „zwlekać”. Chociaż istnieje pewna różnica znaczeniowa, sens narracji nie zostaje zmieniony).</w:t>
      </w:r>
    </w:p>
    <w:p>
      <w:pPr>
        <w:numPr>
          <w:ilvl w:val="0"/>
          <w:numId w:val="1023"/>
        </w:numPr>
      </w:pPr>
      <w:r>
        <w:t xml:space="preserve">Dzieje Apostolskie 25,7</w:t>
      </w:r>
      <w:r>
        <w:t xml:space="preserve"> </w:t>
      </w:r>
      <w:r>
        <w:rPr>
          <w:iCs/>
          <w:i/>
        </w:rPr>
        <w:t xml:space="preserve">καταβεβηκοτες</w:t>
      </w:r>
      <w:r>
        <w:t xml:space="preserve"> </w:t>
      </w:r>
      <w:r>
        <w:t xml:space="preserve">|| 1</w:t>
      </w:r>
      <w:r>
        <w:t xml:space="preserve"> </w:t>
      </w:r>
      <w:r>
        <w:rPr>
          <w:iCs/>
          <w:i/>
        </w:rPr>
        <w:t xml:space="preserve">οι</w:t>
      </w:r>
      <w:r>
        <w:t xml:space="preserve"> </w:t>
      </w:r>
      <w:r>
        <w:t xml:space="preserve">2554 (wydaje się to niestarannym błędem kopisty, który jednak nadal ma sens, znaczenie nie zostaje naruszone).</w:t>
      </w:r>
    </w:p>
    <w:p>
      <w:pPr>
        <w:numPr>
          <w:ilvl w:val="0"/>
          <w:numId w:val="1023"/>
        </w:numPr>
      </w:pPr>
      <w:r>
        <w:t xml:space="preserve">Dzieje Apostolskie 28,27</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[60%] 2554 (pierwsza ręka 2554 pozostawiła miejsce na dokończenie</w:t>
      </w:r>
      <w:r>
        <w:t xml:space="preserve"> </w:t>
      </w:r>
      <w:r>
        <w:rPr>
          <w:iCs/>
          <w:i/>
        </w:rPr>
        <w:t xml:space="preserve">omegi</w:t>
      </w:r>
      <w:r>
        <w:t xml:space="preserve">, była więc świadoma wariantu, w tym kontekście zmiana czasu nie wpływa na znaczenie).</w:t>
      </w:r>
    </w:p>
    <w:p>
      <w:pPr>
        <w:pStyle w:val="FirstParagraph"/>
      </w:pPr>
      <w:r>
        <w:rPr>
          <w:bCs/>
          <w:b/>
        </w:rPr>
        <w:t xml:space="preserve">Komentarz</w:t>
      </w:r>
      <w:r>
        <w:t xml:space="preserve">: Uważam, że pierwsza ręka ma w Dziejach Apostolskich sześć właściwych wariantów, z których jeden został poprawiony, pozostaje więc pięć. Spośród tych pięciu cztery nie wpływają na znaczenie. W Dziejach Apostolskich 12,25 oba warianty są w tym kontekście praktycznie dwoma sposobami powiedzenia tego samego, sens narracji nie zostaje zmieniony.</w:t>
      </w:r>
    </w:p>
    <w:p>
      <w:pPr>
        <w:numPr>
          <w:ilvl w:val="0"/>
          <w:numId w:val="1024"/>
        </w:numPr>
      </w:pPr>
      <w:r>
        <w:t xml:space="preserve">List do Rzymian 7,13</w:t>
      </w:r>
      <w:r>
        <w:t xml:space="preserve"> </w:t>
      </w:r>
      <w:r>
        <w:rPr>
          <w:iCs/>
          <w:i/>
        </w:rPr>
        <w:t xml:space="preserve">αλλα</w:t>
      </w:r>
      <w:r>
        <w:t xml:space="preserve"> </w:t>
      </w:r>
      <w:r>
        <w:t xml:space="preserve">||</w:t>
      </w:r>
      <w:r>
        <w:t xml:space="preserve"> </w:t>
      </w:r>
      <w:r>
        <w:rPr>
          <w:iCs/>
          <w:i/>
        </w:rPr>
        <w:t xml:space="preserve">αλλ</w:t>
      </w:r>
      <w:r>
        <w:t xml:space="preserve"> </w:t>
      </w:r>
      <w:r>
        <w:t xml:space="preserve">[30%] 2554 (są to alternatywne pisownie tego samego słowa, nie jest to więc właściwy wariant).</w:t>
      </w:r>
    </w:p>
    <w:p>
      <w:pPr>
        <w:numPr>
          <w:ilvl w:val="0"/>
          <w:numId w:val="1024"/>
        </w:numPr>
      </w:pPr>
      <w:r>
        <w:t xml:space="preserve">List do Rzymian 16,24</w:t>
      </w:r>
      <w:r>
        <w:t xml:space="preserve"> </w:t>
      </w:r>
      <w:r>
        <w:rPr>
          <w:iCs/>
          <w:i/>
        </w:rPr>
        <w:t xml:space="preserve">ημων</w:t>
      </w:r>
      <w:r>
        <w:t xml:space="preserve"> </w:t>
      </w:r>
      <w:r>
        <w:t xml:space="preserve">||</w:t>
      </w:r>
      <w:r>
        <w:t xml:space="preserve"> </w:t>
      </w:r>
      <w:r>
        <w:rPr>
          <w:iCs/>
          <w:i/>
        </w:rPr>
        <w:t xml:space="preserve">υμων</w:t>
      </w:r>
      <w:r>
        <w:t xml:space="preserve"> </w:t>
      </w:r>
      <w:r>
        <w:t xml:space="preserve">[82%] 2554</w:t>
      </w:r>
      <w:r>
        <w:rPr>
          <w:vertAlign w:val="superscript"/>
        </w:rPr>
        <w:t xml:space="preserve">c</w:t>
      </w:r>
      <w:r>
        <w:t xml:space="preserve"> </w:t>
      </w:r>
      <w:r>
        <w:t xml:space="preserve">(jeśli werset 24 nie był dyktowany przez Pawła, pierwsza osoba jest szczególnie odpowiednia, ponieważ pochodzi od Tercjusza, w tym kontekście znaczenie zostaje naruszone w znikomym stopniu).</w:t>
      </w:r>
    </w:p>
    <w:p>
      <w:pPr>
        <w:pStyle w:val="FirstParagraph"/>
      </w:pPr>
      <w:r>
        <w:rPr>
          <w:bCs/>
          <w:b/>
        </w:rPr>
        <w:t xml:space="preserve">Komentarz</w:t>
      </w:r>
      <w:r>
        <w:t xml:space="preserve">: Uważam, że pierwsza ręka daje nam doskonałą kopię archetypu dla Listu do Rzymian, ponieważ nie ma właściwych wariantów. 1 List do Koryntian również daje nam doskonałą kopię archetypu.</w:t>
      </w:r>
    </w:p>
    <w:p>
      <w:pPr>
        <w:numPr>
          <w:ilvl w:val="0"/>
          <w:numId w:val="1025"/>
        </w:numPr>
      </w:pPr>
      <w:r>
        <w:t xml:space="preserve">2 List do Koryntian 8,9</w:t>
      </w:r>
      <w:r>
        <w:t xml:space="preserve"> </w:t>
      </w:r>
      <w:r>
        <w:rPr>
          <w:iCs/>
          <w:i/>
        </w:rPr>
        <w:t xml:space="preserve">ημας</w:t>
      </w:r>
      <w:r>
        <w:t xml:space="preserve"> </w:t>
      </w:r>
      <w:r>
        <w:t xml:space="preserve">||</w:t>
      </w:r>
      <w:r>
        <w:t xml:space="preserve"> </w:t>
      </w:r>
      <w:r>
        <w:rPr>
          <w:iCs/>
          <w:i/>
        </w:rPr>
        <w:t xml:space="preserve">υμας</w:t>
      </w:r>
      <w:r>
        <w:t xml:space="preserve"> </w:t>
      </w:r>
      <w:r>
        <w:t xml:space="preserve">[60%] (Rodzina 35 jest tutaj podzielona, lecz lepsi przedstawiciele, łącznie z 2554, opowiadają się za pierwszą osobą, która jest bardziej inkluzywna, w tym kontekście nie ma rzeczywistej różnicy znaczeniowej).</w:t>
      </w:r>
    </w:p>
    <w:p>
      <w:pPr>
        <w:numPr>
          <w:ilvl w:val="0"/>
          <w:numId w:val="1025"/>
        </w:numPr>
      </w:pPr>
      <w:r>
        <w:t xml:space="preserve">2 List do Koryntian 9,10</w:t>
      </w:r>
      <w:r>
        <w:t xml:space="preserve"> </w:t>
      </w:r>
      <w:r>
        <w:rPr>
          <w:iCs/>
          <w:i/>
        </w:rPr>
        <w:t xml:space="preserve">γενηματα</w:t>
      </w:r>
      <w:r>
        <w:t xml:space="preserve"> </w:t>
      </w:r>
      <w:r>
        <w:t xml:space="preserve">||</w:t>
      </w:r>
      <w:r>
        <w:t xml:space="preserve"> </w:t>
      </w:r>
      <w:r>
        <w:rPr>
          <w:iCs/>
          <w:i/>
        </w:rPr>
        <w:t xml:space="preserve">γεννηματα</w:t>
      </w:r>
      <w:r>
        <w:t xml:space="preserve"> </w:t>
      </w:r>
      <w:r>
        <w:t xml:space="preserve">[6%]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5"/>
        </w:numPr>
      </w:pPr>
      <w:r>
        <w:t xml:space="preserve">2 List do Koryntian 11,7</w:t>
      </w:r>
      <w:r>
        <w:t xml:space="preserve"> </w:t>
      </w:r>
      <w:r>
        <w:rPr>
          <w:iCs/>
          <w:i/>
        </w:rPr>
        <w:t xml:space="preserve">εαυτον</w:t>
      </w:r>
      <w:r>
        <w:t xml:space="preserve"> </w:t>
      </w:r>
      <w:r>
        <w:t xml:space="preserve">||</w:t>
      </w:r>
      <w:r>
        <w:t xml:space="preserve"> </w:t>
      </w:r>
      <w:r>
        <w:rPr>
          <w:iCs/>
          <w:i/>
        </w:rPr>
        <w:t xml:space="preserve">εμαυτον</w:t>
      </w:r>
      <w:r>
        <w:t xml:space="preserve"> </w:t>
      </w:r>
      <w:r>
        <w:t xml:space="preserve">[78%] 2554</w:t>
      </w:r>
      <w:r>
        <w:rPr>
          <w:vertAlign w:val="superscript"/>
        </w:rPr>
        <w:t xml:space="preserve">c</w:t>
      </w:r>
      <w:r>
        <w:t xml:space="preserve"> </w:t>
      </w:r>
      <w:r>
        <w:t xml:space="preserve">(</w:t>
      </w:r>
      <w:r>
        <w:rPr>
          <w:iCs/>
          <w:i/>
        </w:rPr>
        <w:t xml:space="preserve">mu</w:t>
      </w:r>
      <w:r>
        <w:t xml:space="preserve"> </w:t>
      </w:r>
      <w:r>
        <w:t xml:space="preserve">zostało dodane nad wierszem przez późniejszą rękę, nie jest to więc wariant, w każdym razie w tym kontekście obie formy są synonimiczne).</w:t>
      </w:r>
    </w:p>
    <w:p>
      <w:pPr>
        <w:pStyle w:val="FirstParagraph"/>
      </w:pPr>
      <w:r>
        <w:rPr>
          <w:bCs/>
          <w:b/>
        </w:rPr>
        <w:t xml:space="preserve">Komentarz</w:t>
      </w:r>
      <w:r>
        <w:t xml:space="preserve">: Uważam, że pierwsza ręka daje nam doskonałą kopię archetypu dla 2 Listu do Koryntian. List do Galacjan, List do Efezjan, List do Filipian i List do Kolosan również dają nam doskonałą kopię archetypu.</w:t>
      </w:r>
    </w:p>
    <w:p>
      <w:pPr>
        <w:numPr>
          <w:ilvl w:val="0"/>
          <w:numId w:val="1026"/>
        </w:numPr>
        <w:pStyle w:val="Compact"/>
      </w:pPr>
      <w:r>
        <w:t xml:space="preserve">1 List do Tesaloniczan 2,8</w:t>
      </w:r>
      <w:r>
        <w:t xml:space="preserve"> </w:t>
      </w:r>
      <w:r>
        <w:rPr>
          <w:iCs/>
          <w:i/>
        </w:rPr>
        <w:t xml:space="preserve">ιμειρομενοι</w:t>
      </w:r>
      <w:r>
        <w:t xml:space="preserve"> </w:t>
      </w:r>
      <w:r>
        <w:t xml:space="preserve">||</w:t>
      </w:r>
      <w:r>
        <w:t xml:space="preserve"> </w:t>
      </w:r>
      <w:r>
        <w:rPr>
          <w:iCs/>
          <w:i/>
        </w:rPr>
        <w:t xml:space="preserve">ομειρομενοι</w:t>
      </w:r>
      <w:r>
        <w:t xml:space="preserve"> </w:t>
      </w:r>
      <w:r>
        <w:t xml:space="preserve">[30%] 2554</w:t>
      </w:r>
      <w:r>
        <w:rPr>
          <w:vertAlign w:val="superscript"/>
        </w:rPr>
        <w:t xml:space="preserve">c</w:t>
      </w:r>
      <w:r>
        <w:t xml:space="preserve"> </w:t>
      </w:r>
      <w:r>
        <w:t xml:space="preserve">(wygląda na to, że</w:t>
      </w:r>
      <w:r>
        <w:t xml:space="preserve"> </w:t>
      </w:r>
      <w:r>
        <w:rPr>
          <w:iCs/>
          <w:i/>
        </w:rPr>
        <w:t xml:space="preserve">omikron</w:t>
      </w:r>
      <w:r>
        <w:t xml:space="preserve"> </w:t>
      </w:r>
      <w:r>
        <w:t xml:space="preserve">zapisano wokół</w:t>
      </w:r>
      <w:r>
        <w:t xml:space="preserve"> </w:t>
      </w:r>
      <w:r>
        <w:rPr>
          <w:iCs/>
          <w:i/>
        </w:rPr>
        <w:t xml:space="preserve">ioty</w:t>
      </w:r>
      <w:r>
        <w:t xml:space="preserve">, lecz trudno to stwierdzić na podstawie mikrofilmu, w każdym razie ponieważ wydają się to alternatywne pisownie tego samego słowa, nie jest to właściwy wariant).</w:t>
      </w:r>
    </w:p>
    <w:p>
      <w:pPr>
        <w:pStyle w:val="FirstParagraph"/>
      </w:pPr>
      <w:r>
        <w:rPr>
          <w:bCs/>
          <w:b/>
        </w:rPr>
        <w:t xml:space="preserve">Komentarz</w:t>
      </w:r>
      <w:r>
        <w:t xml:space="preserve">: Uważam, że pierwsza ręka daje nam doskonałą kopię archetypu dla 1 Listu do Tesaloniczan. 2 List do Tesaloniczan również daje nam doskonałą kopię archetypu.</w:t>
      </w:r>
    </w:p>
    <w:p>
      <w:pPr>
        <w:numPr>
          <w:ilvl w:val="0"/>
          <w:numId w:val="1027"/>
        </w:numPr>
      </w:pPr>
      <w:r>
        <w:t xml:space="preserve">1 List do Tymoteusza 1,9a</w:t>
      </w:r>
      <w:r>
        <w:t xml:space="preserve"> </w:t>
      </w:r>
      <w:r>
        <w:rPr>
          <w:iCs/>
          <w:i/>
        </w:rPr>
        <w:t xml:space="preserve">πατραλοιαις</w:t>
      </w:r>
      <w:r>
        <w:t xml:space="preserve"> </w:t>
      </w:r>
      <w:r>
        <w:t xml:space="preserve">||</w:t>
      </w:r>
      <w:r>
        <w:t xml:space="preserve"> </w:t>
      </w:r>
      <w:r>
        <w:rPr>
          <w:iCs/>
          <w:i/>
        </w:rPr>
        <w:t xml:space="preserve">πατρολωαις</w:t>
      </w:r>
      <w:r>
        <w:t xml:space="preserve"> </w:t>
      </w:r>
      <w:r>
        <w:t xml:space="preserve">[34%] (Rodzina 35 jest tutaj podzielona, lecz większość, łącznie z 2554, ma pierwszy odczyt. Liddell i Scott podają go oraz jego żeński odpowiednik jako formy podstawowe, których znaczeniem jest „bijący”, nie zaś „zabójca”, co ma lepszy sens).</w:t>
      </w:r>
    </w:p>
    <w:p>
      <w:pPr>
        <w:numPr>
          <w:ilvl w:val="0"/>
          <w:numId w:val="1027"/>
        </w:numPr>
      </w:pPr>
      <w:r>
        <w:t xml:space="preserve">1 List do Tymoteusza 1,9b</w:t>
      </w:r>
      <w:r>
        <w:t xml:space="preserve"> </w:t>
      </w:r>
      <w:r>
        <w:rPr>
          <w:iCs/>
          <w:i/>
        </w:rPr>
        <w:t xml:space="preserve">μητραλοιαις</w:t>
      </w:r>
      <w:r>
        <w:t xml:space="preserve"> </w:t>
      </w:r>
      <w:r>
        <w:t xml:space="preserve">||</w:t>
      </w:r>
      <w:r>
        <w:t xml:space="preserve"> </w:t>
      </w:r>
      <w:r>
        <w:rPr>
          <w:iCs/>
          <w:i/>
        </w:rPr>
        <w:t xml:space="preserve">μητρολωαις</w:t>
      </w:r>
      <w:r>
        <w:t xml:space="preserve"> </w:t>
      </w:r>
      <w:r>
        <w:t xml:space="preserve">[40%] (tak samo jak wyżej).</w:t>
      </w:r>
    </w:p>
    <w:p>
      <w:pPr>
        <w:numPr>
          <w:ilvl w:val="0"/>
          <w:numId w:val="1027"/>
        </w:numPr>
      </w:pPr>
      <w:r>
        <w:t xml:space="preserve">1 List do Tymoteusza 5,21</w:t>
      </w:r>
      <w:r>
        <w:t xml:space="preserve"> </w:t>
      </w:r>
      <w:r>
        <w:rPr>
          <w:iCs/>
          <w:i/>
        </w:rPr>
        <w:t xml:space="preserve">προσκλισιν</w:t>
      </w:r>
      <w:r>
        <w:t xml:space="preserve"> </w:t>
      </w:r>
      <w:r>
        <w:t xml:space="preserve">||</w:t>
      </w:r>
      <w:r>
        <w:t xml:space="preserve"> </w:t>
      </w:r>
      <w:r>
        <w:rPr>
          <w:iCs/>
          <w:i/>
        </w:rPr>
        <w:t xml:space="preserve">προσκλησιν</w:t>
      </w:r>
      <w:r>
        <w:t xml:space="preserve"> </w:t>
      </w:r>
      <w:r>
        <w:t xml:space="preserve">[75%] (Rodzina 35 jest tutaj podzielona, lecz większość, łącznie z 2554, ma pierwszy odczyt, obie formy wymawiano tak samo, w tym kontekście znaczenie nie zostaje naruszone).</w:t>
      </w:r>
    </w:p>
    <w:p>
      <w:pPr>
        <w:pStyle w:val="FirstParagraph"/>
      </w:pPr>
      <w:r>
        <w:rPr>
          <w:bCs/>
          <w:b/>
        </w:rPr>
        <w:t xml:space="preserve">Komentarz</w:t>
      </w:r>
      <w:r>
        <w:t xml:space="preserve">: Uważam, że pierwsza ręka daje nam doskonałą kopię archetypu dla 1 Listu do Tymoteusza.</w:t>
      </w:r>
    </w:p>
    <w:p>
      <w:pPr>
        <w:numPr>
          <w:ilvl w:val="0"/>
          <w:numId w:val="1028"/>
        </w:numPr>
      </w:pPr>
      <w:r>
        <w:t xml:space="preserve">2 List do Tymoteusza 3,14</w:t>
      </w:r>
      <w:r>
        <w:t xml:space="preserve"> </w:t>
      </w:r>
      <w:r>
        <w:rPr>
          <w:iCs/>
          <w:i/>
        </w:rPr>
        <w:t xml:space="preserve">επιστωθης</w:t>
      </w:r>
      <w:r>
        <w:t xml:space="preserve"> </w:t>
      </w:r>
      <w:r>
        <w:t xml:space="preserve">||</w:t>
      </w:r>
      <w:r>
        <w:t xml:space="preserve"> </w:t>
      </w:r>
      <w:r>
        <w:rPr>
          <w:iCs/>
          <w:i/>
        </w:rPr>
        <w:t xml:space="preserve">επιστευθης</w:t>
      </w:r>
      <w:r>
        <w:t xml:space="preserve"> </w:t>
      </w:r>
      <w:r>
        <w:t xml:space="preserve">[10%] 2554 (obie formy reprezentują różne czasowniki, lecz w tym kontekście działają jako synonimy, znaczenie nie zostaje naruszone).</w:t>
      </w:r>
    </w:p>
    <w:p>
      <w:pPr>
        <w:numPr>
          <w:ilvl w:val="0"/>
          <w:numId w:val="1028"/>
        </w:numPr>
      </w:pPr>
      <w:r>
        <w:t xml:space="preserve">List do Tytusa 2,7</w:t>
      </w:r>
      <w:r>
        <w:t xml:space="preserve"> </w:t>
      </w:r>
      <w:r>
        <w:rPr>
          <w:iCs/>
          <w:i/>
        </w:rPr>
        <w:t xml:space="preserve">αδιαφθοριαν</w:t>
      </w:r>
      <w:r>
        <w:t xml:space="preserve"> </w:t>
      </w:r>
      <w:r>
        <w:t xml:space="preserve">||</w:t>
      </w:r>
      <w:r>
        <w:t xml:space="preserve"> </w:t>
      </w:r>
      <w:r>
        <w:rPr>
          <w:iCs/>
          <w:i/>
        </w:rPr>
        <w:t xml:space="preserve">αδιαφοριαν</w:t>
      </w:r>
      <w:r>
        <w:t xml:space="preserve"> </w:t>
      </w:r>
      <w:r>
        <w:t xml:space="preserve">(8%) 2554 (jest to tylko alternatywna pisownia tego samego słowa, a zatem nie jest właściwym wariantem).</w:t>
      </w:r>
    </w:p>
    <w:p>
      <w:pPr>
        <w:pStyle w:val="FirstParagraph"/>
      </w:pPr>
      <w:r>
        <w:rPr>
          <w:bCs/>
          <w:b/>
        </w:rPr>
        <w:t xml:space="preserve">Komentarz</w:t>
      </w:r>
      <w:r>
        <w:t xml:space="preserve">: Uważam, że pierwsza ręka ma w 2 Liście do Tymoteusza tylko jeden właściwy wariant i nie wpływa on na znaczenie. List do Tytusa i List do Filemona dają nam doskonałą kopię archetypu.</w:t>
      </w:r>
    </w:p>
    <w:p>
      <w:pPr>
        <w:numPr>
          <w:ilvl w:val="0"/>
          <w:numId w:val="1029"/>
        </w:numPr>
      </w:pPr>
      <w:r>
        <w:t xml:space="preserve">List do Hebrajczyków 3,13</w:t>
      </w:r>
      <w:r>
        <w:t xml:space="preserve"> </w:t>
      </w:r>
      <w:r>
        <w:rPr>
          <w:iCs/>
          <w:i/>
        </w:rPr>
        <w:t xml:space="preserve">καλειται</w:t>
      </w:r>
      <w:r>
        <w:t xml:space="preserve"> </w:t>
      </w:r>
      <w:r>
        <w:t xml:space="preserve">||</w:t>
      </w:r>
      <w:r>
        <w:t xml:space="preserve"> </w:t>
      </w:r>
      <w:r>
        <w:rPr>
          <w:iCs/>
          <w:i/>
        </w:rPr>
        <w:t xml:space="preserve">καληται</w:t>
      </w:r>
      <w:r>
        <w:t xml:space="preserve"> </w:t>
      </w:r>
      <w:r>
        <w:t xml:space="preserve">2554</w:t>
      </w:r>
      <w:r>
        <w:rPr>
          <w:vertAlign w:val="superscript"/>
        </w:rPr>
        <w:t xml:space="preserve">c</w:t>
      </w:r>
      <w:r>
        <w:t xml:space="preserve"> </w:t>
      </w:r>
      <w:r>
        <w:t xml:space="preserve">(itacyzm wprowadzony przez późniejszą rękę, powodujący nonsens).</w:t>
      </w:r>
    </w:p>
    <w:p>
      <w:pPr>
        <w:numPr>
          <w:ilvl w:val="0"/>
          <w:numId w:val="1029"/>
        </w:numPr>
      </w:pPr>
      <w:r>
        <w:t xml:space="preserve">List do Hebrajczyków 9,1</w:t>
      </w:r>
      <w:r>
        <w:t xml:space="preserve"> </w:t>
      </w:r>
      <w:r>
        <w:rPr>
          <w:iCs/>
          <w:i/>
        </w:rPr>
        <w:t xml:space="preserve">πρωτη</w:t>
      </w:r>
      <w:r>
        <w:t xml:space="preserve"> </w:t>
      </w:r>
      <w:r>
        <w:t xml:space="preserve">|| 1</w:t>
      </w:r>
      <w:r>
        <w:t xml:space="preserve"> </w:t>
      </w:r>
      <w:r>
        <w:rPr>
          <w:iCs/>
          <w:i/>
        </w:rPr>
        <w:t xml:space="preserve">σκηνη</w:t>
      </w:r>
      <w:r>
        <w:t xml:space="preserve"> </w:t>
      </w:r>
      <w:r>
        <w:t xml:space="preserve">[30%] (Rodzina 35 jest tutaj podzielona, lecz po uwzględnieniu poprawek większość, łącznie z 2554, ma pierwszy odczyt, w każdym razie w tym kontekście znaczenie nie zostaje naruszone).</w:t>
      </w:r>
    </w:p>
    <w:p>
      <w:pPr>
        <w:pStyle w:val="FirstParagraph"/>
      </w:pPr>
      <w:r>
        <w:rPr>
          <w:bCs/>
          <w:b/>
        </w:rPr>
        <w:t xml:space="preserve">Komentarz</w:t>
      </w:r>
      <w:r>
        <w:t xml:space="preserve">: Uważam, że pierwsza ręka daje nam doskonałą kopię archetypu dla Listu do Hebrajczyków. List Jakuba oraz 1 i 2 List Piotra również dają nam doskonałą kopię archetypu. Manuskrypt mający tylko jeden właściwy wariant w całym korpusie Pawłowym jest z pewnością wzorem cnót. Nazywam to nadzwyczaj starannym przekazem, ponieważ z konieczności odnosiłoby się to również do wcześniejszych pokoleń.</w:t>
      </w:r>
    </w:p>
    <w:p>
      <w:pPr>
        <w:numPr>
          <w:ilvl w:val="0"/>
          <w:numId w:val="1030"/>
        </w:numPr>
      </w:pPr>
      <w:r>
        <w:t xml:space="preserve">1 List Jana 1,6</w:t>
      </w:r>
      <w:r>
        <w:t xml:space="preserve"> </w:t>
      </w:r>
      <w:r>
        <w:rPr>
          <w:iCs/>
          <w:i/>
        </w:rPr>
        <w:t xml:space="preserve">περιπατουμεν</w:t>
      </w:r>
      <w:r>
        <w:t xml:space="preserve"> </w:t>
      </w:r>
      <w:r>
        <w:t xml:space="preserve">||</w:t>
      </w:r>
      <w:r>
        <w:t xml:space="preserve"> </w:t>
      </w:r>
      <w:r>
        <w:rPr>
          <w:iCs/>
          <w:i/>
        </w:rPr>
        <w:t xml:space="preserve">περιπατωμεν</w:t>
      </w:r>
      <w:r>
        <w:t xml:space="preserve"> </w:t>
      </w:r>
      <w:r>
        <w:t xml:space="preserve">[71%] (Rodzina 35 jest tutaj podzielona, podążam za mniejszością złożoną z lepszych manuskryptów, łącznie z 2554. Czasownik „mówić” poprawnie występuje w trybie łączącym, ponieważ jest kontrolowany przez εαν, lecz czasowniki „mieć” i „chodzić” są częścią twierdzenia i poprawnie występują w trybie oznajmującym — tylko jeśli rzeczywiście chodzimy w ciemności, stajemy się kłamcami, twierdząc, że mamy społeczność. Dlatego περιπατουμεν jest poprawne. W każdym razie w tym kontekście znaczenie nie zostaje naruszone).</w:t>
      </w:r>
    </w:p>
    <w:p>
      <w:pPr>
        <w:numPr>
          <w:ilvl w:val="0"/>
          <w:numId w:val="1030"/>
        </w:numPr>
      </w:pPr>
      <w:r>
        <w:t xml:space="preserve">1 List Jana 3,23</w:t>
      </w:r>
      <w:r>
        <w:t xml:space="preserve"> </w:t>
      </w:r>
      <w:r>
        <w:rPr>
          <w:iCs/>
          <w:i/>
        </w:rPr>
        <w:t xml:space="preserve">πιστευσωμεν</w:t>
      </w:r>
      <w:r>
        <w:t xml:space="preserve"> </w:t>
      </w:r>
      <w:r>
        <w:t xml:space="preserve">||</w:t>
      </w:r>
      <w:r>
        <w:t xml:space="preserve"> </w:t>
      </w:r>
      <w:r>
        <w:rPr>
          <w:iCs/>
          <w:i/>
        </w:rPr>
        <w:t xml:space="preserve">πιστευωμεν</w:t>
      </w:r>
      <w:r>
        <w:t xml:space="preserve"> </w:t>
      </w:r>
      <w:r>
        <w:t xml:space="preserve">(26,5%) 2554</w:t>
      </w:r>
      <w:r>
        <w:rPr>
          <w:vertAlign w:val="superscript"/>
        </w:rPr>
        <w:t xml:space="preserve">c</w:t>
      </w:r>
      <w:r>
        <w:t xml:space="preserve"> </w:t>
      </w:r>
      <w:r>
        <w:t xml:space="preserve">(widoczne są ślady</w:t>
      </w:r>
      <w:r>
        <w:t xml:space="preserve"> </w:t>
      </w:r>
      <w:r>
        <w:rPr>
          <w:iCs/>
          <w:i/>
        </w:rPr>
        <w:t xml:space="preserve">sigmy</w:t>
      </w:r>
      <w:r>
        <w:t xml:space="preserve">, w każdym razie w tym kontekście zmiana czasu nie wpływa na znaczenie).</w:t>
      </w:r>
    </w:p>
    <w:p>
      <w:pPr>
        <w:pStyle w:val="FirstParagraph"/>
      </w:pPr>
      <w:r>
        <w:rPr>
          <w:bCs/>
          <w:b/>
        </w:rPr>
        <w:t xml:space="preserve">Komentarz</w:t>
      </w:r>
      <w:r>
        <w:t xml:space="preserve">: Uważam, że pierwsza ręka daje nam doskonałą kopię archetypu dla 1 Listu Jana. 2 i 3 List Jana oraz List Judy również dają nam doskonałą kopię archetypu. Manuskrypt niemający ani jednego wariantu we wszystkich siedmiu Listach Ogólnych jest z pewnością wzorem cnót. Nazywam to nadzwyczaj starannym przekazem, ponieważ z konieczności odnosiłoby się to również do wcześniejszych pokoleń. Dotąd wystąpiło tylko trzynaście właściwych wariantów, zobaczmy jednak, co wydarzy się w Objawieniu Jana.</w:t>
      </w:r>
    </w:p>
    <w:p>
      <w:pPr>
        <w:numPr>
          <w:ilvl w:val="0"/>
          <w:numId w:val="1031"/>
        </w:numPr>
      </w:pPr>
      <w:r>
        <w:t xml:space="preserve">Objawienie Jana 1,17</w:t>
      </w:r>
      <w:r>
        <w:t xml:space="preserve"> </w:t>
      </w:r>
      <w:r>
        <w:rPr>
          <w:iCs/>
          <w:i/>
        </w:rPr>
        <w:t xml:space="preserve">επεσα</w:t>
      </w:r>
      <w:r>
        <w:t xml:space="preserve"> </w:t>
      </w:r>
      <w:r>
        <w:t xml:space="preserve">||</w:t>
      </w:r>
      <w:r>
        <w:t xml:space="preserve"> </w:t>
      </w:r>
      <w:r>
        <w:rPr>
          <w:iCs/>
          <w:i/>
        </w:rPr>
        <w:t xml:space="preserve">επεσον</w:t>
      </w:r>
      <w:r>
        <w:t xml:space="preserve"> </w:t>
      </w:r>
      <w:r>
        <w:t xml:space="preserve">2554 (wydają się to alternatywne formy tego samego słowa, nie jest to więc właściwy wariant).</w:t>
      </w:r>
      <w:r>
        <w:rPr>
          <w:rStyle w:val="FootnoteReference"/>
        </w:rPr>
        <w:footnoteReference w:id="318"/>
      </w:r>
    </w:p>
    <w:p>
      <w:pPr>
        <w:numPr>
          <w:ilvl w:val="0"/>
          <w:numId w:val="1031"/>
        </w:numPr>
      </w:pPr>
      <w:r>
        <w:t xml:space="preserve">Objawienie Jana 4,8</w:t>
      </w:r>
      <w:r>
        <w:t xml:space="preserve"> </w:t>
      </w:r>
      <w:r>
        <w:rPr>
          <w:iCs/>
          <w:i/>
        </w:rPr>
        <w:t xml:space="preserve">λεγοντα</w:t>
      </w:r>
      <w:r>
        <w:t xml:space="preserve"> </w:t>
      </w:r>
      <w:r>
        <w:t xml:space="preserve">||</w:t>
      </w:r>
      <w:r>
        <w:t xml:space="preserve"> </w:t>
      </w:r>
      <w:r>
        <w:rPr>
          <w:iCs/>
          <w:i/>
        </w:rPr>
        <w:t xml:space="preserve">λεγοντες</w:t>
      </w:r>
      <w:r>
        <w:t xml:space="preserve"> </w:t>
      </w:r>
      <w:r>
        <w:t xml:space="preserve">2554</w:t>
      </w:r>
      <w:r>
        <w:rPr>
          <w:vertAlign w:val="superscript"/>
        </w:rPr>
        <w:t xml:space="preserve">alt</w:t>
      </w:r>
      <w:r>
        <w:t xml:space="preserve"> </w:t>
      </w:r>
      <w:r>
        <w:t xml:space="preserve">(Czy podmiotem czasownika są wyłącznie istoty żywe, czy obejmuje on również starszych? Na podstawie wersetów 9-11 byłyby to wyłącznie istoty żywe. W każdym razie tłumaczenie obu form na język angielski będzie takie samo).</w:t>
      </w:r>
    </w:p>
    <w:p>
      <w:pPr>
        <w:numPr>
          <w:ilvl w:val="0"/>
          <w:numId w:val="1031"/>
        </w:numPr>
      </w:pPr>
      <w:r>
        <w:t xml:space="preserve">Objawienie Jana 7,17a</w:t>
      </w:r>
      <w:r>
        <w:t xml:space="preserve"> </w:t>
      </w:r>
      <w:r>
        <w:rPr>
          <w:iCs/>
          <w:i/>
        </w:rPr>
        <w:t xml:space="preserve">ποιμαινει</w:t>
      </w:r>
      <w:r>
        <w:t xml:space="preserve"> </w:t>
      </w:r>
      <w:r>
        <w:t xml:space="preserve">2554</w:t>
      </w:r>
      <w:r>
        <w:rPr>
          <w:vertAlign w:val="superscript"/>
        </w:rPr>
        <w:t xml:space="preserve">alt</w:t>
      </w:r>
      <w:r>
        <w:t xml:space="preserve"> </w:t>
      </w:r>
      <w:r>
        <w:t xml:space="preserve">||</w:t>
      </w:r>
      <w:r>
        <w:t xml:space="preserve"> </w:t>
      </w:r>
      <w:r>
        <w:rPr>
          <w:iCs/>
          <w:i/>
        </w:rPr>
        <w:t xml:space="preserve">ποιμανει</w:t>
      </w:r>
      <w:r>
        <w:t xml:space="preserve"> </w:t>
      </w:r>
      <w:r>
        <w:t xml:space="preserve">2554 (znacznie ponad połowa przedstawicieli rodziny mających czas przyszły ma ponad wierszem formę czasu teraźniejszego jako wariant alternatywny, podobnie jak 2554, wydaje się, że było to standardowym postępowaniem w Objawieniu Jana, gdy istniała wątpliwość między dwiema formami, dzięki czemu archetyp jest zawsze reprezentowany, w tym kontekście znaczenie nie zostaje naruszone).</w:t>
      </w:r>
    </w:p>
    <w:p>
      <w:pPr>
        <w:numPr>
          <w:ilvl w:val="0"/>
          <w:numId w:val="1031"/>
        </w:numPr>
      </w:pPr>
      <w:r>
        <w:t xml:space="preserve">Objawienie Jana 7,17b</w:t>
      </w:r>
      <w:r>
        <w:t xml:space="preserve"> </w:t>
      </w:r>
      <w:r>
        <w:rPr>
          <w:iCs/>
          <w:i/>
        </w:rPr>
        <w:t xml:space="preserve">οδηγει</w:t>
      </w:r>
      <w:r>
        <w:t xml:space="preserve"> </w:t>
      </w:r>
      <w:r>
        <w:t xml:space="preserve">2554</w:t>
      </w:r>
      <w:r>
        <w:rPr>
          <w:vertAlign w:val="superscript"/>
        </w:rPr>
        <w:t xml:space="preserve">alt</w:t>
      </w:r>
      <w:r>
        <w:t xml:space="preserve"> </w:t>
      </w:r>
      <w:r>
        <w:t xml:space="preserve">||</w:t>
      </w:r>
      <w:r>
        <w:t xml:space="preserve"> </w:t>
      </w:r>
      <w:r>
        <w:rPr>
          <w:iCs/>
          <w:i/>
        </w:rPr>
        <w:t xml:space="preserve">οδηγησει</w:t>
      </w:r>
      <w:r>
        <w:t xml:space="preserve"> </w:t>
      </w:r>
      <w:r>
        <w:t xml:space="preserve">2554 (tak samo jak wyżej).</w:t>
      </w:r>
    </w:p>
    <w:p>
      <w:pPr>
        <w:numPr>
          <w:ilvl w:val="0"/>
          <w:numId w:val="1031"/>
        </w:numPr>
      </w:pPr>
      <w:r>
        <w:t xml:space="preserve">Objawienie Jana 9,5</w:t>
      </w:r>
      <w:r>
        <w:t xml:space="preserve"> </w:t>
      </w:r>
      <w:r>
        <w:rPr>
          <w:iCs/>
          <w:i/>
        </w:rPr>
        <w:t xml:space="preserve">πληξη</w:t>
      </w:r>
      <w:r>
        <w:t xml:space="preserve"> </w:t>
      </w:r>
      <w:r>
        <w:t xml:space="preserve">2554</w:t>
      </w:r>
      <w:r>
        <w:rPr>
          <w:vertAlign w:val="superscript"/>
        </w:rPr>
        <w:t xml:space="preserve">alt</w:t>
      </w:r>
      <w:r>
        <w:t xml:space="preserve"> </w:t>
      </w:r>
      <w:r>
        <w:t xml:space="preserve">||</w:t>
      </w:r>
      <w:r>
        <w:t xml:space="preserve"> </w:t>
      </w:r>
      <w:r>
        <w:rPr>
          <w:iCs/>
          <w:i/>
        </w:rPr>
        <w:t xml:space="preserve">παιση</w:t>
      </w:r>
      <w:r>
        <w:t xml:space="preserve"> </w:t>
      </w:r>
      <w:r>
        <w:t xml:space="preserve">2554 (tak samo jak wyżej, z tym wyjątkiem, że tutaj zmieniono czasownik, w tym kontekście znaczenie nie zostaje naruszone).</w:t>
      </w:r>
    </w:p>
    <w:p>
      <w:pPr>
        <w:numPr>
          <w:ilvl w:val="0"/>
          <w:numId w:val="1031"/>
        </w:numPr>
      </w:pPr>
      <w:r>
        <w:t xml:space="preserve">Objawienie Jana 14,14</w:t>
      </w:r>
      <w:r>
        <w:t xml:space="preserve"> </w:t>
      </w:r>
      <w:r>
        <w:rPr>
          <w:iCs/>
          <w:i/>
        </w:rPr>
        <w:t xml:space="preserve">καθημενος ομοιος</w:t>
      </w:r>
      <w:r>
        <w:t xml:space="preserve"> </w:t>
      </w:r>
      <w:r>
        <w:t xml:space="preserve">2554</w:t>
      </w:r>
      <w:r>
        <w:rPr>
          <w:vertAlign w:val="superscript"/>
        </w:rPr>
        <w:t xml:space="preserve">alt</w:t>
      </w:r>
      <w:r>
        <w:t xml:space="preserve"> </w:t>
      </w:r>
      <w:r>
        <w:t xml:space="preserve">||</w:t>
      </w:r>
      <w:r>
        <w:t xml:space="preserve"> </w:t>
      </w:r>
      <w:r>
        <w:rPr>
          <w:iCs/>
          <w:i/>
        </w:rPr>
        <w:t xml:space="preserve">καθημενον ομοιον</w:t>
      </w:r>
      <w:r>
        <w:t xml:space="preserve"> </w:t>
      </w:r>
      <w:r>
        <w:t xml:space="preserve">2554 (tak samo jak wyżej, z tym wyjątkiem, że tutaj zmieniono tylko przypadek, w tym kontekście znaczenie nie zostaje naruszone).</w:t>
      </w:r>
    </w:p>
    <w:p>
      <w:pPr>
        <w:numPr>
          <w:ilvl w:val="0"/>
          <w:numId w:val="1031"/>
        </w:numPr>
      </w:pPr>
      <w:r>
        <w:t xml:space="preserve">Objawienie Jana 14,19</w:t>
      </w:r>
      <w:r>
        <w:t xml:space="preserve"> </w:t>
      </w:r>
      <w:r>
        <w:rPr>
          <w:iCs/>
          <w:i/>
        </w:rPr>
        <w:t xml:space="preserve">τον μεγαν</w:t>
      </w:r>
      <w:r>
        <w:t xml:space="preserve"> </w:t>
      </w:r>
      <w:r>
        <w:t xml:space="preserve">||</w:t>
      </w:r>
      <w:r>
        <w:t xml:space="preserve"> </w:t>
      </w:r>
      <w:r>
        <w:rPr>
          <w:iCs/>
          <w:i/>
        </w:rPr>
        <w:t xml:space="preserve">την μεγαλην</w:t>
      </w:r>
      <w:r>
        <w:t xml:space="preserve"> </w:t>
      </w:r>
      <w:r>
        <w:t xml:space="preserve">2554 (Czy fraza określa „gniew”, czy „tłocznię”? W tym kontekście są to dwa sposoby powiedzenia tego samego).</w:t>
      </w:r>
    </w:p>
    <w:p>
      <w:pPr>
        <w:numPr>
          <w:ilvl w:val="0"/>
          <w:numId w:val="1031"/>
        </w:numPr>
      </w:pPr>
      <w:r>
        <w:t xml:space="preserve">Objawienie Jana 16,12</w:t>
      </w:r>
      <w:r>
        <w:t xml:space="preserve"> </w:t>
      </w:r>
      <w:r>
        <w:rPr>
          <w:iCs/>
          <w:i/>
        </w:rPr>
        <w:t xml:space="preserve">μεγαν</w:t>
      </w:r>
      <w:r>
        <w:t xml:space="preserve"> </w:t>
      </w:r>
      <w:r>
        <w:t xml:space="preserve">|| 1</w:t>
      </w:r>
      <w:r>
        <w:t xml:space="preserve"> </w:t>
      </w:r>
      <w:r>
        <w:rPr>
          <w:iCs/>
          <w:i/>
        </w:rPr>
        <w:t xml:space="preserve">τον</w:t>
      </w:r>
      <w:r>
        <w:t xml:space="preserve"> </w:t>
      </w:r>
      <w:r>
        <w:t xml:space="preserve">2554 (wariant nie wpływa na znaczenie).</w:t>
      </w:r>
    </w:p>
    <w:p>
      <w:pPr>
        <w:numPr>
          <w:ilvl w:val="0"/>
          <w:numId w:val="1031"/>
        </w:numPr>
      </w:pPr>
      <w:r>
        <w:t xml:space="preserve">Objawienie Jana 19,18</w:t>
      </w:r>
      <w:r>
        <w:t xml:space="preserve"> </w:t>
      </w:r>
      <w:r>
        <w:rPr>
          <w:iCs/>
          <w:i/>
        </w:rPr>
        <w:t xml:space="preserve">και</w:t>
      </w:r>
      <w:r>
        <w:rPr>
          <w:vertAlign w:val="superscript"/>
        </w:rPr>
        <w:t xml:space="preserve">7</w:t>
      </w:r>
      <w:r>
        <w:t xml:space="preserve"> </w:t>
      </w:r>
      <w:r>
        <w:t xml:space="preserve">|| --- 2554 (wydaje się to odczytem singularnym, nie wpływa on na znaczenie).</w:t>
      </w:r>
    </w:p>
    <w:p>
      <w:pPr>
        <w:pStyle w:val="FirstParagraph"/>
      </w:pPr>
      <w:r>
        <w:rPr>
          <w:bCs/>
          <w:b/>
        </w:rPr>
        <w:t xml:space="preserve">Komentarz</w:t>
      </w:r>
      <w:r>
        <w:t xml:space="preserve">: Uważam, że pierwsza ręka ma siedem odmienności od archetypu, z których cztery są poprawione za pomocą wariantu alternatywnego, pozostają więc trzy właściwe warianty, z których żaden nie wpływa na znaczenie. Żaden z wariantów alternatywnych również nie wpływa na znaczenie. Do wszystkich celów praktycznych 2554 jest doskonałym przedstawicielem archetypu w Objawieniu Jana.</w:t>
      </w:r>
    </w:p>
    <w:bookmarkStart w:id="320" w:name="wniosek"/>
    <w:p>
      <w:pPr>
        <w:pStyle w:val="Heading3"/>
      </w:pPr>
      <w:r>
        <w:t xml:space="preserve">Wniosek</w:t>
      </w:r>
    </w:p>
    <w:p>
      <w:pPr>
        <w:pStyle w:val="FirstParagraph"/>
      </w:pPr>
      <w:r>
        <w:t xml:space="preserve">Spośród 49 przypadków wymienionych wyżej tylko szesnaście można sklasyfikować jako „właściwy wariant”, a tylko o jednym można powiedzieć, że wpływa na znaczenie: Dzieje Apostolskie 12,25.</w:t>
      </w:r>
      <w:r>
        <w:rPr>
          <w:rStyle w:val="FootnoteReference"/>
        </w:rPr>
        <w:footnoteReference w:id="319"/>
      </w:r>
      <w:r>
        <w:t xml:space="preserve"> </w:t>
      </w:r>
      <w:r>
        <w:t xml:space="preserve">Nawet tutaj, w tym kontekście, dwa wymienione odczyty mają ten sam skutek. Manuskrypt GA 2554 jest praktycznie doskonałym przedstawicielem swojego archetypu dla całego Nowego Testamentu, i to w XV wieku! Oznacza to, że wszystkie wcześniejsze pokolenia również musiały być praktycznie doskonałe. To właśnie nazywam nadzwyczaj starannym przekazem.</w:t>
      </w:r>
      <w:r>
        <w:t xml:space="preserve"> </w:t>
      </w:r>
      <w:r>
        <w:rPr>
          <w:bCs/>
          <w:b/>
        </w:rPr>
        <w:t xml:space="preserve">Bóg zachował swój Tekst!</w:t>
      </w:r>
    </w:p>
    <w:bookmarkEnd w:id="320"/>
    <w:bookmarkEnd w:id="321"/>
    <w:bookmarkStart w:id="323" w:name="główne-podziały-f35-w-ewangelii-mateusza"/>
    <w:p>
      <w:pPr>
        <w:pStyle w:val="Heading2"/>
      </w:pPr>
      <w:r>
        <w:t xml:space="preserve">Główne podziały</w:t>
      </w:r>
      <w:r>
        <w:t xml:space="preserve"> </w:t>
      </w:r>
      <w:r>
        <w:rPr>
          <w:bCs/>
          <w:b/>
        </w:rPr>
        <w:t xml:space="preserve">f</w:t>
      </w:r>
      <w:r>
        <w:rPr>
          <w:vertAlign w:val="superscript"/>
          <w:bCs/>
          <w:b/>
        </w:rPr>
        <w:t xml:space="preserve">35</w:t>
      </w:r>
      <w:r>
        <w:t xml:space="preserve"> </w:t>
      </w:r>
      <w:r>
        <w:t xml:space="preserve">w Ewangelii Mateusza</w:t>
      </w:r>
    </w:p>
    <w:p>
      <w:pPr>
        <w:pStyle w:val="FirstParagraph"/>
      </w:pPr>
      <w:r>
        <w:t xml:space="preserve">W Ewangelii Mateusza istnieje tylko pięć podziałów, które można by nazwać „głównymi”. Odczyt wymieniony jako pierwszy jest tym, który wybrałem jako reprezentujący archetyp rodziny, z powodów wyjaśnionych na końcu tego artykułu.</w:t>
      </w:r>
    </w:p>
    <w:p>
      <w:pPr>
        <w:numPr>
          <w:ilvl w:val="0"/>
          <w:numId w:val="1032"/>
        </w:numPr>
      </w:pPr>
      <w:r>
        <w:t xml:space="preserve">9,17 απολουνται [80%] || απολλυνται [20%] — czasownik jest ten sam i obie formy występują w trybie oznajmującym, pierwsza to czas przyszły strony zwrotnej, a druga to czas teraźniejszy strony biernej. W bezpośrednio poprzedzających zdaniach zarówno εκχεται, jak i ρηγνυνται występują w czasie teraźniejszym strony biernej i idą ze sobą w parze, po co więc drugie odniesienie do bukłaków? Każda różnica znaczeniowa jest niemal zbyt nieznaczna, by ją przetłumaczyć.</w:t>
      </w:r>
    </w:p>
    <w:p>
      <w:pPr>
        <w:numPr>
          <w:ilvl w:val="0"/>
          <w:numId w:val="1032"/>
        </w:numPr>
      </w:pPr>
      <w:r>
        <w:t xml:space="preserve">19,29 οικιας [66%] || οικιαν [30%] — liczba mnoga czy pojedyncza? Podobnie jak w przypadku braci, jeśli masz tylko jednego, jest to wszystko, co możesz opuścić, a jeśli nie masz żadnego, nie opuszczasz żadnego.</w:t>
      </w:r>
    </w:p>
    <w:p>
      <w:pPr>
        <w:numPr>
          <w:ilvl w:val="0"/>
          <w:numId w:val="1032"/>
        </w:numPr>
      </w:pPr>
      <w:r>
        <w:t xml:space="preserve">25,32 συναχθησονται [25%] || συναχθησεται [75%] — liczba mnoga czy pojedyncza, rzeczownik zbiorowy czy nie? Tłumaczenie jest takie samo.</w:t>
      </w:r>
    </w:p>
    <w:p>
      <w:pPr>
        <w:numPr>
          <w:ilvl w:val="0"/>
          <w:numId w:val="1032"/>
        </w:numPr>
      </w:pPr>
      <w:r>
        <w:t xml:space="preserve">26,29 γενηματος [30%] || γεννηματος [70%] — rzeczowniki są różne, pierwszy odnosi się do płodów roślinnych, a drugi do potomstwa zwierząt, jeśli drugi jest używany w odniesieniu do roślin, jest to znaczenie wtórne. Tłumaczenie jest takie samo.</w:t>
      </w:r>
    </w:p>
    <w:p>
      <w:pPr>
        <w:numPr>
          <w:ilvl w:val="0"/>
          <w:numId w:val="1032"/>
        </w:numPr>
      </w:pPr>
      <w:r>
        <w:t xml:space="preserve">27,35 βαλοντες [25%] || βαλλοντες [75%] — aoryst czy czas teraźniejszy? W kontekście każda różnica znaczeniowa jest tak niewielka, że tłumaczenie jest takie samo.</w:t>
      </w:r>
    </w:p>
    <w:p>
      <w:pPr>
        <w:pStyle w:val="FirstParagraph"/>
      </w:pPr>
      <w:r>
        <w:t xml:space="preserve">Jak jest typowe dla zróżnicowania w obrębie rodziny, różnica dotyczy jednej litery, z wyjątkiem jednej sylaby, a Ewangelia Mateusza nie jest małą księgą. Nazywam to niewiarygodnie starannym przekazem — w żadnym miejscu czytelnik nie zostanie wprowadzony w błąd co do zamierzonego znaczenia. Oryginalne sformułowania Ewangelii Mateusza zostały precyzyjnie zachowane aż do naszych czasów. (Wartości procentowe w nawiasach kwadratowych są szacunkami odnoszącymi się do ogółu zachowanych manuskryptów Ewangelii Mateusza).</w:t>
      </w:r>
    </w:p>
    <w:p>
      <w:pPr>
        <w:pStyle w:val="BodyText"/>
      </w:pPr>
      <w:r>
        <w:t xml:space="preserve">Sprawdziłem 114 przedstawicieli Rodziny 35 w odniesieniu do pięciu głównych podziałów, a wynik przedstawiono w poniższej tabeli. Ufam, że każda rozsądna osoba przyzna, iż próba ta jest odpowiednia do mojego celu (zachowanych przedstawicieli Rodziny 35 dla Ewangelii Mateusza jest co najmniej 250). ++ oznacza pierwszy odczyt, — drugi.</w:t>
      </w:r>
    </w:p>
    <w:tbl>
      <w:tblPr>
        <w:tblStyle w:val="Table"/>
        <w:tblW w:type="pct" w:w="5000"/>
        <w:tblLook w:firstRow="1" w:lastRow="0" w:firstColumn="0" w:lastColumn="0" w:noHBand="0" w:noVBand="0" w:val="0020"/>
        <w:jc w:val="start"/>
      </w:tblPr>
      <w:tblGrid>
        <w:gridCol w:w="856"/>
        <w:gridCol w:w="1070"/>
        <w:gridCol w:w="1070"/>
        <w:gridCol w:w="1070"/>
        <w:gridCol w:w="1070"/>
        <w:gridCol w:w="1070"/>
        <w:gridCol w:w="856"/>
        <w:gridCol w:w="856"/>
      </w:tblGrid>
      <w:tr>
        <w:trPr>
          <w:tblHeader w:val="true"/>
        </w:trPr>
        <w:tc>
          <w:tcPr/>
          <w:p>
            <w:pPr>
              <w:pStyle w:val="Compact"/>
              <w:jc w:val="right"/>
            </w:pPr>
            <w:r>
              <w:rPr>
                <w:bCs/>
                <w:b/>
              </w:rPr>
              <w:t xml:space="preserve">Manuskrypt</w:t>
            </w:r>
          </w:p>
        </w:tc>
        <w:tc>
          <w:tcPr/>
          <w:p>
            <w:pPr>
              <w:pStyle w:val="Compact"/>
              <w:jc w:val="center"/>
            </w:pPr>
            <w:r>
              <w:t xml:space="preserve">9,17</w:t>
            </w:r>
          </w:p>
        </w:tc>
        <w:tc>
          <w:tcPr/>
          <w:p>
            <w:pPr>
              <w:pStyle w:val="Compact"/>
              <w:jc w:val="center"/>
            </w:pPr>
            <w:r>
              <w:t xml:space="preserve">19,29</w:t>
            </w:r>
          </w:p>
        </w:tc>
        <w:tc>
          <w:tcPr/>
          <w:p>
            <w:pPr>
              <w:pStyle w:val="Compact"/>
              <w:jc w:val="center"/>
            </w:pPr>
            <w:r>
              <w:t xml:space="preserve">25,32</w:t>
            </w:r>
          </w:p>
        </w:tc>
        <w:tc>
          <w:tcPr/>
          <w:p>
            <w:pPr>
              <w:pStyle w:val="Compact"/>
              <w:jc w:val="center"/>
            </w:pPr>
            <w:r>
              <w:t xml:space="preserve">26,29</w:t>
            </w:r>
          </w:p>
        </w:tc>
        <w:tc>
          <w:tcPr/>
          <w:p>
            <w:pPr>
              <w:pStyle w:val="Compact"/>
              <w:jc w:val="center"/>
            </w:pPr>
            <w:r>
              <w:t xml:space="preserve">27,35</w:t>
            </w:r>
          </w:p>
        </w:tc>
        <w:tc>
          <w:tcPr/>
          <w:p>
            <w:pPr>
              <w:pStyle w:val="Compact"/>
              <w:jc w:val="left"/>
            </w:pPr>
            <w:r>
              <w:t xml:space="preserve">Miejsce</w:t>
            </w:r>
          </w:p>
        </w:tc>
        <w:tc>
          <w:tcPr/>
          <w:p>
            <w:pPr>
              <w:pStyle w:val="Compact"/>
              <w:jc w:val="left"/>
            </w:pPr>
            <w:r>
              <w:t xml:space="preserve">Data i zawartość</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1364 eapr</w:t>
            </w:r>
          </w:p>
        </w:tc>
      </w:tr>
      <w:tr>
        <w:tc>
          <w:tcPr/>
          <w:p>
            <w:pPr>
              <w:pStyle w:val="Compact"/>
              <w:jc w:val="right"/>
            </w:pPr>
            <w:r>
              <w:t xml:space="preserve">35</w:t>
            </w:r>
          </w:p>
        </w:tc>
        <w:tc>
          <w:tcPr/>
          <w:p>
            <w:pPr>
              <w:pStyle w:val="Compact"/>
              <w:jc w:val="center"/>
            </w:pPr>
            <w:r>
              <w:t xml:space="preserve">—</w:t>
            </w:r>
          </w:p>
        </w:tc>
        <w:tc>
          <w:tcPr/>
          <w:p>
            <w:pPr>
              <w:pStyle w:val="Compact"/>
              <w:jc w:val="center"/>
            </w:pPr>
            <w:r>
              <w:t xml:space="preserve">nieczytelny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obszar egejski</w:t>
            </w:r>
          </w:p>
        </w:tc>
        <w:tc>
          <w:tcPr/>
          <w:p>
            <w:pPr>
              <w:pStyle w:val="Compact"/>
              <w:jc w:val="left"/>
            </w:pPr>
            <w:r>
              <w:t xml:space="preserve">XI eapr</w:t>
            </w:r>
          </w:p>
        </w:tc>
      </w:tr>
      <w:tr>
        <w:tc>
          <w:tcPr/>
          <w:p>
            <w:pPr>
              <w:pStyle w:val="Compact"/>
              <w:jc w:val="right"/>
            </w:pPr>
            <w:r>
              <w:t xml:space="preserve">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Bodleian</w:t>
            </w:r>
          </w:p>
        </w:tc>
        <w:tc>
          <w:tcPr/>
          <w:p>
            <w:pPr>
              <w:pStyle w:val="Compact"/>
              <w:jc w:val="left"/>
            </w:pPr>
            <w:r>
              <w:t xml:space="preserve">XIV e</w:t>
            </w:r>
          </w:p>
        </w:tc>
      </w:tr>
      <w:tr>
        <w:tc>
          <w:tcPr/>
          <w:p>
            <w:pPr>
              <w:pStyle w:val="Compact"/>
              <w:jc w:val="right"/>
            </w:pPr>
            <w:r>
              <w:t xml:space="preserve">83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Monachium</w:t>
            </w:r>
          </w:p>
        </w:tc>
        <w:tc>
          <w:tcPr/>
          <w:p>
            <w:pPr>
              <w:pStyle w:val="Compact"/>
              <w:jc w:val="left"/>
            </w:pPr>
            <w:r>
              <w:t xml:space="preserve">XI e</w:t>
            </w:r>
          </w:p>
        </w:tc>
      </w:tr>
      <w:tr>
        <w:tc>
          <w:tcPr/>
          <w:p>
            <w:pPr>
              <w:pStyle w:val="Compact"/>
              <w:jc w:val="right"/>
            </w:pPr>
            <w:r>
              <w:t xml:space="preserve">125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Wiedeń</w:t>
            </w:r>
          </w:p>
        </w:tc>
        <w:tc>
          <w:tcPr/>
          <w:p>
            <w:pPr>
              <w:pStyle w:val="Compact"/>
              <w:jc w:val="left"/>
            </w:pPr>
            <w:r>
              <w:t xml:space="preserve">XI e</w:t>
            </w:r>
          </w:p>
        </w:tc>
      </w:tr>
      <w:tr>
        <w:tc>
          <w:tcPr/>
          <w:p>
            <w:pPr>
              <w:pStyle w:val="Compact"/>
              <w:jc w:val="right"/>
            </w:pPr>
            <w:r>
              <w:t xml:space="preserve">128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w:t>
            </w:r>
          </w:p>
        </w:tc>
      </w:tr>
      <w:tr>
        <w:tc>
          <w:tcPr/>
          <w:p>
            <w:pPr>
              <w:pStyle w:val="Compact"/>
              <w:jc w:val="right"/>
            </w:pPr>
            <w:r>
              <w:t xml:space="preserve">141</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eapr</w:t>
            </w:r>
          </w:p>
        </w:tc>
      </w:tr>
      <w:tr>
        <w:tc>
          <w:tcPr/>
          <w:p>
            <w:pPr>
              <w:pStyle w:val="Compact"/>
              <w:jc w:val="right"/>
            </w:pPr>
            <w:r>
              <w:t xml:space="preserve">155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w:t>
            </w:r>
          </w:p>
        </w:tc>
      </w:tr>
      <w:tr>
        <w:tc>
          <w:tcPr/>
          <w:p>
            <w:pPr>
              <w:pStyle w:val="Compact"/>
              <w:jc w:val="right"/>
            </w:pPr>
            <w:r>
              <w:t xml:space="preserve">189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Florencja</w:t>
            </w:r>
          </w:p>
        </w:tc>
        <w:tc>
          <w:tcPr/>
          <w:p>
            <w:pPr>
              <w:pStyle w:val="Compact"/>
              <w:jc w:val="left"/>
            </w:pPr>
            <w:r>
              <w:t xml:space="preserve">XIII eap</w:t>
            </w:r>
          </w:p>
        </w:tc>
      </w:tr>
      <w:tr>
        <w:tc>
          <w:tcPr/>
          <w:p>
            <w:pPr>
              <w:pStyle w:val="Compact"/>
              <w:jc w:val="right"/>
            </w:pPr>
            <w:r>
              <w:t xml:space="preserve">201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1357 eapr</w:t>
            </w:r>
          </w:p>
        </w:tc>
      </w:tr>
      <w:tr>
        <w:tc>
          <w:tcPr/>
          <w:p>
            <w:pPr>
              <w:pStyle w:val="Compact"/>
              <w:jc w:val="right"/>
            </w:pPr>
            <w:r>
              <w:t xml:space="preserve">204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Bolonia</w:t>
            </w:r>
          </w:p>
        </w:tc>
        <w:tc>
          <w:tcPr/>
          <w:p>
            <w:pPr>
              <w:pStyle w:val="Compact"/>
              <w:jc w:val="left"/>
            </w:pPr>
            <w:r>
              <w:t xml:space="preserve">XIII eap</w:t>
            </w:r>
          </w:p>
        </w:tc>
      </w:tr>
      <w:tr>
        <w:tc>
          <w:tcPr/>
          <w:p>
            <w:pPr>
              <w:pStyle w:val="Compact"/>
              <w:jc w:val="right"/>
            </w:pPr>
            <w:r>
              <w:t xml:space="preserve">214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Wenecja</w:t>
            </w:r>
          </w:p>
        </w:tc>
        <w:tc>
          <w:tcPr/>
          <w:p>
            <w:pPr>
              <w:pStyle w:val="Compact"/>
              <w:jc w:val="left"/>
            </w:pPr>
            <w:r>
              <w:t xml:space="preserve">XIV e</w:t>
            </w:r>
          </w:p>
        </w:tc>
      </w:tr>
      <w:tr>
        <w:tc>
          <w:tcPr/>
          <w:p>
            <w:pPr>
              <w:pStyle w:val="Compact"/>
              <w:jc w:val="right"/>
            </w:pPr>
            <w:r>
              <w:t xml:space="preserve">246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Moskwa</w:t>
            </w:r>
          </w:p>
        </w:tc>
        <w:tc>
          <w:tcPr/>
          <w:p>
            <w:pPr>
              <w:pStyle w:val="Compact"/>
              <w:jc w:val="left"/>
            </w:pPr>
            <w:r>
              <w:t xml:space="preserve">XIV e</w:t>
            </w:r>
          </w:p>
        </w:tc>
      </w:tr>
      <w:tr>
        <w:tc>
          <w:tcPr/>
          <w:p>
            <w:pPr>
              <w:pStyle w:val="Compact"/>
              <w:jc w:val="right"/>
            </w:pPr>
            <w:r>
              <w:t xml:space="preserve">363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Florencja</w:t>
            </w:r>
          </w:p>
        </w:tc>
        <w:tc>
          <w:tcPr/>
          <w:p>
            <w:pPr>
              <w:pStyle w:val="Compact"/>
              <w:jc w:val="left"/>
            </w:pPr>
            <w:r>
              <w:t xml:space="preserve">XIV eap</w:t>
            </w:r>
          </w:p>
        </w:tc>
      </w:tr>
      <w:tr>
        <w:tc>
          <w:tcPr/>
          <w:p>
            <w:pPr>
              <w:pStyle w:val="Compact"/>
              <w:jc w:val="right"/>
            </w:pPr>
            <w:r>
              <w:t xml:space="preserve">386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XIV eapr</w:t>
            </w:r>
          </w:p>
        </w:tc>
      </w:tr>
      <w:tr>
        <w:tc>
          <w:tcPr/>
          <w:p>
            <w:pPr>
              <w:pStyle w:val="Compact"/>
              <w:jc w:val="right"/>
            </w:pPr>
            <w:r>
              <w:t xml:space="preserve">394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Rzym</w:t>
            </w:r>
          </w:p>
        </w:tc>
        <w:tc>
          <w:tcPr/>
          <w:p>
            <w:pPr>
              <w:pStyle w:val="Compact"/>
              <w:jc w:val="left"/>
            </w:pPr>
            <w:r>
              <w:t xml:space="preserve">1330 eap</w:t>
            </w:r>
          </w:p>
        </w:tc>
      </w:tr>
      <w:tr>
        <w:tc>
          <w:tcPr/>
          <w:p>
            <w:pPr>
              <w:pStyle w:val="Compact"/>
              <w:jc w:val="right"/>
            </w:pPr>
            <w:r>
              <w:t xml:space="preserve">402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Neapol</w:t>
            </w:r>
          </w:p>
        </w:tc>
        <w:tc>
          <w:tcPr/>
          <w:p>
            <w:pPr>
              <w:pStyle w:val="Compact"/>
              <w:jc w:val="left"/>
            </w:pPr>
            <w:r>
              <w:t xml:space="preserve">XIV e</w:t>
            </w:r>
          </w:p>
        </w:tc>
      </w:tr>
      <w:tr>
        <w:tc>
          <w:tcPr/>
          <w:p>
            <w:pPr>
              <w:pStyle w:val="Compact"/>
              <w:jc w:val="right"/>
            </w:pPr>
            <w:r>
              <w:t xml:space="preserve">415</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Wenecja</w:t>
            </w:r>
          </w:p>
        </w:tc>
        <w:tc>
          <w:tcPr/>
          <w:p>
            <w:pPr>
              <w:pStyle w:val="Compact"/>
              <w:jc w:val="left"/>
            </w:pPr>
            <w:r>
              <w:t xml:space="preserve">1356 e</w:t>
            </w:r>
          </w:p>
        </w:tc>
      </w:tr>
      <w:tr>
        <w:tc>
          <w:tcPr/>
          <w:p>
            <w:pPr>
              <w:pStyle w:val="Compact"/>
              <w:jc w:val="right"/>
            </w:pPr>
            <w:r>
              <w:t xml:space="preserve">479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Birmingham</w:t>
            </w:r>
          </w:p>
        </w:tc>
        <w:tc>
          <w:tcPr/>
          <w:p>
            <w:pPr>
              <w:pStyle w:val="Compact"/>
              <w:jc w:val="left"/>
            </w:pPr>
            <w:r>
              <w:t xml:space="preserve">XIII eap</w:t>
            </w:r>
          </w:p>
        </w:tc>
      </w:tr>
      <w:tr>
        <w:tc>
          <w:tcPr/>
          <w:p>
            <w:pPr>
              <w:pStyle w:val="Compact"/>
              <w:jc w:val="right"/>
            </w:pPr>
            <w:r>
              <w:t xml:space="preserve">480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1366 e</w:t>
            </w:r>
          </w:p>
        </w:tc>
      </w:tr>
      <w:tr>
        <w:tc>
          <w:tcPr/>
          <w:p>
            <w:pPr>
              <w:pStyle w:val="Compact"/>
              <w:jc w:val="right"/>
            </w:pPr>
            <w:r>
              <w:t xml:space="preserve">510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XII e</w:t>
            </w:r>
          </w:p>
        </w:tc>
      </w:tr>
      <w:tr>
        <w:tc>
          <w:tcPr/>
          <w:p>
            <w:pPr>
              <w:pStyle w:val="Compact"/>
              <w:jc w:val="right"/>
            </w:pPr>
            <w:r>
              <w:t xml:space="preserve">516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 e</w:t>
            </w:r>
          </w:p>
        </w:tc>
      </w:tr>
      <w:tr>
        <w:tc>
          <w:tcPr/>
          <w:p>
            <w:pPr>
              <w:pStyle w:val="Compact"/>
              <w:jc w:val="right"/>
            </w:pPr>
            <w:r>
              <w:t xml:space="preserve">520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XII e</w:t>
            </w:r>
          </w:p>
        </w:tc>
      </w:tr>
      <w:tr>
        <w:tc>
          <w:tcPr/>
          <w:p>
            <w:pPr>
              <w:pStyle w:val="Compact"/>
              <w:jc w:val="right"/>
            </w:pPr>
            <w:r>
              <w:t xml:space="preserve">536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Ann Arbor</w:t>
            </w:r>
          </w:p>
        </w:tc>
        <w:tc>
          <w:tcPr/>
          <w:p>
            <w:pPr>
              <w:pStyle w:val="Compact"/>
              <w:jc w:val="left"/>
            </w:pPr>
            <w:r>
              <w:t xml:space="preserve">XIII ea</w:t>
            </w:r>
          </w:p>
        </w:tc>
      </w:tr>
      <w:tr>
        <w:tc>
          <w:tcPr/>
          <w:p>
            <w:pPr>
              <w:pStyle w:val="Compact"/>
              <w:jc w:val="right"/>
            </w:pPr>
            <w:r>
              <w:t xml:space="preserve">547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Karakallu</w:t>
            </w:r>
          </w:p>
        </w:tc>
        <w:tc>
          <w:tcPr/>
          <w:p>
            <w:pPr>
              <w:pStyle w:val="Compact"/>
              <w:jc w:val="left"/>
            </w:pPr>
            <w:r>
              <w:t xml:space="preserve">XI eap</w:t>
            </w:r>
          </w:p>
        </w:tc>
      </w:tr>
      <w:tr>
        <w:tc>
          <w:tcPr/>
          <w:p>
            <w:pPr>
              <w:pStyle w:val="Compact"/>
              <w:jc w:val="right"/>
            </w:pPr>
            <w:r>
              <w:t xml:space="preserve">553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586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Modena</w:t>
            </w:r>
          </w:p>
        </w:tc>
        <w:tc>
          <w:tcPr/>
          <w:p>
            <w:pPr>
              <w:pStyle w:val="Compact"/>
              <w:jc w:val="left"/>
            </w:pPr>
            <w:r>
              <w:t xml:space="preserve">XIV e</w:t>
            </w:r>
          </w:p>
        </w:tc>
      </w:tr>
      <w:tr>
        <w:tc>
          <w:tcPr/>
          <w:p>
            <w:pPr>
              <w:pStyle w:val="Compact"/>
              <w:jc w:val="right"/>
            </w:pPr>
            <w:r>
              <w:t xml:space="preserve">645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Cypr</w:t>
            </w:r>
          </w:p>
        </w:tc>
        <w:tc>
          <w:tcPr/>
          <w:p>
            <w:pPr>
              <w:pStyle w:val="Compact"/>
              <w:jc w:val="left"/>
            </w:pPr>
            <w:r>
              <w:t xml:space="preserve">1304 e</w:t>
            </w:r>
          </w:p>
        </w:tc>
      </w:tr>
      <w:tr>
        <w:tc>
          <w:tcPr/>
          <w:p>
            <w:pPr>
              <w:pStyle w:val="Compact"/>
              <w:jc w:val="right"/>
            </w:pPr>
            <w:r>
              <w:t xml:space="preserve">676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Münster</w:t>
            </w:r>
          </w:p>
        </w:tc>
        <w:tc>
          <w:tcPr/>
          <w:p>
            <w:pPr>
              <w:pStyle w:val="Compact"/>
              <w:jc w:val="left"/>
            </w:pPr>
            <w:r>
              <w:t xml:space="preserve">XIII eap</w:t>
            </w:r>
          </w:p>
        </w:tc>
      </w:tr>
      <w:tr>
        <w:tc>
          <w:tcPr/>
          <w:p>
            <w:pPr>
              <w:pStyle w:val="Compact"/>
              <w:jc w:val="right"/>
            </w:pPr>
            <w:r>
              <w:t xml:space="preserve">685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Ann Arbor</w:t>
            </w:r>
          </w:p>
        </w:tc>
        <w:tc>
          <w:tcPr/>
          <w:p>
            <w:pPr>
              <w:pStyle w:val="Compact"/>
              <w:jc w:val="left"/>
            </w:pPr>
            <w:r>
              <w:t xml:space="preserve">XIII e</w:t>
            </w:r>
          </w:p>
        </w:tc>
      </w:tr>
      <w:tr>
        <w:tc>
          <w:tcPr/>
          <w:p>
            <w:pPr>
              <w:pStyle w:val="Compact"/>
              <w:jc w:val="right"/>
            </w:pPr>
            <w:r>
              <w:t xml:space="preserve">689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691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696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757</w:t>
            </w:r>
          </w:p>
        </w:tc>
        <w:tc>
          <w:tcPr/>
          <w:p>
            <w:pPr>
              <w:pStyle w:val="Compact"/>
              <w:jc w:val="center"/>
            </w:pPr>
            <w:r>
              <w:t xml:space="preserve">++</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XIII eapr</w:t>
            </w:r>
          </w:p>
        </w:tc>
      </w:tr>
      <w:tr>
        <w:tc>
          <w:tcPr/>
          <w:p>
            <w:pPr>
              <w:pStyle w:val="Compact"/>
              <w:jc w:val="right"/>
            </w:pPr>
            <w:r>
              <w:t xml:space="preserve">758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763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781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Grottaferrata</w:t>
            </w:r>
          </w:p>
        </w:tc>
        <w:tc>
          <w:tcPr/>
          <w:p>
            <w:pPr>
              <w:pStyle w:val="Compact"/>
              <w:jc w:val="left"/>
            </w:pPr>
            <w:r>
              <w:t xml:space="preserve">XIV eapr</w:t>
            </w:r>
          </w:p>
        </w:tc>
      </w:tr>
      <w:tr>
        <w:tc>
          <w:tcPr/>
          <w:p>
            <w:pPr>
              <w:pStyle w:val="Compact"/>
              <w:jc w:val="right"/>
            </w:pPr>
            <w:r>
              <w:t xml:space="preserve">867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XIV e</w:t>
            </w:r>
          </w:p>
        </w:tc>
      </w:tr>
      <w:tr>
        <w:tc>
          <w:tcPr/>
          <w:p>
            <w:pPr>
              <w:pStyle w:val="Compact"/>
              <w:jc w:val="right"/>
            </w:pPr>
            <w:r>
              <w:t xml:space="preserve">897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Edynburg</w:t>
            </w:r>
          </w:p>
        </w:tc>
        <w:tc>
          <w:tcPr/>
          <w:p>
            <w:pPr>
              <w:pStyle w:val="Compact"/>
              <w:jc w:val="left"/>
            </w:pPr>
            <w:r>
              <w:t xml:space="preserve">XIII 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1304 eap</w:t>
            </w:r>
          </w:p>
        </w:tc>
      </w:tr>
      <w:tr>
        <w:tc>
          <w:tcPr/>
          <w:p>
            <w:pPr>
              <w:pStyle w:val="Compact"/>
              <w:jc w:val="right"/>
            </w:pPr>
            <w:r>
              <w:t xml:space="preserve">938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1318 e</w:t>
            </w:r>
          </w:p>
        </w:tc>
      </w:tr>
      <w:tr>
        <w:tc>
          <w:tcPr/>
          <w:p>
            <w:pPr>
              <w:pStyle w:val="Compact"/>
              <w:jc w:val="right"/>
            </w:pPr>
            <w:r>
              <w:t xml:space="preserve">959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1331 eap</w:t>
            </w:r>
          </w:p>
        </w:tc>
      </w:tr>
      <w:tr>
        <w:tc>
          <w:tcPr/>
          <w:p>
            <w:pPr>
              <w:pStyle w:val="Compact"/>
              <w:jc w:val="right"/>
            </w:pPr>
            <w:r>
              <w:t xml:space="preserve">986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Esfigmenu</w:t>
            </w:r>
          </w:p>
        </w:tc>
        <w:tc>
          <w:tcPr/>
          <w:p>
            <w:pPr>
              <w:pStyle w:val="Compact"/>
              <w:jc w:val="left"/>
            </w:pPr>
            <w:r>
              <w:t xml:space="preserve">XIV eapr</w:t>
            </w:r>
          </w:p>
        </w:tc>
      </w:tr>
      <w:tr>
        <w:tc>
          <w:tcPr/>
          <w:p>
            <w:pPr>
              <w:pStyle w:val="Compact"/>
              <w:jc w:val="right"/>
            </w:pPr>
            <w:r>
              <w:t xml:space="preserve">1023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left"/>
            </w:pPr>
            <w:r>
              <w:t xml:space="preserve">1338 e</w:t>
            </w:r>
          </w:p>
        </w:tc>
      </w:tr>
      <w:tr>
        <w:tc>
          <w:tcPr/>
          <w:p>
            <w:pPr>
              <w:pStyle w:val="Compact"/>
              <w:jc w:val="right"/>
            </w:pPr>
            <w:r>
              <w:t xml:space="preserve">1040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Karakallu</w:t>
            </w:r>
          </w:p>
        </w:tc>
        <w:tc>
          <w:tcPr/>
          <w:p>
            <w:pPr>
              <w:pStyle w:val="Compact"/>
              <w:jc w:val="left"/>
            </w:pPr>
            <w:r>
              <w:t xml:space="preserve">XIV eap</w:t>
            </w:r>
          </w:p>
        </w:tc>
      </w:tr>
      <w:tr>
        <w:tc>
          <w:tcPr/>
          <w:p>
            <w:pPr>
              <w:pStyle w:val="Compact"/>
              <w:jc w:val="right"/>
            </w:pPr>
            <w:r>
              <w:t xml:space="preserve">1062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Kutlumusiu</w:t>
            </w:r>
          </w:p>
        </w:tc>
        <w:tc>
          <w:tcPr/>
          <w:p>
            <w:pPr>
              <w:pStyle w:val="Compact"/>
              <w:jc w:val="left"/>
            </w:pPr>
            <w:r>
              <w:t xml:space="preserve">XIV e</w:t>
            </w:r>
          </w:p>
        </w:tc>
      </w:tr>
      <w:tr>
        <w:tc>
          <w:tcPr/>
          <w:p>
            <w:pPr>
              <w:pStyle w:val="Compact"/>
              <w:jc w:val="right"/>
            </w:pPr>
            <w:r>
              <w:t xml:space="preserve">1072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eapr</w:t>
            </w:r>
          </w:p>
        </w:tc>
      </w:tr>
      <w:tr>
        <w:tc>
          <w:tcPr/>
          <w:p>
            <w:pPr>
              <w:pStyle w:val="Compact"/>
              <w:jc w:val="right"/>
            </w:pPr>
            <w:r>
              <w:t xml:space="preserve">1075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XIV eapr</w:t>
            </w:r>
          </w:p>
        </w:tc>
      </w:tr>
      <w:tr>
        <w:tc>
          <w:tcPr/>
          <w:p>
            <w:pPr>
              <w:pStyle w:val="Compact"/>
              <w:jc w:val="right"/>
            </w:pPr>
            <w:r>
              <w:t xml:space="preserve">1111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w:t>
            </w:r>
          </w:p>
        </w:tc>
        <w:tc>
          <w:tcPr/>
          <w:p>
            <w:pPr>
              <w:pStyle w:val="Compact"/>
              <w:jc w:val="left"/>
            </w:pPr>
            <w:r>
              <w:t xml:space="preserve">XIV e</w:t>
            </w:r>
          </w:p>
        </w:tc>
      </w:tr>
      <w:tr>
        <w:tc>
          <w:tcPr/>
          <w:p>
            <w:pPr>
              <w:pStyle w:val="Compact"/>
              <w:jc w:val="right"/>
            </w:pPr>
            <w:r>
              <w:t xml:space="preserve">1117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Filotheu</w:t>
            </w:r>
          </w:p>
        </w:tc>
        <w:tc>
          <w:tcPr/>
          <w:p>
            <w:pPr>
              <w:pStyle w:val="Compact"/>
              <w:jc w:val="left"/>
            </w:pPr>
            <w:r>
              <w:t xml:space="preserve">XIV e</w:t>
            </w:r>
          </w:p>
        </w:tc>
      </w:tr>
      <w:tr>
        <w:tc>
          <w:tcPr/>
          <w:p>
            <w:pPr>
              <w:pStyle w:val="Compact"/>
              <w:jc w:val="right"/>
            </w:pPr>
            <w:r>
              <w:t xml:space="preserve">1133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Filotheu</w:t>
            </w:r>
          </w:p>
        </w:tc>
        <w:tc>
          <w:tcPr/>
          <w:p>
            <w:pPr>
              <w:pStyle w:val="Compact"/>
              <w:jc w:val="left"/>
            </w:pPr>
            <w:r>
              <w:t xml:space="preserve">XIV e</w:t>
            </w:r>
          </w:p>
        </w:tc>
      </w:tr>
      <w:tr>
        <w:tc>
          <w:tcPr/>
          <w:p>
            <w:pPr>
              <w:pStyle w:val="Compact"/>
              <w:jc w:val="right"/>
            </w:pPr>
            <w:r>
              <w:t xml:space="preserve">1145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XII e</w:t>
            </w:r>
          </w:p>
        </w:tc>
      </w:tr>
      <w:tr>
        <w:tc>
          <w:tcPr/>
          <w:p>
            <w:pPr>
              <w:pStyle w:val="Compact"/>
              <w:jc w:val="right"/>
            </w:pPr>
            <w:r>
              <w:t xml:space="preserve">1147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1370 e</w:t>
            </w:r>
          </w:p>
        </w:tc>
      </w:tr>
      <w:tr>
        <w:tc>
          <w:tcPr/>
          <w:p>
            <w:pPr>
              <w:pStyle w:val="Compact"/>
              <w:jc w:val="right"/>
            </w:pPr>
            <w:r>
              <w:t xml:space="preserve">1158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Lesbos</w:t>
            </w:r>
          </w:p>
        </w:tc>
        <w:tc>
          <w:tcPr/>
          <w:p>
            <w:pPr>
              <w:pStyle w:val="Compact"/>
              <w:jc w:val="left"/>
            </w:pPr>
            <w:r>
              <w:t xml:space="preserve">XIV e</w:t>
            </w:r>
          </w:p>
        </w:tc>
      </w:tr>
      <w:tr>
        <w:tc>
          <w:tcPr/>
          <w:p>
            <w:pPr>
              <w:pStyle w:val="Compact"/>
              <w:jc w:val="right"/>
            </w:pPr>
            <w:r>
              <w:t xml:space="preserve">1189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1346 e</w:t>
            </w:r>
          </w:p>
        </w:tc>
      </w:tr>
      <w:tr>
        <w:tc>
          <w:tcPr/>
          <w:p>
            <w:pPr>
              <w:pStyle w:val="Compact"/>
              <w:jc w:val="right"/>
            </w:pPr>
            <w:r>
              <w:t xml:space="preserve">1199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XII e</w:t>
            </w:r>
          </w:p>
        </w:tc>
      </w:tr>
      <w:tr>
        <w:tc>
          <w:tcPr/>
          <w:p>
            <w:pPr>
              <w:pStyle w:val="Compact"/>
              <w:jc w:val="right"/>
            </w:pPr>
            <w:r>
              <w:t xml:space="preserve">1234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w:t>
            </w:r>
          </w:p>
        </w:tc>
      </w:tr>
      <w:tr>
        <w:tc>
          <w:tcPr/>
          <w:p>
            <w:pPr>
              <w:pStyle w:val="Compact"/>
              <w:jc w:val="right"/>
            </w:pPr>
            <w:r>
              <w:t xml:space="preserve">1247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XV eap</w:t>
            </w:r>
          </w:p>
        </w:tc>
      </w:tr>
      <w:tr>
        <w:tc>
          <w:tcPr/>
          <w:p>
            <w:pPr>
              <w:pStyle w:val="Compact"/>
              <w:jc w:val="right"/>
            </w:pPr>
            <w:r>
              <w:t xml:space="preserve">1248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eapr</w:t>
            </w:r>
          </w:p>
        </w:tc>
      </w:tr>
      <w:tr>
        <w:tc>
          <w:tcPr/>
          <w:p>
            <w:pPr>
              <w:pStyle w:val="Compact"/>
              <w:jc w:val="right"/>
            </w:pPr>
            <w:r>
              <w:t xml:space="preserve">1250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XV eap</w:t>
            </w:r>
          </w:p>
        </w:tc>
      </w:tr>
      <w:tr>
        <w:tc>
          <w:tcPr/>
          <w:p>
            <w:pPr>
              <w:pStyle w:val="Compact"/>
              <w:jc w:val="right"/>
            </w:pPr>
            <w:r>
              <w:t xml:space="preserve">1251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XIII eap</w:t>
            </w:r>
          </w:p>
        </w:tc>
      </w:tr>
      <w:tr>
        <w:tc>
          <w:tcPr/>
          <w:p>
            <w:pPr>
              <w:pStyle w:val="Compact"/>
              <w:jc w:val="right"/>
            </w:pPr>
            <w:r>
              <w:t xml:space="preserve">1323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 e</w:t>
            </w:r>
          </w:p>
        </w:tc>
      </w:tr>
      <w:tr>
        <w:tc>
          <w:tcPr/>
          <w:p>
            <w:pPr>
              <w:pStyle w:val="Compact"/>
              <w:jc w:val="right"/>
            </w:pPr>
            <w:r>
              <w:t xml:space="preserve">1328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XIV er</w:t>
            </w:r>
          </w:p>
        </w:tc>
      </w:tr>
      <w:tr>
        <w:tc>
          <w:tcPr/>
          <w:p>
            <w:pPr>
              <w:pStyle w:val="Compact"/>
              <w:jc w:val="right"/>
            </w:pPr>
            <w:r>
              <w:t xml:space="preserve">1334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1339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1384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Andros</w:t>
            </w:r>
          </w:p>
        </w:tc>
        <w:tc>
          <w:tcPr/>
          <w:p>
            <w:pPr>
              <w:pStyle w:val="Compact"/>
              <w:jc w:val="left"/>
            </w:pPr>
            <w:r>
              <w:t xml:space="preserve">XI eapr</w:t>
            </w:r>
          </w:p>
        </w:tc>
      </w:tr>
      <w:tr>
        <w:tc>
          <w:tcPr/>
          <w:p>
            <w:pPr>
              <w:pStyle w:val="Compact"/>
              <w:jc w:val="right"/>
            </w:pPr>
            <w:r>
              <w:t xml:space="preserve">1435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 e</w:t>
            </w:r>
          </w:p>
        </w:tc>
      </w:tr>
      <w:tr>
        <w:tc>
          <w:tcPr/>
          <w:p>
            <w:pPr>
              <w:pStyle w:val="Compact"/>
              <w:jc w:val="right"/>
            </w:pPr>
            <w:r>
              <w:t xml:space="preserve">1445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1323 e</w:t>
            </w:r>
          </w:p>
        </w:tc>
      </w:tr>
      <w:tr>
        <w:tc>
          <w:tcPr/>
          <w:p>
            <w:pPr>
              <w:pStyle w:val="Compact"/>
              <w:jc w:val="right"/>
            </w:pPr>
            <w:r>
              <w:t xml:space="preserve">1461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w:t>
            </w:r>
          </w:p>
        </w:tc>
      </w:tr>
      <w:tr>
        <w:tc>
          <w:tcPr/>
          <w:p>
            <w:pPr>
              <w:pStyle w:val="Compact"/>
              <w:jc w:val="right"/>
            </w:pPr>
            <w:r>
              <w:t xml:space="preserve">1482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1304 eap</w:t>
            </w:r>
          </w:p>
        </w:tc>
      </w:tr>
      <w:tr>
        <w:tc>
          <w:tcPr/>
          <w:p>
            <w:pPr>
              <w:pStyle w:val="Compact"/>
              <w:jc w:val="right"/>
            </w:pPr>
            <w:r>
              <w:t xml:space="preserve">1490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 eap</w:t>
            </w:r>
          </w:p>
        </w:tc>
      </w:tr>
      <w:tr>
        <w:tc>
          <w:tcPr/>
          <w:p>
            <w:pPr>
              <w:pStyle w:val="Compact"/>
              <w:jc w:val="right"/>
            </w:pPr>
            <w:r>
              <w:t xml:space="preserve">1496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w:t>
            </w:r>
          </w:p>
        </w:tc>
      </w:tr>
      <w:tr>
        <w:tc>
          <w:tcPr/>
          <w:p>
            <w:pPr>
              <w:pStyle w:val="Compact"/>
              <w:jc w:val="right"/>
            </w:pPr>
            <w:r>
              <w:t xml:space="preserve">1503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1317 eapr</w:t>
            </w:r>
          </w:p>
        </w:tc>
      </w:tr>
      <w:tr>
        <w:tc>
          <w:tcPr/>
          <w:p>
            <w:pPr>
              <w:pStyle w:val="Compact"/>
              <w:jc w:val="right"/>
            </w:pPr>
            <w:r>
              <w:t xml:space="preserve">1548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1359 eap</w:t>
            </w:r>
          </w:p>
        </w:tc>
      </w:tr>
      <w:tr>
        <w:tc>
          <w:tcPr/>
          <w:p>
            <w:pPr>
              <w:pStyle w:val="Compact"/>
              <w:jc w:val="right"/>
            </w:pPr>
            <w:r>
              <w:t xml:space="preserve">1551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XIII er</w:t>
            </w:r>
          </w:p>
        </w:tc>
      </w:tr>
      <w:tr>
        <w:tc>
          <w:tcPr/>
          <w:p>
            <w:pPr>
              <w:pStyle w:val="Compact"/>
              <w:jc w:val="right"/>
            </w:pPr>
            <w:r>
              <w:t xml:space="preserve">1559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XIV e</w:t>
            </w:r>
          </w:p>
        </w:tc>
      </w:tr>
      <w:tr>
        <w:tc>
          <w:tcPr/>
          <w:p>
            <w:pPr>
              <w:pStyle w:val="Compact"/>
              <w:jc w:val="right"/>
            </w:pPr>
            <w:r>
              <w:t xml:space="preserve">1560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XIV e</w:t>
            </w:r>
          </w:p>
        </w:tc>
      </w:tr>
      <w:tr>
        <w:tc>
          <w:tcPr/>
          <w:p>
            <w:pPr>
              <w:pStyle w:val="Compact"/>
              <w:jc w:val="right"/>
            </w:pPr>
            <w:r>
              <w:t xml:space="preserve">1572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1304 e</w:t>
            </w:r>
          </w:p>
        </w:tc>
      </w:tr>
      <w:tr>
        <w:tc>
          <w:tcPr/>
          <w:p>
            <w:pPr>
              <w:pStyle w:val="Compact"/>
              <w:jc w:val="right"/>
            </w:pPr>
            <w:r>
              <w:t xml:space="preserve">1614</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1324 e</w:t>
            </w:r>
          </w:p>
        </w:tc>
      </w:tr>
      <w:tr>
        <w:tc>
          <w:tcPr/>
          <w:p>
            <w:pPr>
              <w:pStyle w:val="Compact"/>
              <w:jc w:val="right"/>
            </w:pPr>
            <w:r>
              <w:t xml:space="preserve">1617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XIV eapr</w:t>
            </w:r>
          </w:p>
        </w:tc>
      </w:tr>
      <w:tr>
        <w:tc>
          <w:tcPr/>
          <w:p>
            <w:pPr>
              <w:pStyle w:val="Compact"/>
              <w:jc w:val="right"/>
            </w:pPr>
            <w:r>
              <w:t xml:space="preserve">1628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1400 eap</w:t>
            </w:r>
          </w:p>
        </w:tc>
      </w:tr>
      <w:tr>
        <w:tc>
          <w:tcPr/>
          <w:p>
            <w:pPr>
              <w:pStyle w:val="Compact"/>
              <w:jc w:val="right"/>
            </w:pPr>
            <w:r>
              <w:t xml:space="preserve">1637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1328 eapr</w:t>
            </w:r>
          </w:p>
        </w:tc>
      </w:tr>
      <w:tr>
        <w:tc>
          <w:tcPr/>
          <w:p>
            <w:pPr>
              <w:pStyle w:val="Compact"/>
              <w:jc w:val="right"/>
            </w:pPr>
            <w:r>
              <w:t xml:space="preserve">1652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XVI eapr</w:t>
            </w:r>
          </w:p>
        </w:tc>
      </w:tr>
      <w:tr>
        <w:tc>
          <w:tcPr/>
          <w:p>
            <w:pPr>
              <w:pStyle w:val="Compact"/>
              <w:jc w:val="right"/>
            </w:pPr>
            <w:r>
              <w:t xml:space="preserve">1667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Panteleimonos</w:t>
            </w:r>
          </w:p>
        </w:tc>
        <w:tc>
          <w:tcPr/>
          <w:p>
            <w:pPr>
              <w:pStyle w:val="Compact"/>
              <w:jc w:val="left"/>
            </w:pPr>
            <w:r>
              <w:t xml:space="preserve">1309 e</w:t>
            </w:r>
          </w:p>
        </w:tc>
      </w:tr>
      <w:tr>
        <w:tc>
          <w:tcPr/>
          <w:p>
            <w:pPr>
              <w:pStyle w:val="Compact"/>
              <w:jc w:val="right"/>
            </w:pPr>
            <w:r>
              <w:t xml:space="preserve">1686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1418 e</w:t>
            </w:r>
          </w:p>
        </w:tc>
      </w:tr>
      <w:tr>
        <w:tc>
          <w:tcPr/>
          <w:p>
            <w:pPr>
              <w:pStyle w:val="Compact"/>
              <w:jc w:val="right"/>
            </w:pPr>
            <w:r>
              <w:t xml:space="preserve">1694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XIII e</w:t>
            </w:r>
          </w:p>
        </w:tc>
      </w:tr>
      <w:tr>
        <w:tc>
          <w:tcPr/>
          <w:p>
            <w:pPr>
              <w:pStyle w:val="Compact"/>
              <w:jc w:val="right"/>
            </w:pPr>
            <w:r>
              <w:t xml:space="preserve">1698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1705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Tirana</w:t>
            </w:r>
          </w:p>
        </w:tc>
        <w:tc>
          <w:tcPr/>
          <w:p>
            <w:pPr>
              <w:pStyle w:val="Compact"/>
              <w:jc w:val="left"/>
            </w:pPr>
            <w:r>
              <w:t xml:space="preserve">XIV e</w:t>
            </w:r>
          </w:p>
        </w:tc>
      </w:tr>
      <w:tr>
        <w:tc>
          <w:tcPr/>
          <w:p>
            <w:pPr>
              <w:pStyle w:val="Compact"/>
              <w:jc w:val="right"/>
            </w:pPr>
            <w:r>
              <w:t xml:space="preserve">1713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Lesbos</w:t>
            </w:r>
          </w:p>
        </w:tc>
        <w:tc>
          <w:tcPr/>
          <w:p>
            <w:pPr>
              <w:pStyle w:val="Compact"/>
              <w:jc w:val="left"/>
            </w:pPr>
            <w:r>
              <w:t xml:space="preserve">XV e</w:t>
            </w:r>
          </w:p>
        </w:tc>
      </w:tr>
      <w:tr>
        <w:tc>
          <w:tcPr/>
          <w:p>
            <w:pPr>
              <w:pStyle w:val="Compact"/>
              <w:jc w:val="right"/>
            </w:pPr>
            <w:r>
              <w:t xml:space="preserve">1813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Duke</w:t>
            </w:r>
          </w:p>
        </w:tc>
        <w:tc>
          <w:tcPr/>
          <w:p>
            <w:pPr>
              <w:pStyle w:val="Compact"/>
              <w:jc w:val="left"/>
            </w:pPr>
            <w:r>
              <w:t xml:space="preserve">XII e</w:t>
            </w:r>
          </w:p>
        </w:tc>
      </w:tr>
      <w:tr>
        <w:tc>
          <w:tcPr/>
          <w:p>
            <w:pPr>
              <w:pStyle w:val="Compact"/>
              <w:jc w:val="right"/>
            </w:pPr>
            <w:r>
              <w:t xml:space="preserve">2122</w:t>
            </w:r>
          </w:p>
        </w:tc>
        <w:tc>
          <w:tcPr/>
          <w:p>
            <w:pPr>
              <w:pStyle w:val="Compact"/>
              <w:jc w:val="center"/>
            </w:pPr>
            <w:r>
              <w:t xml:space="preserve">nieczytelny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 e</w:t>
            </w:r>
          </w:p>
        </w:tc>
      </w:tr>
      <w:tr>
        <w:tc>
          <w:tcPr/>
          <w:p>
            <w:pPr>
              <w:pStyle w:val="Compact"/>
              <w:jc w:val="right"/>
            </w:pPr>
            <w:r>
              <w:t xml:space="preserve">2175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Petersburg</w:t>
            </w:r>
          </w:p>
        </w:tc>
        <w:tc>
          <w:tcPr/>
          <w:p>
            <w:pPr>
              <w:pStyle w:val="Compact"/>
              <w:jc w:val="left"/>
            </w:pPr>
            <w:r>
              <w:t xml:space="preserve">XIV eap</w:t>
            </w:r>
          </w:p>
        </w:tc>
      </w:tr>
      <w:tr>
        <w:tc>
          <w:tcPr/>
          <w:p>
            <w:pPr>
              <w:pStyle w:val="Compact"/>
              <w:jc w:val="right"/>
            </w:pPr>
            <w:r>
              <w:t xml:space="preserve">2221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Sparta</w:t>
            </w:r>
          </w:p>
        </w:tc>
        <w:tc>
          <w:tcPr/>
          <w:p>
            <w:pPr>
              <w:pStyle w:val="Compact"/>
              <w:jc w:val="left"/>
            </w:pPr>
            <w:r>
              <w:t xml:space="preserve">1432 eap</w:t>
            </w:r>
          </w:p>
        </w:tc>
      </w:tr>
      <w:tr>
        <w:tc>
          <w:tcPr/>
          <w:p>
            <w:pPr>
              <w:pStyle w:val="Compact"/>
              <w:jc w:val="right"/>
            </w:pPr>
            <w:r>
              <w:t xml:space="preserve">2253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Tirana</w:t>
            </w:r>
          </w:p>
        </w:tc>
        <w:tc>
          <w:tcPr/>
          <w:p>
            <w:pPr>
              <w:pStyle w:val="Compact"/>
              <w:jc w:val="left"/>
            </w:pPr>
            <w:r>
              <w:t xml:space="preserve">XI e</w:t>
            </w:r>
          </w:p>
        </w:tc>
      </w:tr>
      <w:tr>
        <w:tc>
          <w:tcPr/>
          <w:p>
            <w:pPr>
              <w:pStyle w:val="Compact"/>
              <w:jc w:val="right"/>
            </w:pPr>
            <w:r>
              <w:t xml:space="preserve">2261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Kalawrita</w:t>
            </w:r>
          </w:p>
        </w:tc>
        <w:tc>
          <w:tcPr/>
          <w:p>
            <w:pPr>
              <w:pStyle w:val="Compact"/>
              <w:jc w:val="left"/>
            </w:pPr>
            <w:r>
              <w:t xml:space="preserve">XIV eap</w:t>
            </w:r>
          </w:p>
        </w:tc>
      </w:tr>
      <w:tr>
        <w:tc>
          <w:tcPr/>
          <w:p>
            <w:pPr>
              <w:pStyle w:val="Compact"/>
              <w:jc w:val="right"/>
            </w:pPr>
            <w:r>
              <w:t xml:space="preserve">2284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Manchester</w:t>
            </w:r>
          </w:p>
        </w:tc>
        <w:tc>
          <w:tcPr/>
          <w:p>
            <w:pPr>
              <w:pStyle w:val="Compact"/>
              <w:jc w:val="left"/>
            </w:pPr>
            <w:r>
              <w:t xml:space="preserve">XIII e</w:t>
            </w:r>
          </w:p>
        </w:tc>
      </w:tr>
      <w:tr>
        <w:tc>
          <w:tcPr/>
          <w:p>
            <w:pPr>
              <w:pStyle w:val="Compact"/>
              <w:jc w:val="right"/>
            </w:pPr>
            <w:r>
              <w:t xml:space="preserve">2322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wyspa Prinkipos</w:t>
            </w:r>
          </w:p>
        </w:tc>
        <w:tc>
          <w:tcPr/>
          <w:p>
            <w:pPr>
              <w:pStyle w:val="Compact"/>
              <w:jc w:val="left"/>
            </w:pPr>
            <w:r>
              <w:t xml:space="preserve">XII e</w:t>
            </w:r>
          </w:p>
        </w:tc>
      </w:tr>
      <w:tr>
        <w:tc>
          <w:tcPr/>
          <w:p>
            <w:pPr>
              <w:pStyle w:val="Compact"/>
              <w:jc w:val="right"/>
            </w:pPr>
            <w:r>
              <w:t xml:space="preserve">2323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Benaki (Ateny)</w:t>
            </w:r>
          </w:p>
        </w:tc>
        <w:tc>
          <w:tcPr/>
          <w:p>
            <w:pPr>
              <w:pStyle w:val="Compact"/>
              <w:jc w:val="left"/>
            </w:pPr>
            <w:r>
              <w:t xml:space="preserve">XIII er</w:t>
            </w:r>
          </w:p>
        </w:tc>
      </w:tr>
      <w:tr>
        <w:tc>
          <w:tcPr/>
          <w:p>
            <w:pPr>
              <w:pStyle w:val="Compact"/>
              <w:jc w:val="right"/>
            </w:pPr>
            <w:r>
              <w:t xml:space="preserve">2352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Meteory</w:t>
            </w:r>
          </w:p>
        </w:tc>
        <w:tc>
          <w:tcPr/>
          <w:p>
            <w:pPr>
              <w:pStyle w:val="Compact"/>
              <w:jc w:val="left"/>
            </w:pPr>
            <w:r>
              <w:t xml:space="preserve">XIV eapr</w:t>
            </w:r>
          </w:p>
        </w:tc>
      </w:tr>
      <w:tr>
        <w:tc>
          <w:tcPr/>
          <w:p>
            <w:pPr>
              <w:pStyle w:val="Compact"/>
              <w:jc w:val="right"/>
            </w:pPr>
            <w:r>
              <w:t xml:space="preserve">2367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Princeton</w:t>
            </w:r>
          </w:p>
        </w:tc>
        <w:tc>
          <w:tcPr/>
          <w:p>
            <w:pPr>
              <w:pStyle w:val="Compact"/>
              <w:jc w:val="left"/>
            </w:pPr>
            <w:r>
              <w:t xml:space="preserve">XII e</w:t>
            </w:r>
          </w:p>
        </w:tc>
      </w:tr>
      <w:tr>
        <w:tc>
          <w:tcPr/>
          <w:p>
            <w:pPr>
              <w:pStyle w:val="Compact"/>
              <w:jc w:val="right"/>
            </w:pPr>
            <w:r>
              <w:t xml:space="preserve">2382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XII e</w:t>
            </w:r>
          </w:p>
        </w:tc>
      </w:tr>
      <w:tr>
        <w:tc>
          <w:tcPr/>
          <w:p>
            <w:pPr>
              <w:pStyle w:val="Compact"/>
              <w:jc w:val="right"/>
            </w:pPr>
            <w:r>
              <w:t xml:space="preserve">2399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Chicago</w:t>
            </w:r>
          </w:p>
        </w:tc>
        <w:tc>
          <w:tcPr/>
          <w:p>
            <w:pPr>
              <w:pStyle w:val="Compact"/>
              <w:jc w:val="left"/>
            </w:pPr>
            <w:r>
              <w:t xml:space="preserve">XIV e</w:t>
            </w:r>
          </w:p>
        </w:tc>
      </w:tr>
      <w:tr>
        <w:tc>
          <w:tcPr/>
          <w:p>
            <w:pPr>
              <w:pStyle w:val="Compact"/>
              <w:jc w:val="right"/>
            </w:pPr>
            <w:r>
              <w:t xml:space="preserve">2407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Chicago</w:t>
            </w:r>
          </w:p>
        </w:tc>
        <w:tc>
          <w:tcPr/>
          <w:p>
            <w:pPr>
              <w:pStyle w:val="Compact"/>
              <w:jc w:val="left"/>
            </w:pPr>
            <w:r>
              <w:t xml:space="preserve">1332 e</w:t>
            </w:r>
          </w:p>
        </w:tc>
      </w:tr>
      <w:tr>
        <w:tc>
          <w:tcPr/>
          <w:p>
            <w:pPr>
              <w:pStyle w:val="Compact"/>
              <w:jc w:val="right"/>
            </w:pPr>
            <w:r>
              <w:t xml:space="preserve">2466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Patmos</w:t>
            </w:r>
          </w:p>
        </w:tc>
        <w:tc>
          <w:tcPr/>
          <w:p>
            <w:pPr>
              <w:pStyle w:val="Compact"/>
              <w:jc w:val="left"/>
            </w:pPr>
            <w:r>
              <w:t xml:space="preserve">1329 eap</w:t>
            </w:r>
          </w:p>
        </w:tc>
      </w:tr>
      <w:tr>
        <w:tc>
          <w:tcPr/>
          <w:p>
            <w:pPr>
              <w:pStyle w:val="Compact"/>
              <w:jc w:val="right"/>
            </w:pPr>
            <w:r>
              <w:t xml:space="preserve">2503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Bukareszt</w:t>
            </w:r>
          </w:p>
        </w:tc>
        <w:tc>
          <w:tcPr/>
          <w:p>
            <w:pPr>
              <w:pStyle w:val="Compact"/>
              <w:jc w:val="left"/>
            </w:pPr>
            <w:r>
              <w:t xml:space="preserve">1434 eapr</w:t>
            </w:r>
          </w:p>
        </w:tc>
      </w:tr>
      <w:tr>
        <w:tc>
          <w:tcPr/>
          <w:p>
            <w:pPr>
              <w:pStyle w:val="Compact"/>
              <w:jc w:val="right"/>
            </w:pPr>
            <w:r>
              <w:t xml:space="preserve">2559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Benaki (Ateny)</w:t>
            </w:r>
          </w:p>
        </w:tc>
        <w:tc>
          <w:tcPr/>
          <w:p>
            <w:pPr>
              <w:pStyle w:val="Compact"/>
              <w:jc w:val="left"/>
            </w:pPr>
            <w:r>
              <w:t xml:space="preserve">XII e</w:t>
            </w:r>
          </w:p>
        </w:tc>
      </w:tr>
      <w:tr>
        <w:tc>
          <w:tcPr/>
          <w:p>
            <w:pPr>
              <w:pStyle w:val="Compact"/>
              <w:jc w:val="right"/>
            </w:pPr>
            <w:r>
              <w:t xml:space="preserve">2765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Korynt? (Oksford)</w:t>
            </w:r>
          </w:p>
        </w:tc>
        <w:tc>
          <w:tcPr/>
          <w:p>
            <w:pPr>
              <w:pStyle w:val="Compact"/>
              <w:jc w:val="left"/>
            </w:pPr>
            <w:r>
              <w:t xml:space="preserve">XIV e</w:t>
            </w:r>
          </w:p>
        </w:tc>
      </w:tr>
      <w:tr>
        <w:tc>
          <w:tcPr/>
          <w:p>
            <w:pPr>
              <w:pStyle w:val="Compact"/>
              <w:jc w:val="right"/>
            </w:pPr>
            <w:r>
              <w:t xml:space="preserve">2897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Orlando</w:t>
            </w:r>
          </w:p>
        </w:tc>
        <w:tc>
          <w:tcPr/>
          <w:p>
            <w:pPr>
              <w:pStyle w:val="Compact"/>
              <w:jc w:val="left"/>
            </w:pPr>
            <w:r>
              <w:t xml:space="preserve">XIII e</w:t>
            </w:r>
          </w:p>
        </w:tc>
      </w:tr>
      <w:tr>
        <w:tc>
          <w:tcPr/>
          <w:p>
            <w:pPr>
              <w:pStyle w:val="Compact"/>
              <w:jc w:val="right"/>
            </w:pPr>
            <w:r>
              <w:t xml:space="preserve">2916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Ateny</w:t>
            </w:r>
          </w:p>
        </w:tc>
        <w:tc>
          <w:tcPr/>
          <w:p>
            <w:pPr>
              <w:pStyle w:val="Compact"/>
              <w:jc w:val="left"/>
            </w:pPr>
            <w:r>
              <w:t xml:space="preserve">XIII e</w:t>
            </w:r>
          </w:p>
        </w:tc>
      </w:tr>
      <w:tr>
        <w:tc>
          <w:tcPr/>
          <w:p>
            <w:pPr>
              <w:pStyle w:val="Compact"/>
              <w:jc w:val="right"/>
            </w:pPr>
            <w:r>
              <w:t xml:space="preserve">I.2110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left"/>
            </w:pPr>
            <w:r>
              <w:t xml:space="preserve">1322 e</w:t>
            </w:r>
          </w:p>
        </w:tc>
      </w:tr>
      <w:tr>
        <w:tc>
          <w:tcPr/>
          <w:p>
            <w:pPr>
              <w:pStyle w:val="Compact"/>
              <w:jc w:val="right"/>
            </w:pPr>
            <w:r>
              <w:t xml:space="preserve">L.65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Leukosia</w:t>
            </w:r>
          </w:p>
        </w:tc>
        <w:tc>
          <w:tcPr/>
          <w:p>
            <w:pPr>
              <w:pStyle w:val="Compact"/>
              <w:jc w:val="left"/>
            </w:pPr>
            <w:r>
              <w:t xml:space="preserve">XIV e</w:t>
            </w:r>
          </w:p>
        </w:tc>
      </w:tr>
    </w:tbl>
    <w:p>
      <w:pPr>
        <w:pStyle w:val="BodyText"/>
      </w:pPr>
      <w:r>
        <w:t xml:space="preserve">Przedstawię teraz wzorce dla pięciu zestawów wariantów. Zauważyłem osiem „poprawek” i dziewięć „wariantów alternatywnych”, rozproszonych tu i ówdzie, zignorowałem je na potrzeby tego ćwiczenia (chociaż 12 spośród 17 zmienia „—” na „++”). Celem jest ocena, czy wzorce wskazują na niezależne linie przekazu w obrębie Rodziny 35. Oto wzorce. Liczby oznaczają pierwszy odczyt (++), — drugi.</w:t>
      </w:r>
    </w:p>
    <w:tbl>
      <w:tblPr>
        <w:tblStyle w:val="Table"/>
        <w:tblW w:type="pct" w:w="5000"/>
        <w:tblLook w:firstRow="1" w:lastRow="0" w:firstColumn="0" w:lastColumn="0" w:noHBand="0" w:noVBand="0" w:val="0020"/>
        <w:jc w:val="start"/>
      </w:tblPr>
      <w:tblGrid>
        <w:gridCol w:w="1200"/>
        <w:gridCol w:w="1200"/>
        <w:gridCol w:w="1200"/>
        <w:gridCol w:w="1200"/>
        <w:gridCol w:w="1200"/>
        <w:gridCol w:w="960"/>
        <w:gridCol w:w="960"/>
      </w:tblGrid>
      <w:tr>
        <w:trPr>
          <w:tblHeader w:val="true"/>
        </w:trP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Liczba manuskryptów</w:t>
            </w:r>
          </w:p>
        </w:tc>
        <w:tc>
          <w:tcPr/>
          <w:p>
            <w:pPr>
              <w:pStyle w:val="Compact"/>
              <w:jc w:val="left"/>
            </w:pPr>
            <w:r>
              <w:t xml:space="preserve">Uwagi</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23**</w:t>
            </w:r>
          </w:p>
        </w:tc>
        <w:tc>
          <w:tcPr/>
          <w:p>
            <w:pPr>
              <w:pStyle w:val="Compact"/>
              <w:jc w:val="left"/>
            </w:pPr>
            <w:r>
              <w:t xml:space="preserve">[+2]</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2</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9*</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0</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jc w:val="left"/>
            </w:pPr>
            <w:r>
              <w:t xml:space="preserve">(egzemplarz przypuszczalnie miał wszystkie pięć)</w:t>
            </w:r>
          </w:p>
        </w:tc>
      </w:tr>
      <w:tr>
        <w:tc>
          <w:tcPr/>
          <w:p>
            <w:pPr>
              <w:pStyle w:val="Compact"/>
              <w:jc w:val="center"/>
            </w:pPr>
            <w:r>
              <w:t xml:space="preserve">1</w:t>
            </w:r>
          </w:p>
        </w:tc>
        <w:tc>
          <w:tcPr/>
          <w:p>
            <w:pPr>
              <w:pStyle w:val="Compact"/>
              <w:jc w:val="center"/>
            </w:pPr>
            <w:r>
              <w:t xml:space="preserve">brak</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jc w:val="left"/>
            </w:pPr>
            <w:r>
              <w:t xml:space="preserve">(egzemplarz przypuszczalnie miał wszystkie pięć)</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brak</w:t>
            </w:r>
          </w:p>
        </w:tc>
        <w:tc>
          <w:tcPr/>
          <w:p>
            <w:pPr>
              <w:pStyle w:val="Compact"/>
              <w:jc w:val="center"/>
            </w:pPr>
            <w:r>
              <w:t xml:space="preserve">4</w:t>
            </w:r>
          </w:p>
        </w:tc>
        <w:tc>
          <w:tcPr/>
          <w:p>
            <w:pPr>
              <w:pStyle w:val="Compact"/>
              <w:jc w:val="center"/>
            </w:pPr>
            <w:r>
              <w:t xml:space="preserve">brak</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2</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brak</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8*</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3</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7*</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2</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nieczyt.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nieczyt.</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3</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4</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6*</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14*</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0</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7*</w:t>
            </w:r>
          </w:p>
        </w:tc>
        <w:tc>
          <w:tcPr/>
          <w:p>
            <w:pPr>
              <w:pStyle w:val="Compact"/>
              <w:jc w:val="left"/>
            </w:pPr>
            <w:r>
              <w:t xml:space="preserve">[+3]</w:t>
            </w: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2</w:t>
            </w:r>
          </w:p>
        </w:tc>
        <w:tc>
          <w:tcPr/>
          <w:p>
            <w:pPr>
              <w:pStyle w:val="Compact"/>
              <w:jc w:val="left"/>
            </w:pPr>
            <w:r>
              <w:t xml:space="preserve">(egzemplarze prawdopodobnie nie miały żadnego)</w:t>
            </w: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right"/>
            </w:pPr>
            <w:r>
              <w:t xml:space="preserve">1</w:t>
            </w:r>
          </w:p>
        </w:tc>
        <w:tc>
          <w:tcPr/>
          <w:p>
            <w:pPr>
              <w:pStyle w:val="Compact"/>
              <w:jc w:val="left"/>
            </w:pPr>
            <w:r>
              <w:t xml:space="preserve">(egzemplarz prawdopodobnie nie miał żadnego)</w:t>
            </w:r>
            <w:r>
              <w:rPr>
                <w:rStyle w:val="FootnoteReference"/>
              </w:rPr>
              <w:footnoteReference w:id="322"/>
            </w:r>
          </w:p>
        </w:tc>
      </w:tr>
    </w:tbl>
    <w:p>
      <w:pPr>
        <w:pStyle w:val="BodyText"/>
      </w:pPr>
      <w:r>
        <w:t xml:space="preserve">Odkładając na bok 14 niekompletnych manuskryptów, kolejnych 12 ma prywatny wzorzec (jak dotąd). Dwa wzorce wykazują po 2 manuskrypty, kolejne dwa po 3 manuskrypty, a jeden wykazuje 4 manuskrypty. Wszystkie te pominę. Zwracam uwagę na następujących siedem wzorców:</w:t>
      </w:r>
    </w:p>
    <w:p>
      <w:pPr>
        <w:numPr>
          <w:ilvl w:val="0"/>
          <w:numId w:val="1033"/>
        </w:numPr>
      </w:pPr>
      <w:r>
        <w:t xml:space="preserve">1, 2, 3, 4, 5 = 23 [+2] manuskrypty</w:t>
      </w:r>
    </w:p>
    <w:p>
      <w:pPr>
        <w:numPr>
          <w:ilvl w:val="0"/>
          <w:numId w:val="1033"/>
        </w:numPr>
      </w:pPr>
      <w:r>
        <w:t xml:space="preserve">—, —, —, 4, — = 14 manuskryptów</w:t>
      </w:r>
    </w:p>
    <w:p>
      <w:pPr>
        <w:numPr>
          <w:ilvl w:val="0"/>
          <w:numId w:val="1033"/>
        </w:numPr>
      </w:pPr>
      <w:r>
        <w:t xml:space="preserve">—, —, —, —, — = 7 [+3] manuskryptów</w:t>
      </w:r>
    </w:p>
    <w:p>
      <w:pPr>
        <w:numPr>
          <w:ilvl w:val="0"/>
          <w:numId w:val="1033"/>
        </w:numPr>
      </w:pPr>
      <w:r>
        <w:t xml:space="preserve">1, 2, 3, —, 5 = 9 manuskryptów</w:t>
      </w:r>
    </w:p>
    <w:p>
      <w:pPr>
        <w:numPr>
          <w:ilvl w:val="0"/>
          <w:numId w:val="1033"/>
        </w:numPr>
      </w:pPr>
      <w:r>
        <w:t xml:space="preserve">1, —, —, —, 5 = 8 manuskryptów</w:t>
      </w:r>
    </w:p>
    <w:p>
      <w:pPr>
        <w:numPr>
          <w:ilvl w:val="0"/>
          <w:numId w:val="1033"/>
        </w:numPr>
      </w:pPr>
      <w:r>
        <w:t xml:space="preserve">1, —, —, 4, — = 7 manuskryptów</w:t>
      </w:r>
    </w:p>
    <w:p>
      <w:pPr>
        <w:numPr>
          <w:ilvl w:val="0"/>
          <w:numId w:val="1033"/>
        </w:numPr>
      </w:pPr>
      <w:r>
        <w:t xml:space="preserve">—, —, 3, —, — = 6 manuskryptów</w:t>
      </w:r>
    </w:p>
    <w:p>
      <w:pPr>
        <w:pStyle w:val="FirstParagraph"/>
      </w:pPr>
      <w:r>
        <w:t xml:space="preserve">Uważam, że wzorzec 1) reprezentuje archetyp rodziny, jest zdecydowanie najsilniejszym wzorcem i z konieczności reprezentuje linię przekazu. Co jednak ze wzorcem 2), czy 14 kopistów przypadkiem dokonało niezależnie tego samego zestawu wyborów? Czy nie jest znacznie bardziej prawdopodobne, że reprezentują niezależną linię przekazu? W rzeczy samej, skolacjonowałem wiele dziesiątek manuskryptów</w:t>
      </w:r>
      <w:r>
        <w:t xml:space="preserve"> </w:t>
      </w:r>
      <w:r>
        <w:rPr>
          <w:bCs/>
          <w:b/>
        </w:rPr>
        <w:t xml:space="preserve">f</w:t>
      </w:r>
      <w:r>
        <w:rPr>
          <w:vertAlign w:val="superscript"/>
          <w:bCs/>
          <w:b/>
        </w:rPr>
        <w:t xml:space="preserve">35</w:t>
      </w:r>
      <w:r>
        <w:t xml:space="preserve"> </w:t>
      </w:r>
      <w:r>
        <w:t xml:space="preserve">i z nielicznymi wyjątkami kopiści byli wierni swojemu egzemplarzowi. Rozważmy na przykład następujące dowody dla sześciu spośród wyżej wymienionych wzorców:</w:t>
      </w:r>
    </w:p>
    <w:p>
      <w:pPr>
        <w:numPr>
          <w:ilvl w:val="0"/>
          <w:numId w:val="1034"/>
        </w:numPr>
      </w:pPr>
      <w:r>
        <w:t xml:space="preserve">Wzorzec 1) — GA 2554 (Bukareszt, 1434, eapr) jest precyzyjnie doskonałą kopią linii przekazu mającej wzorzec 1). Istnieje kilka innych, które są niemal doskonałe.</w:t>
      </w:r>
    </w:p>
    <w:p>
      <w:pPr>
        <w:numPr>
          <w:ilvl w:val="0"/>
          <w:numId w:val="1034"/>
        </w:numPr>
      </w:pPr>
      <w:r>
        <w:t xml:space="preserve">Wzorzec 2) — w GA 867 (Watykan, XIV, e) brakuje pierwszych pięciu rozdziałów Ewangelii Mateusza, lecz poza tym jest precyzyjnie doskonałą kopią linii przekazu mającej wzorzec 2). GA 128 (Watykan, XIII, e) jest prawie doskonały.</w:t>
      </w:r>
    </w:p>
    <w:p>
      <w:pPr>
        <w:numPr>
          <w:ilvl w:val="0"/>
          <w:numId w:val="1034"/>
        </w:numPr>
      </w:pPr>
      <w:r>
        <w:t xml:space="preserve">Wzorzec 3) — GA 1189 (Synaj, 1346, e) jest praktycznie doskonałą kopią linii przekazu mającej wzorzec 3). GA 928 (Dionysiu, 1304, eap), GA 1572 (Vatopediu, 1304, e) i GA 2466 (Patmos, 1329, eap) są wszystkie dobre.</w:t>
      </w:r>
    </w:p>
    <w:p>
      <w:pPr>
        <w:numPr>
          <w:ilvl w:val="0"/>
          <w:numId w:val="1034"/>
        </w:numPr>
      </w:pPr>
      <w:r>
        <w:t xml:space="preserve">Wzorzec 4) — GA 1072 (M. Lavras, XIII, eapr) jest niemal doskonałą kopią linii przekazu mającej wzorzec 4). GA 246 (Moskwa, XIV, e) jest prawie doskonały.</w:t>
      </w:r>
    </w:p>
    <w:p>
      <w:pPr>
        <w:numPr>
          <w:ilvl w:val="0"/>
          <w:numId w:val="1034"/>
        </w:numPr>
      </w:pPr>
      <w:r>
        <w:t xml:space="preserve">Wzorzec 5) — GA 18 (Konstantynopol, 1364, eapr) i GA 2503 (Synaj, XIV, e) są prawie doskonałymi kopiami linii przekazu mającej wzorzec 5).</w:t>
      </w:r>
    </w:p>
    <w:p>
      <w:pPr>
        <w:numPr>
          <w:ilvl w:val="0"/>
          <w:numId w:val="1034"/>
        </w:numPr>
      </w:pPr>
      <w:r>
        <w:t xml:space="preserve">Wzorzec 6) — GA 586 (Modena, XIV, e) jest doskonałą kopią linii przekazu mającej wzorzec 6). GA 2382 (Konstantynopol, XII, e) jest prawie doskonały, a GA 510 (Oksford-cc, XII, e) praktycznie taki jest.</w:t>
      </w:r>
    </w:p>
    <w:p>
      <w:pPr>
        <w:pStyle w:val="FirstParagraph"/>
      </w:pPr>
      <w:r>
        <w:t xml:space="preserve">Kopiści najwyraźniej wiernie odtwarzali swoje egzemplarze, które reprezentowały odrębne linie przekazu. Trzy wzorce mają jawne poświadczenie z XI wieku, kolejny ma jawne poświadczenie z XII wieku, a wszystkie mają rozproszone rozmieszczenie geograficzne. Stojące przed nami dowody po prostu wymagają wniosku, że archetyp Rodziny 35 musiał istnieć w okresie uncjalnym, i to prawdopodobnie dość daleko wstecz w tym okresie. W innym miejscu argumentowałem, że dostępne dowody wskazują, iż istniał już w III wieku, jeśli nie jeszcze wcześniej.</w:t>
      </w:r>
      <w:r>
        <w:t xml:space="preserve"> </w:t>
      </w:r>
      <w:r>
        <w:rPr>
          <w:bCs/>
          <w:b/>
        </w:rPr>
        <w:t xml:space="preserve">Należy odrzucić wszystkie z góry przyjęte poglądy dotyczące K</w:t>
      </w:r>
      <w:r>
        <w:rPr>
          <w:vertAlign w:val="superscript"/>
          <w:bCs/>
          <w:b/>
        </w:rPr>
        <w:t xml:space="preserve">r</w:t>
      </w:r>
      <w:r>
        <w:rPr>
          <w:bCs/>
          <w:b/>
        </w:rPr>
        <w:t xml:space="preserve"> </w:t>
      </w:r>
      <w:r>
        <w:rPr>
          <w:bCs/>
          <w:b/>
        </w:rPr>
        <w:t xml:space="preserve">von Sodena.</w:t>
      </w:r>
    </w:p>
    <w:p>
      <w:pPr>
        <w:pStyle w:val="BodyText"/>
      </w:pPr>
      <w:r>
        <w:t xml:space="preserve">Jeśli ktoś zada sobie trud policzenia manuskryptów za i przeciw, odkryje, że forma, którą wybrałem jako archetypalną, ma większość liczbową tylko w dwóch spośród pięciu przypadków. Licząc wyłącznie manuskrypty uwzględnione w siedmiu wiodących wzorcach, mój wybór ma przewagę w czterech spośród pięciu. Poza dominującą naturą wzorca 1) mój wybór w każdym przypadku podyktowany był jakością manuskryptu i rozmieszczeniem geograficznym. Jak jednak wskazano na początku, różnica znaczeniowa jest tak niewielka, że w każdym przypadku jedno tłumaczenie może obejmować oba odczyty.</w:t>
      </w:r>
      <w:r>
        <w:t xml:space="preserve"> </w:t>
      </w:r>
      <w:r>
        <w:rPr>
          <w:bCs/>
          <w:b/>
        </w:rPr>
        <w:t xml:space="preserve">Bóg zachował swój Tekst!</w:t>
      </w:r>
    </w:p>
    <w:bookmarkEnd w:id="323"/>
    <w:bookmarkStart w:id="340" w:name="Xde6e4061a08dc5aa27d42892f0f4e85991bac47"/>
    <w:p>
      <w:pPr>
        <w:pStyle w:val="Heading2"/>
      </w:pPr>
      <w:r>
        <w:t xml:space="preserve">Boskie zachowanie oryginalnych sformułowań Listów Ogólnych</w:t>
      </w:r>
    </w:p>
    <w:p>
      <w:pPr>
        <w:pStyle w:val="FirstParagraph"/>
      </w:pPr>
      <w:r>
        <w:t xml:space="preserve">Jako punkt wyjścia dla tego omówienia posłużę się definicją „zachowania” napisaną przez Barta D. Ehrmana:</w:t>
      </w:r>
    </w:p>
    <w:p>
      <w:pPr>
        <w:pStyle w:val="BlockText"/>
      </w:pPr>
      <w:r>
        <w:t xml:space="preserve">Każde twierdzenie, że Bóg zachował tekst Nowego Testamentu w stanie nienaruszonym, dając swojemu Kościołowi rzeczywiste, nie zaś teoretyczne posiadanie go,</w:t>
      </w:r>
      <w:r>
        <w:t xml:space="preserve"> </w:t>
      </w:r>
      <w:r>
        <w:rPr>
          <w:u w:val="single"/>
        </w:rPr>
        <w:t xml:space="preserve">musi (wyróżnienie dodane) oznaczać jedną z trzech rzeczy — albo 1) Bóg</w:t>
      </w:r>
      <w:r>
        <w:t xml:space="preserve"> </w:t>
      </w:r>
      <w:r>
        <w:t xml:space="preserve">zachował go we wszystkich zachowanych manuskryptach, tak że żaden z nich nie zawiera żadnych skażeń tekstu, albo 2) zachował go w grupie manuskryptów, z których żaden nie zawiera żadnych skażeń, albo 3) zachował go w jednym manuskrypcie, który jako jedyny nie zawiera żadnych skażeń.</w:t>
      </w:r>
      <w:r>
        <w:rPr>
          <w:rStyle w:val="FootnoteReference"/>
        </w:rPr>
        <w:footnoteReference w:id="324"/>
      </w:r>
    </w:p>
    <w:p>
      <w:pPr>
        <w:pStyle w:val="FirstParagraph"/>
      </w:pPr>
      <w:r>
        <w:t xml:space="preserve">Ogranicza on pojęcie zachowania w sposób graniczący ze stworzeniem chochoła, lecz jego definicja bardzo dobrze służy mojemu obecnemu celowi. Oczywiste jest, że możliwość 1) nie może się ostać, lecz co z 2) i 3)? Jak wskazuje tytuł, niniejsza część ogranicza się do Listów Ogólnych, ta grupa siedmiu ksiąg jest jedną z części, na które skrybowie dzielili Nowy Testament w celu sporządzania kopii.</w:t>
      </w:r>
      <w:r>
        <w:rPr>
          <w:rStyle w:val="FootnoteReference"/>
        </w:rPr>
        <w:footnoteReference w:id="325"/>
      </w:r>
      <w:r>
        <w:t xml:space="preserve"> </w:t>
      </w:r>
      <w:r>
        <w:t xml:space="preserve">Ponieważ spośród trzech możliwości Ehrmana trzecia wydaje się najłatwiejsza do spełnienia, jeśli możemy ją spełnić, od niej zacznę.</w:t>
      </w:r>
      <w:r>
        <w:rPr>
          <w:rStyle w:val="FootnoteReference"/>
        </w:rPr>
        <w:footnoteReference w:id="326"/>
      </w:r>
    </w:p>
    <w:p>
      <w:pPr>
        <w:pStyle w:val="BodyText"/>
      </w:pPr>
      <w:r>
        <w:t xml:space="preserve">Najpierw musimy określić zakres — czy szukamy manuskryptu doskonałego dla całej księgi,</w:t>
      </w:r>
      <w:r>
        <w:rPr>
          <w:rStyle w:val="FootnoteReference"/>
        </w:rPr>
        <w:footnoteReference w:id="327"/>
      </w:r>
      <w:r>
        <w:t xml:space="preserve"> </w:t>
      </w:r>
      <w:r>
        <w:t xml:space="preserve">całej części czy całego Nowego Testamentu? Sądzę, że jest dość jasne, iż poprawną odpowiedzią jest cała księga, w końcu właśnie tak napisano Nowy Testament, wynika z tego, że pierwsze kopie sporządzano księga po księdze (a wszystkie późniejsze kopie są od nich zależne). O ile mi wiadomo, nikt nie przypisuje Boskiego natchnienia podziałowi na części — na przestrzeni stuleci kopiowania stało się to przyjętą odpowiedzią na ograniczenia materiału i czasu. Ponieważ jednak większość zachowanych kopii odzwierciedla ten podział, interesujące będzie sprawdzenie, czy możemy znaleźć manuskrypt doskonały dla całej części. Formalne uznanie pełnego kanonu Nowego Testamentu nastąpiło dopiero pod koniec IV wieku, choć nieformalnie był on znany w II wieku (a do tego czasu istniało wiele setek, jeśli nie tysięcy kopii — w rzeczywistości główne linie przekazu ustaliły się już dawno), lecz pytanie dotyczyło dokładnego wykazu ksiąg, które należy uwzględnić, nie zaś precyzyjnych sformułowań poszczególnych ksiąg. Chociaż wielu z nas wierzy, że Bóg z pewnością nadzorował ten wybór ksiąg, sformułowania nie były przedmiotem sporu. Szukamy zatem manuskryptów doskonałych dla całej księgi.</w:t>
      </w:r>
    </w:p>
    <w:p>
      <w:pPr>
        <w:pStyle w:val="BodyText"/>
      </w:pPr>
      <w:r>
        <w:t xml:space="preserve">Następnie musimy zdefiniować tekst — jakiego dokładnie profilu szukamy, skąd możemy wiedzieć, czy manuskrypt jest „doskonały”? Pytanie to sprowadza nas wprost do gniazda węży krytyki tekstu Nowego Testamentu (a większość węży jest jadowita). To, co sądzę na ten temat, zaczęło ukazywać się drukiem w 1977 roku</w:t>
      </w:r>
      <w:r>
        <w:rPr>
          <w:rStyle w:val="FootnoteReference"/>
        </w:rPr>
        <w:footnoteReference w:id="328"/>
      </w:r>
      <w:r>
        <w:t xml:space="preserve"> </w:t>
      </w:r>
      <w:r>
        <w:t xml:space="preserve">i nie będę tutaj powtarzał tego, co jest dostępne gdzie indziej. Dokonując taktycznego odwrotu, wycofam się do łatwiejszego pytania (lecz wrócę do głównego): skąd możemy wiedzieć, czy manuskrypt jest doskonałym przedstawicielem swojego typu tekstu, to znaczy archetypu swojej rodziny? Aby zyskać na czasie, zilustruję teorię konkretnym przykładem. Zwracam uwagę na poniższą tabelę:</w:t>
      </w:r>
    </w:p>
    <w:bookmarkStart w:id="333" w:name="X1d3a324f5a8db0ec6a014c62025bac490a89b77"/>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poszczególnych księgach Listów Ogólnych</w:t>
      </w:r>
      <w:r>
        <w:rPr>
          <w:rStyle w:val="FootnoteReference"/>
        </w:rPr>
        <w:footnoteReference w:id="329"/>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s</w:t>
            </w:r>
          </w:p>
        </w:tc>
        <w:tc>
          <w:tcPr/>
          <w:p>
            <w:pPr>
              <w:pStyle w:val="Compact"/>
              <w:jc w:val="left"/>
            </w:pPr>
            <w:r>
              <w:t xml:space="preserve">odczyt singularny (dopóki wszystkie manuskrypty nie zostaną skolacjonowane, jest to tylko założenie)</w:t>
            </w:r>
          </w:p>
        </w:tc>
      </w:tr>
      <w:tr>
        <w:tc>
          <w:tcPr/>
          <w:p>
            <w:pPr>
              <w:pStyle w:val="Compact"/>
              <w:jc w:val="center"/>
            </w:pPr>
            <w:r>
              <w:t xml:space="preserve">c</w:t>
            </w:r>
          </w:p>
        </w:tc>
        <w:tc>
          <w:tcPr/>
          <w:p>
            <w:pPr>
              <w:pStyle w:val="Compact"/>
              <w:jc w:val="left"/>
            </w:pPr>
            <w:r>
              <w:t xml:space="preserve">poprawiony wariant (wszelkiego rodzaju odmienność poprawiona do domniemanego archetypu)</w:t>
            </w:r>
          </w:p>
        </w:tc>
      </w:tr>
      <w:tr>
        <w:tc>
          <w:tcPr/>
          <w:p>
            <w:pPr>
              <w:pStyle w:val="Compact"/>
              <w:jc w:val="center"/>
            </w:pPr>
            <w:r>
              <w:t xml:space="preserve">x</w:t>
            </w:r>
          </w:p>
        </w:tc>
        <w:tc>
          <w:tcPr/>
          <w:p>
            <w:pPr>
              <w:pStyle w:val="Compact"/>
              <w:jc w:val="left"/>
            </w:pPr>
            <w:r>
              <w:t xml:space="preserve">niepoprawiony wariant („wariant” oznacza tutaj, że jest poświadczony przez manuskrypty spoza rodziny)</w:t>
            </w:r>
          </w:p>
        </w:tc>
      </w:tr>
      <w:tr>
        <w:tc>
          <w:tcPr/>
          <w:p>
            <w:pPr>
              <w:pStyle w:val="Compact"/>
              <w:jc w:val="center"/>
            </w:pPr>
            <w:r>
              <w:t xml:space="preserve">/</w:t>
            </w:r>
          </w:p>
        </w:tc>
        <w:tc>
          <w:tcPr/>
          <w:p>
            <w:pPr>
              <w:pStyle w:val="Compact"/>
              <w:jc w:val="left"/>
            </w:pPr>
            <w:r>
              <w:t xml:space="preserve">rodzina jest podzielona (grupa odłamowa)</w:t>
            </w:r>
          </w:p>
        </w:tc>
      </w:tr>
      <w:tr>
        <w:tc>
          <w:tcPr/>
          <w:p>
            <w:pPr>
              <w:pStyle w:val="Compact"/>
              <w:jc w:val="center"/>
            </w:pPr>
            <w:r>
              <w:t xml:space="preserve">h</w:t>
            </w:r>
          </w:p>
        </w:tc>
        <w:tc>
          <w:tcPr/>
          <w:p>
            <w:pPr>
              <w:pStyle w:val="Compact"/>
              <w:jc w:val="left"/>
            </w:pPr>
            <w:r>
              <w:t xml:space="preserve">oczywisty przypadek homoioteleutonu (lub homoioarktonu), obejmujący wiersz lub więcej</w:t>
            </w:r>
          </w:p>
        </w:tc>
      </w:tr>
      <w:tr>
        <w:tc>
          <w:tcPr/>
          <w:p>
            <w:pPr>
              <w:pStyle w:val="Compact"/>
              <w:jc w:val="center"/>
            </w:pPr>
            <w:r>
              <w:t xml:space="preserve">i</w:t>
            </w:r>
          </w:p>
        </w:tc>
        <w:tc>
          <w:tcPr/>
          <w:p>
            <w:pPr>
              <w:pStyle w:val="Compact"/>
              <w:jc w:val="left"/>
            </w:pPr>
            <w:r>
              <w:t xml:space="preserve">zwykła nieuwaga (zazwyczaj powtórzenie sylaby z jednego wiersza w następnym)</w:t>
            </w:r>
          </w:p>
        </w:tc>
      </w:tr>
      <w:tr>
        <w:tc>
          <w:tcPr/>
          <w:p>
            <w:pPr>
              <w:pStyle w:val="Compact"/>
              <w:jc w:val="center"/>
            </w:pPr>
            <w:r>
              <w:t xml:space="preserve">---</w:t>
            </w:r>
          </w:p>
        </w:tc>
        <w:tc>
          <w:tcPr/>
          <w:p>
            <w:pPr>
              <w:pStyle w:val="Compact"/>
              <w:jc w:val="left"/>
            </w:pPr>
            <w:r>
              <w:t xml:space="preserve">brak odejść od domniemanego profilu</w:t>
            </w:r>
          </w:p>
        </w:tc>
      </w:tr>
    </w:tbl>
    <w:p/>
    <w:tbl>
      <w:tblPr>
        <w:tblStyle w:val="Table"/>
        <w:tblW w:type="pct" w:w="5000"/>
        <w:tblLook w:firstRow="1" w:lastRow="0" w:firstColumn="0" w:lastColumn="0" w:noHBand="0" w:noVBand="0" w:val="0020"/>
        <w:jc w:val="start"/>
      </w:tblPr>
      <w:tblGrid>
        <w:gridCol w:w="597"/>
        <w:gridCol w:w="747"/>
        <w:gridCol w:w="747"/>
        <w:gridCol w:w="747"/>
        <w:gridCol w:w="747"/>
        <w:gridCol w:w="747"/>
        <w:gridCol w:w="747"/>
        <w:gridCol w:w="747"/>
        <w:gridCol w:w="747"/>
        <w:gridCol w:w="597"/>
        <w:gridCol w:w="747"/>
      </w:tblGrid>
      <w:tr>
        <w:trPr>
          <w:tblHeader w:val="true"/>
        </w:trPr>
        <w:tc>
          <w:tcPr/>
          <w:p>
            <w:pPr>
              <w:pStyle w:val="Compact"/>
              <w:jc w:val="right"/>
            </w:pPr>
            <w:r>
              <w:rPr>
                <w:bCs/>
                <w:b/>
              </w:rPr>
              <w:t xml:space="preserve">Manuskrypt</w:t>
            </w:r>
          </w:p>
        </w:tc>
        <w:tc>
          <w:tcPr/>
          <w:p>
            <w:pPr>
              <w:pStyle w:val="Compact"/>
              <w:jc w:val="center"/>
            </w:pPr>
            <w:r>
              <w:t xml:space="preserve">List Jakuba</w:t>
            </w:r>
          </w:p>
        </w:tc>
        <w:tc>
          <w:tcPr/>
          <w:p>
            <w:pPr>
              <w:pStyle w:val="Compact"/>
              <w:jc w:val="center"/>
            </w:pPr>
            <w:r>
              <w:t xml:space="preserve">1 List Piotra</w:t>
            </w:r>
          </w:p>
        </w:tc>
        <w:tc>
          <w:tcPr/>
          <w:p>
            <w:pPr>
              <w:pStyle w:val="Compact"/>
              <w:jc w:val="center"/>
            </w:pPr>
            <w:r>
              <w:t xml:space="preserve">2 List Piotra</w:t>
            </w:r>
          </w:p>
        </w:tc>
        <w:tc>
          <w:tcPr/>
          <w:p>
            <w:pPr>
              <w:pStyle w:val="Compact"/>
              <w:jc w:val="center"/>
            </w:pPr>
            <w:r>
              <w:t xml:space="preserve">1 List Jana</w:t>
            </w:r>
          </w:p>
        </w:tc>
        <w:tc>
          <w:tcPr/>
          <w:p>
            <w:pPr>
              <w:pStyle w:val="Compact"/>
              <w:jc w:val="center"/>
            </w:pPr>
            <w:r>
              <w:t xml:space="preserve">2 List Jana</w:t>
            </w:r>
          </w:p>
        </w:tc>
        <w:tc>
          <w:tcPr/>
          <w:p>
            <w:pPr>
              <w:pStyle w:val="Compact"/>
              <w:jc w:val="center"/>
            </w:pPr>
            <w:r>
              <w:t xml:space="preserve">3 List Jana</w:t>
            </w:r>
          </w:p>
        </w:tc>
        <w:tc>
          <w:tcPr/>
          <w:p>
            <w:pPr>
              <w:pStyle w:val="Compact"/>
              <w:jc w:val="center"/>
            </w:pPr>
            <w:r>
              <w:t xml:space="preserve">List Judy</w:t>
            </w:r>
          </w:p>
        </w:tc>
        <w:tc>
          <w:tcPr/>
          <w:p>
            <w:pPr>
              <w:pStyle w:val="Compact"/>
              <w:jc w:val="center"/>
            </w:pPr>
            <w:r>
              <w:t xml:space="preserve">Data</w:t>
            </w:r>
          </w:p>
        </w:tc>
        <w:tc>
          <w:tcPr/>
          <w:p>
            <w:pPr>
              <w:pStyle w:val="Compact"/>
              <w:jc w:val="left"/>
            </w:pPr>
            <w:r>
              <w:t xml:space="preserve">Miejsce</w:t>
            </w:r>
          </w:p>
        </w:tc>
        <w:tc>
          <w:tcPr/>
          <w:p>
            <w:pPr>
              <w:pStyle w:val="Compact"/>
              <w:jc w:val="center"/>
            </w:pPr>
            <w:r>
              <w:t xml:space="preserve">Egzemplarz korpusu</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1x, 2/</w:t>
            </w:r>
          </w:p>
        </w:tc>
        <w:tc>
          <w:tcPr/>
          <w:p>
            <w:pPr>
              <w:pStyle w:val="Compact"/>
              <w:jc w:val="center"/>
            </w:pPr>
            <w:r>
              <w:t xml:space="preserve">1s</w:t>
            </w:r>
          </w:p>
        </w:tc>
        <w:tc>
          <w:tcPr/>
          <w:p>
            <w:pPr>
              <w:pStyle w:val="Compact"/>
              <w:jc w:val="center"/>
            </w:pPr>
            <w:r>
              <w:t xml:space="preserve">1x, 2/</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2x, 4/</w:t>
            </w:r>
          </w:p>
        </w:tc>
      </w:tr>
      <w:tr>
        <w:tc>
          <w:tcPr/>
          <w:p>
            <w:pPr>
              <w:pStyle w:val="Compact"/>
              <w:jc w:val="right"/>
            </w:pPr>
            <w:r>
              <w:t xml:space="preserve">35</w:t>
            </w:r>
          </w:p>
        </w:tc>
        <w:tc>
          <w:tcPr/>
          <w:p>
            <w:pPr>
              <w:pStyle w:val="Compact"/>
              <w:jc w:val="center"/>
            </w:pPr>
            <w:r>
              <w:t xml:space="preserve">2c</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2c</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w:t>
            </w:r>
          </w:p>
        </w:tc>
      </w:tr>
      <w:tr>
        <w:tc>
          <w:tcPr/>
          <w:p>
            <w:pPr>
              <w:pStyle w:val="Compact"/>
              <w:jc w:val="right"/>
            </w:pPr>
            <w:r>
              <w:t xml:space="preserve">141</w:t>
            </w:r>
          </w:p>
        </w:tc>
        <w:tc>
          <w:tcPr/>
          <w:p>
            <w:pPr>
              <w:pStyle w:val="Compact"/>
              <w:jc w:val="center"/>
            </w:pPr>
            <w:r>
              <w:t xml:space="preserve">1/, 2s</w:t>
            </w:r>
          </w:p>
        </w:tc>
        <w:tc>
          <w:tcPr/>
          <w:p>
            <w:pPr>
              <w:pStyle w:val="Compact"/>
              <w:jc w:val="center"/>
            </w:pPr>
            <w:r>
              <w:t xml:space="preserve">1x, 4/, 2s</w:t>
            </w:r>
          </w:p>
        </w:tc>
        <w:tc>
          <w:tcPr/>
          <w:p>
            <w:pPr>
              <w:pStyle w:val="Compact"/>
              <w:jc w:val="center"/>
            </w:pPr>
            <w:r>
              <w:t xml:space="preserve">1c, 1s</w:t>
            </w:r>
          </w:p>
        </w:tc>
        <w:tc>
          <w:tcPr/>
          <w:p>
            <w:pPr>
              <w:pStyle w:val="Compact"/>
              <w:jc w:val="center"/>
            </w:pPr>
            <w:r>
              <w:t xml:space="preserve">1/, 3s, 2h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1x, 6/</w:t>
            </w:r>
          </w:p>
        </w:tc>
      </w:tr>
      <w:tr>
        <w:tc>
          <w:tcPr/>
          <w:p>
            <w:pPr>
              <w:pStyle w:val="Compact"/>
              <w:jc w:val="right"/>
            </w:pPr>
            <w:r>
              <w:t xml:space="preserve">149</w:t>
            </w:r>
          </w:p>
        </w:tc>
        <w:tc>
          <w:tcPr/>
          <w:p>
            <w:pPr>
              <w:pStyle w:val="Compact"/>
              <w:jc w:val="center"/>
            </w:pPr>
            <w:r>
              <w:t xml:space="preserve">1x, 5/, 1c, 7s</w:t>
            </w:r>
          </w:p>
        </w:tc>
        <w:tc>
          <w:tcPr/>
          <w:p>
            <w:pPr>
              <w:pStyle w:val="Compact"/>
              <w:jc w:val="center"/>
            </w:pPr>
            <w:r>
              <w:t xml:space="preserve">1x, 8/, 3s</w:t>
            </w:r>
          </w:p>
        </w:tc>
        <w:tc>
          <w:tcPr/>
          <w:p>
            <w:pPr>
              <w:pStyle w:val="Compact"/>
              <w:jc w:val="center"/>
            </w:pPr>
            <w:r>
              <w:t xml:space="preserve">5/, 2s</w:t>
            </w:r>
          </w:p>
        </w:tc>
        <w:tc>
          <w:tcPr/>
          <w:p>
            <w:pPr>
              <w:pStyle w:val="Compact"/>
              <w:jc w:val="center"/>
            </w:pPr>
            <w:r>
              <w:t xml:space="preserve">4/, 1c, 3s</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 1c</w:t>
            </w:r>
          </w:p>
        </w:tc>
        <w:tc>
          <w:tcPr/>
          <w:p>
            <w:pPr>
              <w:pStyle w:val="Compact"/>
              <w:jc w:val="center"/>
            </w:pPr>
            <w:r>
              <w:t xml:space="preserve">XV</w:t>
            </w:r>
          </w:p>
        </w:tc>
        <w:tc>
          <w:tcPr/>
          <w:p>
            <w:pPr>
              <w:pStyle w:val="Compact"/>
              <w:jc w:val="left"/>
            </w:pPr>
            <w:r>
              <w:t xml:space="preserve">Watykan</w:t>
            </w:r>
          </w:p>
        </w:tc>
        <w:tc>
          <w:tcPr/>
          <w:p>
            <w:pPr>
              <w:pStyle w:val="Compact"/>
              <w:jc w:val="center"/>
            </w:pPr>
            <w:r>
              <w:t xml:space="preserve">2x, 24/</w:t>
            </w:r>
          </w:p>
        </w:tc>
      </w:tr>
      <w:tr>
        <w:tc>
          <w:tcPr/>
          <w:p>
            <w:pPr>
              <w:pStyle w:val="Compact"/>
              <w:jc w:val="right"/>
            </w:pPr>
            <w:r>
              <w:t xml:space="preserve">201</w:t>
            </w:r>
          </w:p>
        </w:tc>
        <w:tc>
          <w:tcPr/>
          <w:p>
            <w:pPr>
              <w:pStyle w:val="Compact"/>
              <w:jc w:val="center"/>
            </w:pPr>
            <w:r>
              <w:t xml:space="preserve">5/, 1s</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1357</w:t>
            </w:r>
          </w:p>
        </w:tc>
        <w:tc>
          <w:tcPr/>
          <w:p>
            <w:pPr>
              <w:pStyle w:val="Compact"/>
              <w:jc w:val="left"/>
            </w:pPr>
            <w:r>
              <w:t xml:space="preserve">Londyn</w:t>
            </w:r>
          </w:p>
        </w:tc>
        <w:tc>
          <w:tcPr/>
          <w:p>
            <w:pPr>
              <w:pStyle w:val="Compact"/>
              <w:jc w:val="center"/>
            </w:pPr>
            <w:r>
              <w:t xml:space="preserve">19/</w:t>
            </w:r>
          </w:p>
        </w:tc>
      </w:tr>
      <w:tr>
        <w:tc>
          <w:tcPr/>
          <w:p>
            <w:pPr>
              <w:pStyle w:val="Compact"/>
              <w:jc w:val="right"/>
            </w:pPr>
            <w:r>
              <w:t xml:space="preserve">204</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2/, 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1x, 3/</w:t>
            </w:r>
          </w:p>
        </w:tc>
      </w:tr>
      <w:tr>
        <w:tc>
          <w:tcPr/>
          <w:p>
            <w:pPr>
              <w:pStyle w:val="Compact"/>
              <w:jc w:val="right"/>
            </w:pPr>
            <w:r>
              <w:t xml:space="preserve">328</w:t>
            </w:r>
          </w:p>
        </w:tc>
        <w:tc>
          <w:tcPr/>
          <w:p>
            <w:pPr>
              <w:pStyle w:val="Compact"/>
              <w:jc w:val="center"/>
            </w:pPr>
            <w:r>
              <w:t xml:space="preserve">1x, 5/, 2s</w:t>
            </w:r>
          </w:p>
        </w:tc>
        <w:tc>
          <w:tcPr/>
          <w:p>
            <w:pPr>
              <w:pStyle w:val="Compact"/>
              <w:jc w:val="center"/>
            </w:pPr>
            <w:r>
              <w:t xml:space="preserve">5/, 4s</w:t>
            </w:r>
          </w:p>
        </w:tc>
        <w:tc>
          <w:tcPr/>
          <w:p>
            <w:pPr>
              <w:pStyle w:val="Compact"/>
              <w:jc w:val="center"/>
            </w:pPr>
            <w:r>
              <w:t xml:space="preserve">1x, 2/, 1s</w:t>
            </w:r>
          </w:p>
        </w:tc>
        <w:tc>
          <w:tcPr/>
          <w:p>
            <w:pPr>
              <w:pStyle w:val="Compact"/>
              <w:jc w:val="center"/>
            </w:pPr>
            <w:r>
              <w:t xml:space="preserve">2x, 4/, 1c, 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1x, 1s</w:t>
            </w:r>
          </w:p>
        </w:tc>
        <w:tc>
          <w:tcPr/>
          <w:p>
            <w:pPr>
              <w:pStyle w:val="Compact"/>
              <w:jc w:val="center"/>
            </w:pPr>
            <w:r>
              <w:t xml:space="preserve">XIII</w:t>
            </w:r>
          </w:p>
        </w:tc>
        <w:tc>
          <w:tcPr/>
          <w:p>
            <w:pPr>
              <w:pStyle w:val="Compact"/>
              <w:jc w:val="left"/>
            </w:pPr>
            <w:r>
              <w:t xml:space="preserve">Lejda</w:t>
            </w:r>
          </w:p>
        </w:tc>
        <w:tc>
          <w:tcPr/>
          <w:p>
            <w:pPr>
              <w:pStyle w:val="Compact"/>
              <w:jc w:val="center"/>
            </w:pPr>
            <w:r>
              <w:t xml:space="preserve">5x, 16/</w:t>
            </w:r>
          </w:p>
        </w:tc>
      </w:tr>
      <w:tr>
        <w:tc>
          <w:tcPr/>
          <w:p>
            <w:pPr>
              <w:pStyle w:val="Compact"/>
              <w:jc w:val="right"/>
            </w:pPr>
            <w:r>
              <w:t xml:space="preserve">386</w:t>
            </w:r>
          </w:p>
        </w:tc>
        <w:tc>
          <w:tcPr/>
          <w:p>
            <w:pPr>
              <w:pStyle w:val="Compact"/>
              <w:jc w:val="center"/>
            </w:pPr>
            <w:r>
              <w:t xml:space="preserve">2/</w:t>
            </w:r>
          </w:p>
        </w:tc>
        <w:tc>
          <w:tcPr/>
          <w:p>
            <w:pPr>
              <w:pStyle w:val="Compact"/>
              <w:jc w:val="center"/>
            </w:pPr>
            <w:r>
              <w:t xml:space="preserve">1/, 1s</w:t>
            </w:r>
          </w:p>
        </w:tc>
        <w:tc>
          <w:tcPr/>
          <w:p>
            <w:pPr>
              <w:pStyle w:val="Compact"/>
              <w:jc w:val="center"/>
            </w:pPr>
            <w:r>
              <w:t xml:space="preserve">1/, 2s</w:t>
            </w:r>
          </w:p>
        </w:tc>
        <w:tc>
          <w:tcPr/>
          <w:p>
            <w:pPr>
              <w:pStyle w:val="Compact"/>
              <w:jc w:val="center"/>
            </w:pPr>
            <w:r>
              <w:t xml:space="preserve">3/, 3s, 1h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Watykan</w:t>
            </w:r>
          </w:p>
        </w:tc>
        <w:tc>
          <w:tcPr/>
          <w:p>
            <w:pPr>
              <w:pStyle w:val="Compact"/>
              <w:jc w:val="center"/>
            </w:pPr>
            <w:r>
              <w:t xml:space="preserve">7/</w:t>
            </w:r>
          </w:p>
        </w:tc>
      </w:tr>
      <w:tr>
        <w:tc>
          <w:tcPr/>
          <w:p>
            <w:pPr>
              <w:pStyle w:val="Compact"/>
              <w:jc w:val="right"/>
            </w:pPr>
            <w:r>
              <w:t xml:space="preserve">394</w:t>
            </w:r>
          </w:p>
        </w:tc>
        <w:tc>
          <w:tcPr/>
          <w:p>
            <w:pPr>
              <w:pStyle w:val="Compact"/>
              <w:jc w:val="center"/>
            </w:pPr>
            <w:r>
              <w:t xml:space="preserve">2/</w:t>
            </w:r>
          </w:p>
        </w:tc>
        <w:tc>
          <w:tcPr/>
          <w:p>
            <w:pPr>
              <w:pStyle w:val="Compact"/>
              <w:jc w:val="center"/>
            </w:pPr>
            <w:r>
              <w:t xml:space="preserve">4/, 1c, 1i</w:t>
            </w:r>
          </w:p>
        </w:tc>
        <w:tc>
          <w:tcPr/>
          <w:p>
            <w:pPr>
              <w:pStyle w:val="Compact"/>
              <w:jc w:val="center"/>
            </w:pPr>
            <w:r>
              <w:t xml:space="preserve">4/</w:t>
            </w:r>
          </w:p>
        </w:tc>
        <w:tc>
          <w:tcPr/>
          <w:p>
            <w:pPr>
              <w:pStyle w:val="Compact"/>
              <w:jc w:val="center"/>
            </w:pPr>
            <w:r>
              <w:t xml:space="preserve">4/, 1s</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w:t>
            </w:r>
          </w:p>
        </w:tc>
        <w:tc>
          <w:tcPr/>
          <w:p>
            <w:pPr>
              <w:pStyle w:val="Compact"/>
              <w:jc w:val="center"/>
            </w:pPr>
            <w:r>
              <w:t xml:space="preserve">1330</w:t>
            </w:r>
          </w:p>
        </w:tc>
        <w:tc>
          <w:tcPr/>
          <w:p>
            <w:pPr>
              <w:pStyle w:val="Compact"/>
              <w:jc w:val="left"/>
            </w:pPr>
            <w:r>
              <w:t xml:space="preserve">Rzym</w:t>
            </w:r>
          </w:p>
        </w:tc>
        <w:tc>
          <w:tcPr/>
          <w:p>
            <w:pPr>
              <w:pStyle w:val="Compact"/>
              <w:jc w:val="center"/>
            </w:pPr>
            <w:r>
              <w:t xml:space="preserve">14/</w:t>
            </w:r>
          </w:p>
        </w:tc>
      </w:tr>
      <w:tr>
        <w:tc>
          <w:tcPr/>
          <w:p>
            <w:pPr>
              <w:pStyle w:val="Compact"/>
              <w:jc w:val="right"/>
            </w:pPr>
            <w:r>
              <w:t xml:space="preserve">432</w:t>
            </w:r>
          </w:p>
        </w:tc>
        <w:tc>
          <w:tcPr/>
          <w:p>
            <w:pPr>
              <w:pStyle w:val="Compact"/>
              <w:jc w:val="center"/>
            </w:pPr>
            <w:r>
              <w:t xml:space="preserve">5/, 3s, 1h</w:t>
            </w:r>
          </w:p>
        </w:tc>
        <w:tc>
          <w:tcPr/>
          <w:p>
            <w:pPr>
              <w:pStyle w:val="Compact"/>
              <w:jc w:val="center"/>
            </w:pPr>
            <w:r>
              <w:t xml:space="preserve">10/, 6s</w:t>
            </w:r>
          </w:p>
        </w:tc>
        <w:tc>
          <w:tcPr/>
          <w:p>
            <w:pPr>
              <w:pStyle w:val="Compact"/>
              <w:jc w:val="center"/>
            </w:pPr>
            <w:r>
              <w:t xml:space="preserve">1x, 2/, 1c, 1s</w:t>
            </w:r>
          </w:p>
        </w:tc>
        <w:tc>
          <w:tcPr/>
          <w:p>
            <w:pPr>
              <w:pStyle w:val="Compact"/>
              <w:jc w:val="center"/>
            </w:pPr>
            <w:r>
              <w:t xml:space="preserve">1x, 5/, 1c, 1s, 1h</w:t>
            </w:r>
          </w:p>
        </w:tc>
        <w:tc>
          <w:tcPr/>
          <w:p>
            <w:pPr>
              <w:pStyle w:val="Compact"/>
              <w:jc w:val="center"/>
            </w:pPr>
            <w:r>
              <w:t xml:space="preserve">2s</w:t>
            </w:r>
          </w:p>
        </w:tc>
        <w:tc>
          <w:tcPr/>
          <w:p>
            <w:pPr>
              <w:pStyle w:val="Compact"/>
              <w:jc w:val="center"/>
            </w:pPr>
            <w:r>
              <w:t xml:space="preserve">1/</w:t>
            </w:r>
          </w:p>
        </w:tc>
        <w:tc>
          <w:tcPr/>
          <w:p>
            <w:pPr>
              <w:pStyle w:val="Compact"/>
              <w:jc w:val="center"/>
            </w:pPr>
            <w:r>
              <w:t xml:space="preserve">3s</w:t>
            </w:r>
          </w:p>
        </w:tc>
        <w:tc>
          <w:tcPr/>
          <w:p>
            <w:pPr>
              <w:pStyle w:val="Compact"/>
              <w:jc w:val="center"/>
            </w:pPr>
            <w:r>
              <w:t xml:space="preserve">XV</w:t>
            </w:r>
          </w:p>
        </w:tc>
        <w:tc>
          <w:tcPr/>
          <w:p>
            <w:pPr>
              <w:pStyle w:val="Compact"/>
              <w:jc w:val="left"/>
            </w:pPr>
            <w:r>
              <w:t xml:space="preserve">Watykan</w:t>
            </w:r>
          </w:p>
        </w:tc>
        <w:tc>
          <w:tcPr/>
          <w:p>
            <w:pPr>
              <w:pStyle w:val="Compact"/>
              <w:jc w:val="center"/>
            </w:pPr>
            <w:r>
              <w:t xml:space="preserve">2x, 23/</w:t>
            </w:r>
          </w:p>
        </w:tc>
      </w:tr>
      <w:tr>
        <w:tc>
          <w:tcPr/>
          <w:p>
            <w:pPr>
              <w:pStyle w:val="Compact"/>
              <w:jc w:val="right"/>
            </w:pPr>
            <w:r>
              <w:t xml:space="preserve">604</w:t>
            </w:r>
          </w:p>
        </w:tc>
        <w:tc>
          <w:tcPr/>
          <w:p>
            <w:pPr>
              <w:pStyle w:val="Compact"/>
              <w:jc w:val="center"/>
            </w:pPr>
            <w:r>
              <w:t xml:space="preserve">6/, 1s</w:t>
            </w:r>
          </w:p>
        </w:tc>
        <w:tc>
          <w:tcPr/>
          <w:p>
            <w:pPr>
              <w:pStyle w:val="Compact"/>
              <w:jc w:val="center"/>
            </w:pPr>
            <w:r>
              <w:t xml:space="preserve">1x, 11/, 1s</w:t>
            </w:r>
          </w:p>
        </w:tc>
        <w:tc>
          <w:tcPr/>
          <w:p>
            <w:pPr>
              <w:pStyle w:val="Compact"/>
              <w:jc w:val="center"/>
            </w:pPr>
            <w:r>
              <w:t xml:space="preserve">4/, 1c, 1s</w:t>
            </w:r>
          </w:p>
        </w:tc>
        <w:tc>
          <w:tcPr/>
          <w:p>
            <w:pPr>
              <w:pStyle w:val="Compact"/>
              <w:jc w:val="center"/>
            </w:pPr>
            <w:r>
              <w:t xml:space="preserve">7/, 1s</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Paryż</w:t>
            </w:r>
          </w:p>
        </w:tc>
        <w:tc>
          <w:tcPr/>
          <w:p>
            <w:pPr>
              <w:pStyle w:val="Compact"/>
              <w:jc w:val="center"/>
            </w:pPr>
            <w:r>
              <w:t xml:space="preserve">2x, 29/</w:t>
            </w:r>
          </w:p>
        </w:tc>
      </w:tr>
      <w:tr>
        <w:tc>
          <w:tcPr/>
          <w:p>
            <w:pPr>
              <w:pStyle w:val="Compact"/>
              <w:jc w:val="right"/>
            </w:pPr>
            <w:r>
              <w:t xml:space="preserve">664</w:t>
            </w:r>
            <w:r>
              <w:rPr>
                <w:rStyle w:val="FootnoteReference"/>
              </w:rPr>
              <w:footnoteReference w:id="330"/>
            </w:r>
          </w:p>
        </w:tc>
        <w:tc>
          <w:tcPr/>
          <w:p>
            <w:pPr>
              <w:pStyle w:val="Compact"/>
              <w:jc w:val="center"/>
            </w:pPr>
            <w:r>
              <w:t xml:space="preserve">4x, 5/, 21s</w:t>
            </w:r>
          </w:p>
        </w:tc>
        <w:tc>
          <w:tcPr/>
          <w:p>
            <w:pPr>
              <w:pStyle w:val="Compact"/>
              <w:jc w:val="center"/>
            </w:pPr>
            <w:r>
              <w:t xml:space="preserve">5x, 9/, 1c, 25s</w:t>
            </w:r>
          </w:p>
        </w:tc>
        <w:tc>
          <w:tcPr/>
          <w:p>
            <w:pPr>
              <w:pStyle w:val="Compact"/>
              <w:jc w:val="center"/>
            </w:pPr>
            <w:r>
              <w:t xml:space="preserve">4/, 1c, 14s</w:t>
            </w:r>
          </w:p>
        </w:tc>
        <w:tc>
          <w:tcPr/>
          <w:p>
            <w:pPr>
              <w:pStyle w:val="Compact"/>
              <w:jc w:val="center"/>
            </w:pPr>
            <w:r>
              <w:t xml:space="preserve">6x, 6/, 14s, 1h</w:t>
            </w:r>
          </w:p>
        </w:tc>
        <w:tc>
          <w:tcPr/>
          <w:p>
            <w:pPr>
              <w:pStyle w:val="Compact"/>
              <w:jc w:val="center"/>
            </w:pPr>
            <w:r>
              <w:t xml:space="preserve">1x, 1s</w:t>
            </w:r>
          </w:p>
        </w:tc>
        <w:tc>
          <w:tcPr/>
          <w:p>
            <w:pPr>
              <w:pStyle w:val="Compact"/>
              <w:jc w:val="center"/>
            </w:pPr>
            <w:r>
              <w:t xml:space="preserve">3s</w:t>
            </w:r>
          </w:p>
        </w:tc>
        <w:tc>
          <w:tcPr/>
          <w:p>
            <w:pPr>
              <w:pStyle w:val="Compact"/>
              <w:jc w:val="center"/>
            </w:pPr>
            <w:r>
              <w:t xml:space="preserve">3s</w:t>
            </w:r>
          </w:p>
        </w:tc>
        <w:tc>
          <w:tcPr/>
          <w:p>
            <w:pPr>
              <w:pStyle w:val="Compact"/>
              <w:jc w:val="center"/>
            </w:pPr>
            <w:r>
              <w:t xml:space="preserve">XV</w:t>
            </w:r>
          </w:p>
        </w:tc>
        <w:tc>
          <w:tcPr/>
          <w:p>
            <w:pPr>
              <w:pStyle w:val="Compact"/>
              <w:jc w:val="left"/>
            </w:pPr>
            <w:r>
              <w:t xml:space="preserve">Żytawa</w:t>
            </w:r>
          </w:p>
        </w:tc>
        <w:tc>
          <w:tcPr/>
          <w:p>
            <w:pPr>
              <w:pStyle w:val="Compact"/>
              <w:jc w:val="center"/>
            </w:pPr>
            <w:r>
              <w:t xml:space="preserve">16x, 24</w:t>
            </w:r>
          </w:p>
        </w:tc>
      </w:tr>
      <w:tr>
        <w:tc>
          <w:tcPr/>
          <w:p>
            <w:pPr>
              <w:pStyle w:val="Compact"/>
              <w:jc w:val="right"/>
            </w:pPr>
            <w:r>
              <w:t xml:space="preserve">757</w:t>
            </w:r>
          </w:p>
        </w:tc>
        <w:tc>
          <w:tcPr/>
          <w:p>
            <w:pPr>
              <w:pStyle w:val="Compact"/>
              <w:jc w:val="center"/>
            </w:pPr>
            <w:r>
              <w:t xml:space="preserve">1x</w:t>
            </w:r>
          </w:p>
        </w:tc>
        <w:tc>
          <w:tcPr/>
          <w:p>
            <w:pPr>
              <w:pStyle w:val="Compact"/>
              <w:jc w:val="center"/>
            </w:pPr>
            <w:r>
              <w:t xml:space="preserve">3/, 1c, 1s</w:t>
            </w:r>
          </w:p>
        </w:tc>
        <w:tc>
          <w:tcPr/>
          <w:p>
            <w:pPr>
              <w:pStyle w:val="Compact"/>
              <w:jc w:val="center"/>
            </w:pPr>
            <w:r>
              <w:t xml:space="preserve">1x, 1s</w:t>
            </w:r>
          </w:p>
        </w:tc>
        <w:tc>
          <w:tcPr/>
          <w:p>
            <w:pPr>
              <w:pStyle w:val="Compact"/>
              <w:jc w:val="center"/>
            </w:pPr>
            <w:r>
              <w:t xml:space="preserve">1/</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2x, 4/</w:t>
            </w:r>
          </w:p>
        </w:tc>
      </w:tr>
      <w:tr>
        <w:tc>
          <w:tcPr/>
          <w:p>
            <w:pPr>
              <w:pStyle w:val="Compact"/>
              <w:jc w:val="right"/>
            </w:pPr>
            <w:r>
              <w:t xml:space="preserve">824</w:t>
            </w:r>
          </w:p>
        </w:tc>
        <w:tc>
          <w:tcPr/>
          <w:p>
            <w:pPr>
              <w:pStyle w:val="Compact"/>
              <w:jc w:val="center"/>
            </w:pPr>
            <w:r>
              <w:t xml:space="preserve">1x, 2s</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1x</w:t>
            </w:r>
          </w:p>
        </w:tc>
      </w:tr>
      <w:tr>
        <w:tc>
          <w:tcPr/>
          <w:p>
            <w:pPr>
              <w:pStyle w:val="Compact"/>
              <w:jc w:val="right"/>
            </w:pPr>
            <w:r>
              <w:t xml:space="preserve">928</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9/</w:t>
            </w:r>
          </w:p>
        </w:tc>
      </w:tr>
      <w:tr>
        <w:tc>
          <w:tcPr/>
          <w:p>
            <w:pPr>
              <w:pStyle w:val="Compact"/>
              <w:jc w:val="right"/>
            </w:pPr>
            <w:r>
              <w:t xml:space="preserve">986</w:t>
            </w:r>
            <w:r>
              <w:rPr>
                <w:rStyle w:val="FootnoteReference"/>
              </w:rPr>
              <w:footnoteReference w:id="331"/>
            </w:r>
          </w:p>
        </w:tc>
        <w:tc>
          <w:tcPr/>
          <w:p>
            <w:pPr>
              <w:pStyle w:val="Compact"/>
              <w:jc w:val="center"/>
            </w:pPr>
            <w:r>
              <w:t xml:space="preserve">4/, 2s, 1i</w:t>
            </w:r>
          </w:p>
        </w:tc>
        <w:tc>
          <w:tcPr/>
          <w:p>
            <w:pPr>
              <w:pStyle w:val="Compact"/>
              <w:jc w:val="center"/>
            </w:pPr>
            <w:r>
              <w:t xml:space="preserve">6/, 4s</w:t>
            </w:r>
          </w:p>
        </w:tc>
        <w:tc>
          <w:tcPr/>
          <w:p>
            <w:pPr>
              <w:pStyle w:val="Compact"/>
              <w:jc w:val="center"/>
            </w:pPr>
            <w:r>
              <w:t xml:space="preserve">1/, 1s</w:t>
            </w:r>
          </w:p>
        </w:tc>
        <w:tc>
          <w:tcPr/>
          <w:p>
            <w:pPr>
              <w:pStyle w:val="Compact"/>
              <w:jc w:val="center"/>
            </w:pPr>
            <w:r>
              <w:t xml:space="preserve">3/, 3s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XIV</w:t>
            </w:r>
          </w:p>
        </w:tc>
        <w:tc>
          <w:tcPr/>
          <w:p>
            <w:pPr>
              <w:pStyle w:val="Compact"/>
              <w:jc w:val="left"/>
            </w:pPr>
            <w:r>
              <w:t xml:space="preserve">Esfigmenu</w:t>
            </w:r>
          </w:p>
        </w:tc>
        <w:tc>
          <w:tcPr/>
          <w:p>
            <w:pPr>
              <w:pStyle w:val="Compact"/>
              <w:jc w:val="center"/>
            </w:pPr>
            <w:r>
              <w:t xml:space="preserve">14/</w:t>
            </w:r>
          </w:p>
        </w:tc>
      </w:tr>
      <w:tr>
        <w:tc>
          <w:tcPr/>
          <w:p>
            <w:pPr>
              <w:pStyle w:val="Compact"/>
              <w:jc w:val="right"/>
            </w:pPr>
            <w:r>
              <w:t xml:space="preserve">1072</w:t>
            </w:r>
          </w:p>
        </w:tc>
        <w:tc>
          <w:tcPr/>
          <w:p>
            <w:pPr>
              <w:pStyle w:val="Compact"/>
              <w:jc w:val="center"/>
            </w:pPr>
            <w:r>
              <w:t xml:space="preserve">2/, 1h, 1i</w:t>
            </w:r>
          </w:p>
        </w:tc>
        <w:tc>
          <w:tcPr/>
          <w:p>
            <w:pPr>
              <w:pStyle w:val="Compact"/>
              <w:jc w:val="center"/>
            </w:pPr>
            <w:r>
              <w:t xml:space="preserve">3/, 2c, 1s</w:t>
            </w:r>
          </w:p>
        </w:tc>
        <w:tc>
          <w:tcPr/>
          <w:p>
            <w:pPr>
              <w:pStyle w:val="Compact"/>
              <w:jc w:val="center"/>
            </w:pPr>
            <w:r>
              <w:t xml:space="preserve">1s</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6/</w:t>
            </w:r>
          </w:p>
        </w:tc>
      </w:tr>
      <w:tr>
        <w:tc>
          <w:tcPr/>
          <w:p>
            <w:pPr>
              <w:pStyle w:val="Compact"/>
              <w:jc w:val="right"/>
            </w:pPr>
            <w:r>
              <w:t xml:space="preserve">1075</w:t>
            </w:r>
          </w:p>
        </w:tc>
        <w:tc>
          <w:tcPr/>
          <w:p>
            <w:pPr>
              <w:pStyle w:val="Compact"/>
              <w:jc w:val="center"/>
            </w:pPr>
            <w:r>
              <w:t xml:space="preserve">1/, 1s</w:t>
            </w:r>
          </w:p>
        </w:tc>
        <w:tc>
          <w:tcPr/>
          <w:p>
            <w:pPr>
              <w:pStyle w:val="Compact"/>
              <w:jc w:val="center"/>
            </w:pPr>
            <w:r>
              <w:t xml:space="preserve">7/, 2s</w:t>
            </w:r>
          </w:p>
        </w:tc>
        <w:tc>
          <w:tcPr/>
          <w:p>
            <w:pPr>
              <w:pStyle w:val="Compact"/>
              <w:jc w:val="center"/>
            </w:pPr>
            <w:r>
              <w:t xml:space="preserve">1s</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9/</w:t>
            </w:r>
          </w:p>
        </w:tc>
      </w:tr>
      <w:tr>
        <w:tc>
          <w:tcPr/>
          <w:p>
            <w:pPr>
              <w:pStyle w:val="Compact"/>
              <w:jc w:val="right"/>
            </w:pPr>
            <w:r>
              <w:t xml:space="preserve">1100</w:t>
            </w:r>
          </w:p>
        </w:tc>
        <w:tc>
          <w:tcPr/>
          <w:p>
            <w:pPr>
              <w:pStyle w:val="Compact"/>
              <w:jc w:val="center"/>
            </w:pPr>
            <w:r>
              <w:t xml:space="preserve">2x, 1s</w:t>
            </w:r>
          </w:p>
        </w:tc>
        <w:tc>
          <w:tcPr/>
          <w:p>
            <w:pPr>
              <w:pStyle w:val="Compact"/>
              <w:jc w:val="center"/>
            </w:pPr>
            <w:r>
              <w:t xml:space="preserve">1/, 1i</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1376</w:t>
            </w:r>
          </w:p>
        </w:tc>
        <w:tc>
          <w:tcPr/>
          <w:p>
            <w:pPr>
              <w:pStyle w:val="Compact"/>
              <w:jc w:val="left"/>
            </w:pPr>
            <w:r>
              <w:t xml:space="preserve">Dionysiu</w:t>
            </w:r>
          </w:p>
        </w:tc>
        <w:tc>
          <w:tcPr/>
          <w:p>
            <w:pPr>
              <w:pStyle w:val="Compact"/>
              <w:jc w:val="center"/>
            </w:pPr>
            <w:r>
              <w:t xml:space="preserve">2x, 2/</w:t>
            </w:r>
          </w:p>
        </w:tc>
      </w:tr>
      <w:tr>
        <w:tc>
          <w:tcPr/>
          <w:p>
            <w:pPr>
              <w:pStyle w:val="Compact"/>
              <w:jc w:val="right"/>
            </w:pPr>
            <w:r>
              <w:t xml:space="preserve">1248</w:t>
            </w:r>
          </w:p>
        </w:tc>
        <w:tc>
          <w:tcPr/>
          <w:p>
            <w:pPr>
              <w:pStyle w:val="Compact"/>
              <w:jc w:val="center"/>
            </w:pPr>
            <w:r>
              <w:t xml:space="preserve">1x, 2/, 2c, 2s, 2h</w:t>
            </w:r>
          </w:p>
        </w:tc>
        <w:tc>
          <w:tcPr/>
          <w:p>
            <w:pPr>
              <w:pStyle w:val="Compact"/>
              <w:jc w:val="center"/>
            </w:pPr>
            <w:r>
              <w:t xml:space="preserve">1x, 5/, 2c, 3s, 1h</w:t>
            </w:r>
          </w:p>
        </w:tc>
        <w:tc>
          <w:tcPr/>
          <w:p>
            <w:pPr>
              <w:pStyle w:val="Compact"/>
              <w:jc w:val="center"/>
            </w:pPr>
            <w:r>
              <w:t xml:space="preserve">2x, 1/, 7s</w:t>
            </w:r>
          </w:p>
        </w:tc>
        <w:tc>
          <w:tcPr/>
          <w:p>
            <w:pPr>
              <w:pStyle w:val="Compact"/>
              <w:jc w:val="center"/>
            </w:pPr>
            <w:r>
              <w:t xml:space="preserve">4s, 2h</w:t>
            </w:r>
          </w:p>
        </w:tc>
        <w:tc>
          <w:tcPr/>
          <w:p>
            <w:pPr>
              <w:pStyle w:val="Compact"/>
              <w:jc w:val="center"/>
            </w:pPr>
            <w:r>
              <w:t xml:space="preserve">2/</w:t>
            </w:r>
          </w:p>
        </w:tc>
        <w:tc>
          <w:tcPr/>
          <w:p>
            <w:pPr>
              <w:pStyle w:val="Compact"/>
              <w:jc w:val="center"/>
            </w:pPr>
            <w:r>
              <w:t xml:space="preserve">1/, 2s, 1h</w:t>
            </w:r>
          </w:p>
        </w:tc>
        <w:tc>
          <w:tcPr/>
          <w:p>
            <w:pPr>
              <w:pStyle w:val="Compact"/>
              <w:jc w:val="center"/>
            </w:pPr>
            <w:r>
              <w:t xml:space="preserve">2s, 2h</w:t>
            </w:r>
          </w:p>
        </w:tc>
        <w:tc>
          <w:tcPr/>
          <w:p>
            <w:pPr>
              <w:pStyle w:val="Compact"/>
              <w:jc w:val="center"/>
            </w:pPr>
            <w:r>
              <w:t xml:space="preserve">XIV</w:t>
            </w:r>
          </w:p>
        </w:tc>
        <w:tc>
          <w:tcPr/>
          <w:p>
            <w:pPr>
              <w:pStyle w:val="Compact"/>
              <w:jc w:val="left"/>
            </w:pPr>
            <w:r>
              <w:t xml:space="preserve">Synaj</w:t>
            </w:r>
          </w:p>
        </w:tc>
        <w:tc>
          <w:tcPr/>
          <w:p>
            <w:pPr>
              <w:pStyle w:val="Compact"/>
              <w:jc w:val="center"/>
            </w:pPr>
            <w:r>
              <w:t xml:space="preserve">4x, 11/</w:t>
            </w:r>
          </w:p>
        </w:tc>
      </w:tr>
      <w:tr>
        <w:tc>
          <w:tcPr/>
          <w:p>
            <w:pPr>
              <w:pStyle w:val="Compact"/>
              <w:jc w:val="right"/>
            </w:pPr>
            <w:r>
              <w:t xml:space="preserve">1249</w:t>
            </w:r>
          </w:p>
        </w:tc>
        <w:tc>
          <w:tcPr/>
          <w:p>
            <w:pPr>
              <w:pStyle w:val="Compact"/>
              <w:jc w:val="center"/>
            </w:pPr>
            <w:r>
              <w:t xml:space="preserve">3/</w:t>
            </w:r>
          </w:p>
        </w:tc>
        <w:tc>
          <w:tcPr/>
          <w:p>
            <w:pPr>
              <w:pStyle w:val="Compact"/>
              <w:jc w:val="center"/>
            </w:pPr>
            <w:r>
              <w:t xml:space="preserve">1x, 5/, 2s</w:t>
            </w:r>
          </w:p>
        </w:tc>
        <w:tc>
          <w:tcPr/>
          <w:p>
            <w:pPr>
              <w:pStyle w:val="Compact"/>
              <w:jc w:val="center"/>
            </w:pPr>
            <w:r>
              <w:t xml:space="preserve">4/</w:t>
            </w:r>
          </w:p>
        </w:tc>
        <w:tc>
          <w:tcPr/>
          <w:p>
            <w:pPr>
              <w:pStyle w:val="Compact"/>
              <w:jc w:val="center"/>
            </w:pPr>
            <w:r>
              <w:t xml:space="preserve">1x, 3/</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1324</w:t>
            </w:r>
          </w:p>
        </w:tc>
        <w:tc>
          <w:tcPr/>
          <w:p>
            <w:pPr>
              <w:pStyle w:val="Compact"/>
              <w:jc w:val="left"/>
            </w:pPr>
            <w:r>
              <w:t xml:space="preserve">Synaj</w:t>
            </w:r>
          </w:p>
        </w:tc>
        <w:tc>
          <w:tcPr/>
          <w:p>
            <w:pPr>
              <w:pStyle w:val="Compact"/>
              <w:jc w:val="center"/>
            </w:pPr>
            <w:r>
              <w:t xml:space="preserve">2x, 17/</w:t>
            </w:r>
          </w:p>
        </w:tc>
      </w:tr>
      <w:tr>
        <w:tc>
          <w:tcPr/>
          <w:p>
            <w:pPr>
              <w:pStyle w:val="Compact"/>
              <w:jc w:val="right"/>
            </w:pPr>
            <w:r>
              <w:t xml:space="preserve">1503</w:t>
            </w:r>
          </w:p>
        </w:tc>
        <w:tc>
          <w:tcPr/>
          <w:p>
            <w:pPr>
              <w:pStyle w:val="Compact"/>
              <w:jc w:val="center"/>
            </w:pPr>
            <w:r>
              <w:t xml:space="preserve">1s</w:t>
            </w:r>
          </w:p>
        </w:tc>
        <w:tc>
          <w:tcPr/>
          <w:p>
            <w:pPr>
              <w:pStyle w:val="Compact"/>
              <w:jc w:val="center"/>
            </w:pPr>
            <w:r>
              <w:t xml:space="preserve">3/, 1c</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3/</w:t>
            </w:r>
          </w:p>
        </w:tc>
      </w:tr>
      <w:tr>
        <w:tc>
          <w:tcPr/>
          <w:p>
            <w:pPr>
              <w:pStyle w:val="Compact"/>
              <w:jc w:val="right"/>
            </w:pPr>
            <w:r>
              <w:t xml:space="preserve">1548</w:t>
            </w:r>
          </w:p>
        </w:tc>
        <w:tc>
          <w:tcPr/>
          <w:p>
            <w:pPr>
              <w:pStyle w:val="Compact"/>
              <w:jc w:val="center"/>
            </w:pPr>
            <w:r>
              <w:t xml:space="preserve">2/, 2s</w:t>
            </w:r>
          </w:p>
        </w:tc>
        <w:tc>
          <w:tcPr/>
          <w:p>
            <w:pPr>
              <w:pStyle w:val="Compact"/>
              <w:jc w:val="center"/>
            </w:pPr>
            <w:r>
              <w:t xml:space="preserve">1x, 6/, 1c, 2s</w:t>
            </w:r>
          </w:p>
        </w:tc>
        <w:tc>
          <w:tcPr/>
          <w:p>
            <w:pPr>
              <w:pStyle w:val="Compact"/>
              <w:jc w:val="center"/>
            </w:pPr>
            <w:r>
              <w:t xml:space="preserve">1/, 2s</w:t>
            </w:r>
          </w:p>
        </w:tc>
        <w:tc>
          <w:tcPr/>
          <w:p>
            <w:pPr>
              <w:pStyle w:val="Compact"/>
              <w:jc w:val="center"/>
            </w:pPr>
            <w:r>
              <w:t xml:space="preserve">1/, 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1359</w:t>
            </w:r>
          </w:p>
        </w:tc>
        <w:tc>
          <w:tcPr/>
          <w:p>
            <w:pPr>
              <w:pStyle w:val="Compact"/>
              <w:jc w:val="left"/>
            </w:pPr>
            <w:r>
              <w:t xml:space="preserve">Vatopediu</w:t>
            </w:r>
          </w:p>
        </w:tc>
        <w:tc>
          <w:tcPr/>
          <w:p>
            <w:pPr>
              <w:pStyle w:val="Compact"/>
              <w:jc w:val="center"/>
            </w:pPr>
            <w:r>
              <w:t xml:space="preserve">1x, 10/</w:t>
            </w:r>
          </w:p>
        </w:tc>
      </w:tr>
      <w:tr>
        <w:tc>
          <w:tcPr/>
          <w:p>
            <w:pPr>
              <w:pStyle w:val="Compact"/>
              <w:jc w:val="right"/>
            </w:pPr>
            <w:r>
              <w:t xml:space="preserve">1637</w:t>
            </w:r>
          </w:p>
        </w:tc>
        <w:tc>
          <w:tcPr/>
          <w:p>
            <w:pPr>
              <w:pStyle w:val="Compact"/>
              <w:jc w:val="center"/>
            </w:pPr>
            <w:r>
              <w:t xml:space="preserve">1/, 1s</w:t>
            </w:r>
          </w:p>
        </w:tc>
        <w:tc>
          <w:tcPr/>
          <w:p>
            <w:pPr>
              <w:pStyle w:val="Compact"/>
              <w:jc w:val="center"/>
            </w:pPr>
            <w:r>
              <w:t xml:space="preserve">4/, 1c, 1s</w:t>
            </w:r>
          </w:p>
        </w:tc>
        <w:tc>
          <w:tcPr/>
          <w:p>
            <w:pPr>
              <w:pStyle w:val="Compact"/>
              <w:jc w:val="center"/>
            </w:pPr>
            <w:r>
              <w:t xml:space="preserve">1/</w:t>
            </w:r>
          </w:p>
        </w:tc>
        <w:tc>
          <w:tcPr/>
          <w:p>
            <w:pPr>
              <w:pStyle w:val="Compact"/>
              <w:jc w:val="center"/>
            </w:pPr>
            <w:r>
              <w:t xml:space="preserve">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6/</w:t>
            </w:r>
          </w:p>
        </w:tc>
      </w:tr>
      <w:tr>
        <w:tc>
          <w:tcPr/>
          <w:p>
            <w:pPr>
              <w:pStyle w:val="Compact"/>
              <w:jc w:val="right"/>
            </w:pPr>
            <w:r>
              <w:t xml:space="preserve">1725</w:t>
            </w:r>
          </w:p>
        </w:tc>
        <w:tc>
          <w:tcPr/>
          <w:p>
            <w:pPr>
              <w:pStyle w:val="Compact"/>
              <w:jc w:val="center"/>
            </w:pPr>
            <w:r>
              <w:t xml:space="preserve">2/</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1367</w:t>
            </w:r>
          </w:p>
        </w:tc>
        <w:tc>
          <w:tcPr/>
          <w:p>
            <w:pPr>
              <w:pStyle w:val="Compact"/>
              <w:jc w:val="left"/>
            </w:pPr>
            <w:r>
              <w:t xml:space="preserve">Vatopediu</w:t>
            </w:r>
          </w:p>
        </w:tc>
        <w:tc>
          <w:tcPr/>
          <w:p>
            <w:pPr>
              <w:pStyle w:val="Compact"/>
              <w:jc w:val="center"/>
            </w:pPr>
            <w:r>
              <w:t xml:space="preserve">3/</w:t>
            </w:r>
          </w:p>
        </w:tc>
      </w:tr>
      <w:tr>
        <w:tc>
          <w:tcPr/>
          <w:p>
            <w:pPr>
              <w:pStyle w:val="Compact"/>
              <w:jc w:val="right"/>
            </w:pPr>
            <w:r>
              <w:t xml:space="preserve">1732</w:t>
            </w:r>
          </w:p>
        </w:tc>
        <w:tc>
          <w:tcPr/>
          <w:p>
            <w:pPr>
              <w:pStyle w:val="Compact"/>
              <w:jc w:val="center"/>
            </w:pPr>
            <w:r>
              <w:t xml:space="preserve">2s</w:t>
            </w:r>
          </w:p>
        </w:tc>
        <w:tc>
          <w:tcPr/>
          <w:p>
            <w:pPr>
              <w:pStyle w:val="Compact"/>
              <w:jc w:val="center"/>
            </w:pPr>
            <w:r>
              <w:t xml:space="preserve">1/, 2s</w:t>
            </w:r>
          </w:p>
        </w:tc>
        <w:tc>
          <w:tcPr/>
          <w:p>
            <w:pPr>
              <w:pStyle w:val="Compact"/>
              <w:jc w:val="center"/>
            </w:pPr>
            <w:r>
              <w:t xml:space="preserve">1/, 1i</w:t>
            </w:r>
          </w:p>
        </w:tc>
        <w:tc>
          <w:tcPr/>
          <w:p>
            <w:pPr>
              <w:pStyle w:val="Compact"/>
              <w:jc w:val="center"/>
            </w:pPr>
            <w:r>
              <w:t xml:space="preserve">2s</w:t>
            </w:r>
          </w:p>
        </w:tc>
        <w:tc>
          <w:tcPr/>
          <w:p>
            <w:pPr>
              <w:pStyle w:val="Compact"/>
              <w:jc w:val="center"/>
            </w:pPr>
            <w:r>
              <w:t xml:space="preserve">1h</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1384</w:t>
            </w:r>
          </w:p>
        </w:tc>
        <w:tc>
          <w:tcPr/>
          <w:p>
            <w:pPr>
              <w:pStyle w:val="Compact"/>
              <w:jc w:val="left"/>
            </w:pPr>
            <w:r>
              <w:t xml:space="preserve">M. Lavras</w:t>
            </w:r>
          </w:p>
        </w:tc>
        <w:tc>
          <w:tcPr/>
          <w:p>
            <w:pPr>
              <w:pStyle w:val="Compact"/>
              <w:jc w:val="center"/>
            </w:pPr>
            <w:r>
              <w:t xml:space="preserve">2/</w:t>
            </w:r>
          </w:p>
        </w:tc>
      </w:tr>
      <w:tr>
        <w:tc>
          <w:tcPr/>
          <w:p>
            <w:pPr>
              <w:pStyle w:val="Compact"/>
              <w:jc w:val="right"/>
            </w:pPr>
            <w:r>
              <w:t xml:space="preserve">1754</w:t>
            </w:r>
            <w:r>
              <w:rPr>
                <w:rStyle w:val="FootnoteReference"/>
              </w:rPr>
              <w:footnoteReference w:id="332"/>
            </w:r>
          </w:p>
        </w:tc>
        <w:tc>
          <w:tcPr/>
          <w:p>
            <w:pPr>
              <w:pStyle w:val="Compact"/>
              <w:jc w:val="center"/>
            </w:pPr>
            <w:r>
              <w:t xml:space="preserve">2/, 16s</w:t>
            </w:r>
          </w:p>
        </w:tc>
        <w:tc>
          <w:tcPr/>
          <w:p>
            <w:pPr>
              <w:pStyle w:val="Compact"/>
              <w:jc w:val="center"/>
            </w:pPr>
            <w:r>
              <w:t xml:space="preserve">3/, 8s</w:t>
            </w:r>
          </w:p>
        </w:tc>
        <w:tc>
          <w:tcPr/>
          <w:p>
            <w:pPr>
              <w:pStyle w:val="Compact"/>
              <w:jc w:val="center"/>
            </w:pPr>
            <w:r>
              <w:t xml:space="preserve">2/, 9s</w:t>
            </w:r>
          </w:p>
        </w:tc>
        <w:tc>
          <w:tcPr/>
          <w:p>
            <w:pPr>
              <w:pStyle w:val="Compact"/>
              <w:jc w:val="center"/>
            </w:pPr>
            <w:r>
              <w:t xml:space="preserve">2x, 1/, 13s, 3h</w:t>
            </w:r>
          </w:p>
        </w:tc>
        <w:tc>
          <w:tcPr/>
          <w:p>
            <w:pPr>
              <w:pStyle w:val="Compact"/>
              <w:jc w:val="center"/>
            </w:pPr>
            <w:r>
              <w:t xml:space="preserve">1s</w:t>
            </w:r>
          </w:p>
        </w:tc>
        <w:tc>
          <w:tcPr/>
          <w:p>
            <w:pPr>
              <w:pStyle w:val="Compact"/>
              <w:jc w:val="center"/>
            </w:pPr>
            <w:r>
              <w:t xml:space="preserve">1/, 1s</w:t>
            </w:r>
          </w:p>
        </w:tc>
        <w:tc>
          <w:tcPr/>
          <w:p>
            <w:pPr>
              <w:pStyle w:val="Compact"/>
              <w:jc w:val="center"/>
            </w:pPr>
            <w:r>
              <w:t xml:space="preserve">2s</w:t>
            </w:r>
          </w:p>
        </w:tc>
        <w:tc>
          <w:tcPr/>
          <w:p>
            <w:pPr>
              <w:pStyle w:val="Compact"/>
              <w:jc w:val="center"/>
            </w:pPr>
            <w:r>
              <w:t xml:space="preserve">XII</w:t>
            </w:r>
          </w:p>
        </w:tc>
        <w:tc>
          <w:tcPr/>
          <w:p>
            <w:pPr>
              <w:pStyle w:val="Compact"/>
              <w:jc w:val="left"/>
            </w:pPr>
            <w:r>
              <w:t xml:space="preserve">Panteleimonos</w:t>
            </w:r>
          </w:p>
        </w:tc>
        <w:tc>
          <w:tcPr/>
          <w:p>
            <w:pPr>
              <w:pStyle w:val="Compact"/>
              <w:jc w:val="center"/>
            </w:pPr>
            <w:r>
              <w:t xml:space="preserve">2x, 9/</w:t>
            </w:r>
          </w:p>
        </w:tc>
      </w:tr>
      <w:tr>
        <w:tc>
          <w:tcPr/>
          <w:p>
            <w:pPr>
              <w:pStyle w:val="Compact"/>
              <w:jc w:val="right"/>
            </w:pPr>
            <w:r>
              <w:t xml:space="preserve">1761</w:t>
            </w:r>
          </w:p>
        </w:tc>
        <w:tc>
          <w:tcPr/>
          <w:p>
            <w:pPr>
              <w:pStyle w:val="Compact"/>
              <w:jc w:val="center"/>
            </w:pPr>
            <w:r>
              <w:t xml:space="preserve">2x, 2s</w:t>
            </w:r>
          </w:p>
        </w:tc>
        <w:tc>
          <w:tcPr/>
          <w:p>
            <w:pPr>
              <w:pStyle w:val="Compact"/>
              <w:jc w:val="center"/>
            </w:pPr>
            <w:r>
              <w:t xml:space="preserve">2x, 4/, 3s</w:t>
            </w:r>
          </w:p>
        </w:tc>
        <w:tc>
          <w:tcPr/>
          <w:p>
            <w:pPr>
              <w:pStyle w:val="Compact"/>
              <w:jc w:val="center"/>
            </w:pPr>
            <w:r>
              <w:t xml:space="preserve">1/</w:t>
            </w:r>
          </w:p>
        </w:tc>
        <w:tc>
          <w:tcPr/>
          <w:p>
            <w:pPr>
              <w:pStyle w:val="Compact"/>
              <w:jc w:val="center"/>
            </w:pPr>
            <w:r>
              <w:t xml:space="preserve">1/, 1s, 1h</w:t>
            </w:r>
          </w:p>
        </w:tc>
        <w:tc>
          <w:tcPr/>
          <w:p>
            <w:pPr>
              <w:pStyle w:val="Compact"/>
              <w:jc w:val="center"/>
            </w:pPr>
            <w:r>
              <w:t xml:space="preserve">1s</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4x, 6/</w:t>
            </w:r>
          </w:p>
        </w:tc>
      </w:tr>
      <w:tr>
        <w:tc>
          <w:tcPr/>
          <w:p>
            <w:pPr>
              <w:pStyle w:val="Compact"/>
              <w:jc w:val="right"/>
            </w:pPr>
            <w:r>
              <w:t xml:space="preserve">1768</w:t>
            </w:r>
          </w:p>
        </w:tc>
        <w:tc>
          <w:tcPr/>
          <w:p>
            <w:pPr>
              <w:pStyle w:val="Compact"/>
              <w:jc w:val="center"/>
            </w:pPr>
            <w:r>
              <w:t xml:space="preserve">7/, 2c, 1s</w:t>
            </w:r>
          </w:p>
        </w:tc>
        <w:tc>
          <w:tcPr/>
          <w:p>
            <w:pPr>
              <w:pStyle w:val="Compact"/>
              <w:jc w:val="center"/>
            </w:pPr>
            <w:r>
              <w:t xml:space="preserve">12/, 1i</w:t>
            </w:r>
          </w:p>
        </w:tc>
        <w:tc>
          <w:tcPr/>
          <w:p>
            <w:pPr>
              <w:pStyle w:val="Compact"/>
              <w:jc w:val="center"/>
            </w:pPr>
            <w:r>
              <w:t xml:space="preserve">6/, 2i</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1s</w:t>
            </w:r>
          </w:p>
        </w:tc>
        <w:tc>
          <w:tcPr/>
          <w:p>
            <w:pPr>
              <w:pStyle w:val="Compact"/>
              <w:jc w:val="center"/>
            </w:pPr>
            <w:r>
              <w:t xml:space="preserve">1516</w:t>
            </w:r>
          </w:p>
        </w:tc>
        <w:tc>
          <w:tcPr/>
          <w:p>
            <w:pPr>
              <w:pStyle w:val="Compact"/>
              <w:jc w:val="left"/>
            </w:pPr>
            <w:r>
              <w:t xml:space="preserve">Iviron</w:t>
            </w:r>
          </w:p>
        </w:tc>
        <w:tc>
          <w:tcPr/>
          <w:p>
            <w:pPr>
              <w:pStyle w:val="Compact"/>
              <w:jc w:val="center"/>
            </w:pPr>
            <w:r>
              <w:t xml:space="preserve">26/</w:t>
            </w:r>
          </w:p>
        </w:tc>
      </w:tr>
      <w:tr>
        <w:tc>
          <w:tcPr/>
          <w:p>
            <w:pPr>
              <w:pStyle w:val="Compact"/>
              <w:jc w:val="right"/>
            </w:pPr>
            <w:r>
              <w:t xml:space="preserve">1855</w:t>
            </w:r>
          </w:p>
        </w:tc>
        <w:tc>
          <w:tcPr/>
          <w:p>
            <w:pPr>
              <w:pStyle w:val="Compact"/>
              <w:jc w:val="center"/>
            </w:pPr>
            <w:r>
              <w:t xml:space="preserve">1/, 1s</w:t>
            </w:r>
          </w:p>
        </w:tc>
        <w:tc>
          <w:tcPr/>
          <w:p>
            <w:pPr>
              <w:pStyle w:val="Compact"/>
              <w:jc w:val="center"/>
            </w:pPr>
            <w:r>
              <w:t xml:space="preserve">1x, 2/</w:t>
            </w:r>
          </w:p>
        </w:tc>
        <w:tc>
          <w:tcPr/>
          <w:p>
            <w:pPr>
              <w:pStyle w:val="Compact"/>
              <w:jc w:val="center"/>
            </w:pPr>
            <w:r>
              <w:t xml:space="preserve">2/</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Iviron</w:t>
            </w:r>
          </w:p>
        </w:tc>
        <w:tc>
          <w:tcPr/>
          <w:p>
            <w:pPr>
              <w:pStyle w:val="Compact"/>
              <w:jc w:val="center"/>
            </w:pPr>
            <w:r>
              <w:t xml:space="preserve">1x, 6/</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3/, 2c</w:t>
            </w:r>
          </w:p>
        </w:tc>
        <w:tc>
          <w:tcPr/>
          <w:p>
            <w:pPr>
              <w:pStyle w:val="Compact"/>
              <w:jc w:val="center"/>
            </w:pPr>
            <w:r>
              <w:t xml:space="preserve">---</w:t>
            </w:r>
          </w:p>
        </w:tc>
        <w:tc>
          <w:tcPr/>
          <w:p>
            <w:pPr>
              <w:pStyle w:val="Compact"/>
              <w:jc w:val="center"/>
            </w:pPr>
            <w:r>
              <w:t xml:space="preserve">1c, 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Stavronikita</w:t>
            </w:r>
          </w:p>
        </w:tc>
        <w:tc>
          <w:tcPr/>
          <w:p>
            <w:pPr>
              <w:pStyle w:val="Compact"/>
              <w:jc w:val="center"/>
            </w:pPr>
            <w:r>
              <w:t xml:space="preserve">3/</w:t>
            </w:r>
          </w:p>
        </w:tc>
      </w:tr>
      <w:tr>
        <w:tc>
          <w:tcPr/>
          <w:p>
            <w:pPr>
              <w:pStyle w:val="Compact"/>
              <w:jc w:val="right"/>
            </w:pPr>
            <w:r>
              <w:t xml:space="preserve">1865</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2s</w:t>
            </w:r>
          </w:p>
        </w:tc>
        <w:tc>
          <w:tcPr/>
          <w:p>
            <w:pPr>
              <w:pStyle w:val="Compact"/>
              <w:jc w:val="center"/>
            </w:pPr>
            <w:r>
              <w:t xml:space="preserve">1c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Filotheu</w:t>
            </w:r>
          </w:p>
        </w:tc>
        <w:tc>
          <w:tcPr/>
          <w:p>
            <w:pPr>
              <w:pStyle w:val="Compact"/>
              <w:jc w:val="center"/>
            </w:pPr>
            <w:r>
              <w:t xml:space="preserve">1/</w:t>
            </w:r>
          </w:p>
        </w:tc>
      </w:tr>
      <w:tr>
        <w:tc>
          <w:tcPr/>
          <w:p>
            <w:pPr>
              <w:pStyle w:val="Compact"/>
              <w:jc w:val="right"/>
            </w:pPr>
            <w:r>
              <w:t xml:space="preserve">1876</w:t>
            </w:r>
          </w:p>
        </w:tc>
        <w:tc>
          <w:tcPr/>
          <w:p>
            <w:pPr>
              <w:pStyle w:val="Compact"/>
              <w:jc w:val="center"/>
            </w:pPr>
            <w:r>
              <w:t xml:space="preserve">1x, 4/, 3s</w:t>
            </w:r>
          </w:p>
        </w:tc>
        <w:tc>
          <w:tcPr/>
          <w:p>
            <w:pPr>
              <w:pStyle w:val="Compact"/>
              <w:jc w:val="center"/>
            </w:pPr>
            <w:r>
              <w:t xml:space="preserve">2x, 4/, 3s, 1h</w:t>
            </w:r>
          </w:p>
        </w:tc>
        <w:tc>
          <w:tcPr/>
          <w:p>
            <w:pPr>
              <w:pStyle w:val="Compact"/>
              <w:jc w:val="center"/>
            </w:pPr>
            <w:r>
              <w:t xml:space="preserve">4/, 1s</w:t>
            </w:r>
          </w:p>
        </w:tc>
        <w:tc>
          <w:tcPr/>
          <w:p>
            <w:pPr>
              <w:pStyle w:val="Compact"/>
              <w:jc w:val="center"/>
            </w:pPr>
            <w:r>
              <w:t xml:space="preserve">1x, 3/, 1c, 2s</w:t>
            </w:r>
          </w:p>
        </w:tc>
        <w:tc>
          <w:tcPr/>
          <w:p>
            <w:pPr>
              <w:pStyle w:val="Compact"/>
              <w:jc w:val="center"/>
            </w:pPr>
            <w:r>
              <w:t xml:space="preserve">2/, 1s</w:t>
            </w:r>
          </w:p>
        </w:tc>
        <w:tc>
          <w:tcPr/>
          <w:p>
            <w:pPr>
              <w:pStyle w:val="Compact"/>
              <w:jc w:val="center"/>
            </w:pPr>
            <w:r>
              <w:t xml:space="preserve">1/</w:t>
            </w:r>
          </w:p>
        </w:tc>
        <w:tc>
          <w:tcPr/>
          <w:p>
            <w:pPr>
              <w:pStyle w:val="Compact"/>
              <w:jc w:val="center"/>
            </w:pPr>
            <w:r>
              <w:t xml:space="preserve">1/, 2s</w:t>
            </w:r>
          </w:p>
        </w:tc>
        <w:tc>
          <w:tcPr/>
          <w:p>
            <w:pPr>
              <w:pStyle w:val="Compact"/>
              <w:jc w:val="center"/>
            </w:pPr>
            <w:r>
              <w:t xml:space="preserve">XV</w:t>
            </w:r>
          </w:p>
        </w:tc>
        <w:tc>
          <w:tcPr/>
          <w:p>
            <w:pPr>
              <w:pStyle w:val="Compact"/>
              <w:jc w:val="left"/>
            </w:pPr>
            <w:r>
              <w:t xml:space="preserve">Synaj</w:t>
            </w:r>
          </w:p>
        </w:tc>
        <w:tc>
          <w:tcPr/>
          <w:p>
            <w:pPr>
              <w:pStyle w:val="Compact"/>
              <w:jc w:val="center"/>
            </w:pPr>
            <w:r>
              <w:t xml:space="preserve">4x, 19/</w:t>
            </w:r>
          </w:p>
        </w:tc>
      </w:tr>
      <w:tr>
        <w:tc>
          <w:tcPr/>
          <w:p>
            <w:pPr>
              <w:pStyle w:val="Compact"/>
              <w:jc w:val="right"/>
            </w:pPr>
            <w:r>
              <w:t xml:space="preserve">1892</w:t>
            </w:r>
          </w:p>
        </w:tc>
        <w:tc>
          <w:tcPr/>
          <w:p>
            <w:pPr>
              <w:pStyle w:val="Compact"/>
              <w:jc w:val="center"/>
            </w:pPr>
            <w:r>
              <w:t xml:space="preserve">1x, 4/, 2c, 1s</w:t>
            </w:r>
          </w:p>
        </w:tc>
        <w:tc>
          <w:tcPr/>
          <w:p>
            <w:pPr>
              <w:pStyle w:val="Compact"/>
              <w:jc w:val="center"/>
            </w:pPr>
            <w:r>
              <w:t xml:space="preserve">3x, 4/, 4s</w:t>
            </w:r>
          </w:p>
        </w:tc>
        <w:tc>
          <w:tcPr/>
          <w:p>
            <w:pPr>
              <w:pStyle w:val="Compact"/>
              <w:jc w:val="center"/>
            </w:pPr>
            <w:r>
              <w:t xml:space="preserve">1x, 2/, 1c</w:t>
            </w:r>
          </w:p>
        </w:tc>
        <w:tc>
          <w:tcPr/>
          <w:p>
            <w:pPr>
              <w:pStyle w:val="Compact"/>
              <w:jc w:val="center"/>
            </w:pPr>
            <w:r>
              <w:t xml:space="preserve">1/, 1c, 2s</w:t>
            </w:r>
          </w:p>
        </w:tc>
        <w:tc>
          <w:tcPr/>
          <w:p>
            <w:pPr>
              <w:pStyle w:val="Compact"/>
              <w:jc w:val="center"/>
            </w:pPr>
            <w:r>
              <w:t xml:space="preserve">1x</w:t>
            </w:r>
          </w:p>
        </w:tc>
        <w:tc>
          <w:tcPr/>
          <w:p>
            <w:pPr>
              <w:pStyle w:val="Compact"/>
              <w:jc w:val="center"/>
            </w:pPr>
            <w:r>
              <w:t xml:space="preserve">---</w:t>
            </w:r>
          </w:p>
        </w:tc>
        <w:tc>
          <w:tcPr/>
          <w:p>
            <w:pPr>
              <w:pStyle w:val="Compact"/>
              <w:jc w:val="center"/>
            </w:pPr>
            <w:r>
              <w:t xml:space="preserve">1c, 1s</w:t>
            </w:r>
          </w:p>
        </w:tc>
        <w:tc>
          <w:tcPr/>
          <w:p>
            <w:pPr>
              <w:pStyle w:val="Compact"/>
              <w:jc w:val="center"/>
            </w:pPr>
            <w:r>
              <w:t xml:space="preserve">XIV</w:t>
            </w:r>
          </w:p>
        </w:tc>
        <w:tc>
          <w:tcPr/>
          <w:p>
            <w:pPr>
              <w:pStyle w:val="Compact"/>
              <w:jc w:val="left"/>
            </w:pPr>
            <w:r>
              <w:t xml:space="preserve">Jerozolima</w:t>
            </w:r>
          </w:p>
        </w:tc>
        <w:tc>
          <w:tcPr/>
          <w:p>
            <w:pPr>
              <w:pStyle w:val="Compact"/>
              <w:jc w:val="center"/>
            </w:pPr>
            <w:r>
              <w:t xml:space="preserve">6x, 11/</w:t>
            </w:r>
          </w:p>
        </w:tc>
      </w:tr>
      <w:tr>
        <w:tc>
          <w:tcPr/>
          <w:p>
            <w:pPr>
              <w:pStyle w:val="Compact"/>
              <w:jc w:val="right"/>
            </w:pPr>
            <w:r>
              <w:t xml:space="preserve">1897</w:t>
            </w:r>
          </w:p>
        </w:tc>
        <w:tc>
          <w:tcPr/>
          <w:p>
            <w:pPr>
              <w:pStyle w:val="Compact"/>
              <w:jc w:val="center"/>
            </w:pPr>
            <w:r>
              <w:t xml:space="preserve">2/, 3s</w:t>
            </w:r>
          </w:p>
        </w:tc>
        <w:tc>
          <w:tcPr/>
          <w:p>
            <w:pPr>
              <w:pStyle w:val="Compact"/>
              <w:jc w:val="center"/>
            </w:pPr>
            <w:r>
              <w:t xml:space="preserve">1/, 3s</w:t>
            </w:r>
          </w:p>
        </w:tc>
        <w:tc>
          <w:tcPr/>
          <w:p>
            <w:pPr>
              <w:pStyle w:val="Compact"/>
              <w:jc w:val="center"/>
            </w:pPr>
            <w:r>
              <w:t xml:space="preserve">2s</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XII</w:t>
            </w:r>
          </w:p>
        </w:tc>
        <w:tc>
          <w:tcPr/>
          <w:p>
            <w:pPr>
              <w:pStyle w:val="Compact"/>
              <w:jc w:val="left"/>
            </w:pPr>
            <w:r>
              <w:t xml:space="preserve">Jerozolima</w:t>
            </w:r>
          </w:p>
        </w:tc>
        <w:tc>
          <w:tcPr/>
          <w:p>
            <w:pPr>
              <w:pStyle w:val="Compact"/>
              <w:jc w:val="center"/>
            </w:pPr>
            <w:r>
              <w:t xml:space="preserve">4/</w:t>
            </w:r>
          </w:p>
        </w:tc>
      </w:tr>
      <w:tr>
        <w:tc>
          <w:tcPr/>
          <w:p>
            <w:pPr>
              <w:pStyle w:val="Compact"/>
              <w:jc w:val="right"/>
            </w:pPr>
            <w:r>
              <w:t xml:space="preserve">2221</w:t>
            </w:r>
          </w:p>
        </w:tc>
        <w:tc>
          <w:tcPr/>
          <w:p>
            <w:pPr>
              <w:pStyle w:val="Compact"/>
              <w:jc w:val="center"/>
            </w:pPr>
            <w:r>
              <w:t xml:space="preserve">1s</w:t>
            </w:r>
          </w:p>
        </w:tc>
        <w:tc>
          <w:tcPr/>
          <w:p>
            <w:pPr>
              <w:pStyle w:val="Compact"/>
              <w:jc w:val="center"/>
            </w:pPr>
            <w:r>
              <w:t xml:space="preserve">2x</w:t>
            </w:r>
          </w:p>
        </w:tc>
        <w:tc>
          <w:tcPr/>
          <w:p>
            <w:pPr>
              <w:pStyle w:val="Compact"/>
              <w:jc w:val="center"/>
            </w:pPr>
            <w:r>
              <w:t xml:space="preserve">1x, 3/, 1s</w:t>
            </w:r>
          </w:p>
        </w:tc>
        <w:tc>
          <w:tcPr/>
          <w:p>
            <w:pPr>
              <w:pStyle w:val="Compact"/>
              <w:jc w:val="center"/>
            </w:pPr>
            <w:r>
              <w:t xml:space="preserve">1x, 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1432</w:t>
            </w:r>
          </w:p>
        </w:tc>
        <w:tc>
          <w:tcPr/>
          <w:p>
            <w:pPr>
              <w:pStyle w:val="Compact"/>
              <w:jc w:val="left"/>
            </w:pPr>
            <w:r>
              <w:t xml:space="preserve">Sparta</w:t>
            </w:r>
          </w:p>
        </w:tc>
        <w:tc>
          <w:tcPr/>
          <w:p>
            <w:pPr>
              <w:pStyle w:val="Compact"/>
              <w:jc w:val="center"/>
            </w:pPr>
            <w:r>
              <w:t xml:space="preserve">4x, 4/</w:t>
            </w:r>
          </w:p>
        </w:tc>
      </w:tr>
      <w:tr>
        <w:tc>
          <w:tcPr/>
          <w:p>
            <w:pPr>
              <w:pStyle w:val="Compact"/>
              <w:jc w:val="right"/>
            </w:pPr>
            <w:r>
              <w:t xml:space="preserve">2352</w:t>
            </w:r>
          </w:p>
        </w:tc>
        <w:tc>
          <w:tcPr/>
          <w:p>
            <w:pPr>
              <w:pStyle w:val="Compact"/>
              <w:jc w:val="center"/>
            </w:pPr>
            <w:r>
              <w:t xml:space="preserve">1/, 1c, 1i</w:t>
            </w:r>
          </w:p>
        </w:tc>
        <w:tc>
          <w:tcPr/>
          <w:p>
            <w:pPr>
              <w:pStyle w:val="Compact"/>
              <w:jc w:val="center"/>
            </w:pPr>
            <w:r>
              <w:t xml:space="preserve">6/, 1c, 1s, 1i</w:t>
            </w:r>
          </w:p>
        </w:tc>
        <w:tc>
          <w:tcPr/>
          <w:p>
            <w:pPr>
              <w:pStyle w:val="Compact"/>
              <w:jc w:val="center"/>
            </w:pPr>
            <w:r>
              <w:t xml:space="preserve">3/, 1c</w:t>
            </w:r>
          </w:p>
        </w:tc>
        <w:tc>
          <w:tcPr/>
          <w:p>
            <w:pPr>
              <w:pStyle w:val="Compact"/>
              <w:jc w:val="center"/>
            </w:pPr>
            <w:r>
              <w:t xml:space="preserve">2/, 1c</w:t>
            </w:r>
          </w:p>
        </w:tc>
        <w:tc>
          <w:tcPr/>
          <w:p>
            <w:pPr>
              <w:pStyle w:val="Compact"/>
              <w:jc w:val="center"/>
            </w:pPr>
            <w:r>
              <w:t xml:space="preserve">1c, 1i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Meteory</w:t>
            </w:r>
          </w:p>
        </w:tc>
        <w:tc>
          <w:tcPr/>
          <w:p>
            <w:pPr>
              <w:pStyle w:val="Compact"/>
              <w:jc w:val="center"/>
            </w:pPr>
            <w:r>
              <w:t xml:space="preserve">12/</w:t>
            </w:r>
          </w:p>
        </w:tc>
      </w:tr>
      <w:tr>
        <w:tc>
          <w:tcPr/>
          <w:p>
            <w:pPr>
              <w:pStyle w:val="Compact"/>
              <w:jc w:val="right"/>
            </w:pPr>
            <w:r>
              <w:t xml:space="preserve">2431</w:t>
            </w:r>
          </w:p>
        </w:tc>
        <w:tc>
          <w:tcPr/>
          <w:p>
            <w:pPr>
              <w:pStyle w:val="Compact"/>
              <w:jc w:val="center"/>
            </w:pPr>
            <w:r>
              <w:t xml:space="preserve">4/, 4s, 1i</w:t>
            </w:r>
          </w:p>
        </w:tc>
        <w:tc>
          <w:tcPr/>
          <w:p>
            <w:pPr>
              <w:pStyle w:val="Compact"/>
              <w:jc w:val="center"/>
            </w:pPr>
            <w:r>
              <w:t xml:space="preserve">11/, 2s, 2i</w:t>
            </w:r>
          </w:p>
        </w:tc>
        <w:tc>
          <w:tcPr/>
          <w:p>
            <w:pPr>
              <w:pStyle w:val="Compact"/>
              <w:jc w:val="center"/>
            </w:pPr>
            <w:r>
              <w:t xml:space="preserve">2/, 1c, 2s, 2i</w:t>
            </w:r>
          </w:p>
        </w:tc>
        <w:tc>
          <w:tcPr/>
          <w:p>
            <w:pPr>
              <w:pStyle w:val="Compact"/>
              <w:jc w:val="center"/>
            </w:pPr>
            <w:r>
              <w:t xml:space="preserve">2/, 2s, 2i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1332</w:t>
            </w:r>
          </w:p>
        </w:tc>
        <w:tc>
          <w:tcPr/>
          <w:p>
            <w:pPr>
              <w:pStyle w:val="Compact"/>
              <w:jc w:val="left"/>
            </w:pPr>
            <w:r>
              <w:t xml:space="preserve">Kavsokalyvia</w:t>
            </w:r>
          </w:p>
        </w:tc>
        <w:tc>
          <w:tcPr/>
          <w:p>
            <w:pPr>
              <w:pStyle w:val="Compact"/>
              <w:jc w:val="center"/>
            </w:pPr>
            <w:r>
              <w:t xml:space="preserve">19/</w:t>
            </w:r>
          </w:p>
        </w:tc>
      </w:tr>
      <w:tr>
        <w:tc>
          <w:tcPr/>
          <w:p>
            <w:pPr>
              <w:pStyle w:val="Compact"/>
              <w:jc w:val="right"/>
            </w:pPr>
            <w:r>
              <w:t xml:space="preserve">2466</w:t>
            </w:r>
          </w:p>
        </w:tc>
        <w:tc>
          <w:tcPr/>
          <w:p>
            <w:pPr>
              <w:pStyle w:val="Compact"/>
              <w:jc w:val="center"/>
            </w:pPr>
            <w:r>
              <w:t xml:space="preserve">1/, 1s</w:t>
            </w:r>
          </w:p>
        </w:tc>
        <w:tc>
          <w:tcPr/>
          <w:p>
            <w:pPr>
              <w:pStyle w:val="Compact"/>
              <w:jc w:val="center"/>
            </w:pPr>
            <w:r>
              <w:t xml:space="preserve">1x, 1/, 1c, 4s</w:t>
            </w:r>
          </w:p>
        </w:tc>
        <w:tc>
          <w:tcPr/>
          <w:p>
            <w:pPr>
              <w:pStyle w:val="Compact"/>
              <w:jc w:val="center"/>
            </w:pPr>
            <w:r>
              <w:t xml:space="preserve">1x, 2s</w:t>
            </w:r>
          </w:p>
        </w:tc>
        <w:tc>
          <w:tcPr/>
          <w:p>
            <w:pPr>
              <w:pStyle w:val="Compact"/>
              <w:jc w:val="center"/>
            </w:pPr>
            <w:r>
              <w:t xml:space="preserve">3/, 1s</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2s</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2x, 6/</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1c</w:t>
            </w:r>
          </w:p>
        </w:tc>
        <w:tc>
          <w:tcPr/>
          <w:p>
            <w:pPr>
              <w:pStyle w:val="Compact"/>
              <w:jc w:val="center"/>
            </w:pPr>
            <w:r>
              <w:t xml:space="preserve">XI</w:t>
            </w:r>
          </w:p>
        </w:tc>
        <w:tc>
          <w:tcPr/>
          <w:p>
            <w:pPr>
              <w:pStyle w:val="Compact"/>
              <w:jc w:val="left"/>
            </w:pPr>
            <w:r>
              <w:t xml:space="preserve">Watykan</w:t>
            </w:r>
          </w:p>
        </w:tc>
        <w:tc>
          <w:tcPr/>
          <w:p>
            <w:pPr>
              <w:pStyle w:val="Compact"/>
              <w:jc w:val="center"/>
            </w:pPr>
            <w:r>
              <w:t xml:space="preserve">9/</w:t>
            </w:r>
          </w:p>
        </w:tc>
      </w:tr>
      <w:tr>
        <w:tc>
          <w:tcPr/>
          <w:p>
            <w:pPr>
              <w:pStyle w:val="Compact"/>
              <w:jc w:val="right"/>
            </w:pPr>
            <w:r>
              <w:t xml:space="preserve">2626</w:t>
            </w:r>
          </w:p>
        </w:tc>
        <w:tc>
          <w:tcPr/>
          <w:p>
            <w:pPr>
              <w:pStyle w:val="Compact"/>
              <w:jc w:val="center"/>
            </w:pPr>
            <w:r>
              <w:t xml:space="preserve">1/, 1s</w:t>
            </w:r>
          </w:p>
        </w:tc>
        <w:tc>
          <w:tcPr/>
          <w:p>
            <w:pPr>
              <w:pStyle w:val="Compact"/>
              <w:jc w:val="center"/>
            </w:pPr>
            <w:r>
              <w:t xml:space="preserve">1x, 5/</w:t>
            </w:r>
          </w:p>
        </w:tc>
        <w:tc>
          <w:tcPr/>
          <w:p>
            <w:pPr>
              <w:pStyle w:val="Compact"/>
              <w:jc w:val="center"/>
            </w:pPr>
            <w:r>
              <w:t xml:space="preserve">1/, 1s</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 1s</w:t>
            </w:r>
          </w:p>
        </w:tc>
        <w:tc>
          <w:tcPr/>
          <w:p>
            <w:pPr>
              <w:pStyle w:val="Compact"/>
              <w:jc w:val="center"/>
            </w:pPr>
            <w:r>
              <w:t xml:space="preserve">2/</w:t>
            </w:r>
          </w:p>
        </w:tc>
        <w:tc>
          <w:tcPr/>
          <w:p>
            <w:pPr>
              <w:pStyle w:val="Compact"/>
              <w:jc w:val="center"/>
            </w:pPr>
            <w:r>
              <w:t xml:space="preserve">XIV</w:t>
            </w:r>
          </w:p>
        </w:tc>
        <w:tc>
          <w:tcPr/>
          <w:p>
            <w:pPr>
              <w:pStyle w:val="Compact"/>
              <w:jc w:val="left"/>
            </w:pPr>
            <w:r>
              <w:t xml:space="preserve">Ochryda</w:t>
            </w:r>
          </w:p>
        </w:tc>
        <w:tc>
          <w:tcPr/>
          <w:p>
            <w:pPr>
              <w:pStyle w:val="Compact"/>
              <w:jc w:val="center"/>
            </w:pPr>
            <w:r>
              <w:t xml:space="preserve">1x, 13/</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w:t>
            </w:r>
          </w:p>
        </w:tc>
        <w:tc>
          <w:tcPr/>
          <w:p>
            <w:pPr>
              <w:pStyle w:val="Compact"/>
              <w:jc w:val="left"/>
            </w:pPr>
            <w:r>
              <w:t xml:space="preserve">Trikala</w:t>
            </w:r>
          </w:p>
        </w:tc>
        <w:tc>
          <w:tcPr/>
          <w:p>
            <w:pPr>
              <w:pStyle w:val="Compact"/>
              <w:jc w:val="center"/>
            </w:pPr>
            <w:r>
              <w:t xml:space="preserve">---</w:t>
            </w:r>
          </w:p>
        </w:tc>
      </w:tr>
    </w:tbl>
    <w:bookmarkEnd w:id="333"/>
    <w:bookmarkStart w:id="339" w:name="interpretacja"/>
    <w:p>
      <w:pPr>
        <w:pStyle w:val="Heading3"/>
      </w:pPr>
      <w:r>
        <w:t xml:space="preserve">Interpretacja</w:t>
      </w:r>
    </w:p>
    <w:p>
      <w:pPr>
        <w:pStyle w:val="FirstParagraph"/>
      </w:pPr>
      <w:r>
        <w:t xml:space="preserve">Otóż typ tekstu, który nazywam Rodziną 35 (</w:t>
      </w:r>
      <w:r>
        <w:rPr>
          <w:bCs/>
          <w:b/>
        </w:rPr>
        <w:t xml:space="preserve">f</w:t>
      </w:r>
      <w:r>
        <w:rPr>
          <w:vertAlign w:val="superscript"/>
          <w:bCs/>
          <w:b/>
        </w:rPr>
        <w:t xml:space="preserve">35</w:t>
      </w:r>
      <w:r>
        <w:t xml:space="preserve">), reprezentowany jest w Listach Ogólnych przez około 84 (zachowane) manuskrypty. Ta próba czterdziestu trzech członków rodziny jest z pewnością reprezentatywna dla całego typu tekstu, stanowi bowiem pełną połowę jego przedstawicieli, a dodatkowo uwzględnia rozmieszczenie geograficzne. Pytanie stojące bezpośrednio przed nami brzmi: skąd możemy wiedzieć, czy manuskrypt jest doskonałym przedstawicielem swojego typu tekstu? Odpowiedź musi odnosić się do całej księgi.</w:t>
      </w:r>
    </w:p>
    <w:p>
      <w:pPr>
        <w:pStyle w:val="BodyText"/>
      </w:pPr>
      <w:r>
        <w:t xml:space="preserve">Pierwszą księgą tej części jest List Jakuba. Patrząc na tabelę, zauważamy, że rękopisy kursywne 18, 1864, 2554 i 2723 są w obecnym stanie przypuszczalnie doskonałymi przedstawicielami — nie mają odejść od domniemanego profilu archetypalnego.</w:t>
      </w:r>
      <w:r>
        <w:rPr>
          <w:rStyle w:val="FootnoteReference"/>
        </w:rPr>
        <w:footnoteReference w:id="334"/>
      </w:r>
      <w:r>
        <w:t xml:space="preserve"> </w:t>
      </w:r>
      <w:r>
        <w:t xml:space="preserve">Ponieważ 35 był systematycznie poprawiany, jego egzemplarz również był doskonały. Jeśli przypiszemy odczyty singularne kopiście, wówczas egzemplarze 1503, 1732, 1865 i 2221 także były doskonałe. Jeśli 18, 1864, 2554 i 2723 są kopiami, nie zaś oryginalnymi tworami, ich egzemplarze również były doskonałe, a egzemplarze egzemplarzy także były doskonałe, i tak dalej. Konsekwencje znalezienia doskonałego przedstawiciela jakiegokolwiek tekstu archetypalnego są dość doniosłe. Wszystkie „kanony” krytyki tekstu stają się nieistotne dla każdego punktu późniejszego od powstania tego tekstu (nadal mogłyby mieć zastosowanie przy badaniu powstania tekstu, zależnie od okoliczności). Spośród pozostałych manuskryptów 204 i 757 mają tylko jedno odejście, 386, 394, 928, 1075, 1637, 1725, 1732, 1855, 2466 i 2587 mają tylko dwa, i tak dalej. (Manuskrypt 664 ma trzydzieści, z których większość to niestaranne błędy, 664 poświadcza podstawowy profil (warianty diagnostyczne odróżniające go od wszystkich innych profili), a zatem jest wyraźnie członkiem rodziny, choć niedbałym).</w:t>
      </w:r>
    </w:p>
    <w:p>
      <w:pPr>
        <w:pStyle w:val="BodyText"/>
      </w:pPr>
      <w:r>
        <w:t xml:space="preserve">Odwoływałem się do „domniemanego profilu archetypalnego”. Jak zatem go zidentyfikowałem? Uczyniłem to na podstawie fundamentalnej zasady. Jeśli mamy rodzinę złożoną z 50 manuskryptów, wszędzie tam, gdzie wszystkie są zgodne, nie może być żadnych wątpliwości co do odczytu rodziny. Tam, gdzie pojedynczy manuskrypt błądzi przeciwko wszystkim pozostałym, nadal nie może być żadnych wątpliwości — właśnie to argumentuję wyżej w odniesieniu do Listu Jakuba. Wszędzie tam, gdzie zgadzają się choćby dwa (przeciwko pozostałym), mamy grupę odłamową — powiedziałbym od ręki, że wszystko do 20% ogółu rodziny pozostałoby grupą odłamową, praktycznie bez szans na reprezentowanie odczytu archetypalnego (jeśli pozostałe 80% jest jednomyślne). Gdy poświadczenie spada poniżej 80%, tym bardziej jeśli istnieje kilka konkurujących wariantów, muszą wejść w grę inne względy.</w:t>
      </w:r>
    </w:p>
    <w:p>
      <w:pPr>
        <w:pStyle w:val="BodyText"/>
      </w:pPr>
      <w:r>
        <w:t xml:space="preserve">Wracając do Listu Jakuba, twierdzę, że mamy rozsądną pewność co do precyzyjnego profilu rodziny dla tej księgi.</w:t>
      </w:r>
      <w:r>
        <w:rPr>
          <w:rStyle w:val="FootnoteReference"/>
        </w:rPr>
        <w:footnoteReference w:id="335"/>
      </w:r>
      <w:r>
        <w:t xml:space="preserve"> </w:t>
      </w:r>
      <w:r>
        <w:t xml:space="preserve">Skoro tak, możemy teraz ocenić poszczególne manuskrypty. Dlatego twierdzę, że egzemplarze 18, 35, 1503, 1732, 1864, 1865, 2221, 2554 i 2723 są doskonałymi przedstawicielami rodziny. Dziewięć doskonałych egzemplarzy spośród czterdziestu trzech to prawdopodobnie więcej, niż większość z nas by oczekiwała! W Liście Jakuba mamy więc kilka manuskryptów spełniających możliwość 3) Ehrmana w odniesieniu do tekstu archetypalnego.</w:t>
      </w:r>
    </w:p>
    <w:p>
      <w:pPr>
        <w:pStyle w:val="BodyText"/>
      </w:pPr>
      <w:r>
        <w:t xml:space="preserve">A co z drugą możliwością Ehrmana? Gdy mówi o „grupie” manuskryptów w odróżnieniu od „pojedynczego” manuskryptu (możliwość 3), przypuszczalnie ma na myśli rodzinę, ponieważ wszystkie z konieczności miałyby ten sam profil. Jeśli jednak ma na myśli rodzinę, przedkładam, że możliwość 2) wymaga ponownego sformułowania. Proponuję: „Zachował go w rodzinie manuskryptów, której tekst archetypalny nie zawiera żadnych skażeń — pod warunkiem że jego precyzyjny profil można potwierdzić ponad rozsądną wątpliwość”. (Przypomnijmy, że mówimy o</w:t>
      </w:r>
      <w:r>
        <w:t xml:space="preserve"> </w:t>
      </w:r>
      <w:r>
        <w:rPr>
          <w:u w:val="single"/>
        </w:rPr>
        <w:t xml:space="preserve">rzeczywistym</w:t>
      </w:r>
      <w:r>
        <w:t xml:space="preserve"> </w:t>
      </w:r>
      <w:r>
        <w:t xml:space="preserve">posiadaniu profilu). Oczywiste błędy poszczególnych przedstawicieli można bez obaw odjąć, pozostawiając świadectwo rodziny nienaruszone. Po takim ponownym sformułowaniu druga możliwość Ehrmana zostaje spełniona przez</w:t>
      </w:r>
      <w:r>
        <w:t xml:space="preserve"> </w:t>
      </w:r>
      <w:r>
        <w:rPr>
          <w:bCs/>
          <w:b/>
        </w:rPr>
        <w:t xml:space="preserve">f</w:t>
      </w:r>
      <w:r>
        <w:rPr>
          <w:vertAlign w:val="superscript"/>
          <w:bCs/>
          <w:b/>
        </w:rPr>
        <w:t xml:space="preserve">35</w:t>
      </w:r>
      <w:r>
        <w:t xml:space="preserve"> </w:t>
      </w:r>
      <w:r>
        <w:t xml:space="preserve">w Liście Jakuba w odniesieniu do tekstu archetypalnego. Przejdźmy do 1 Listu Piotra.</w:t>
      </w:r>
    </w:p>
    <w:p>
      <w:pPr>
        <w:pStyle w:val="BodyText"/>
      </w:pPr>
      <w:r>
        <w:t xml:space="preserve">Patrząc na tabelę, rękopisy kursywne 1865, 2554 i 2723 są doskonałymi przedstawicielami domniemanego profilu archetypalnego, ponieważ jednak 35 był systematycznie poprawiany, jego egzemplarz także był doskonały.</w:t>
      </w:r>
      <w:r>
        <w:rPr>
          <w:rStyle w:val="FootnoteReference"/>
        </w:rPr>
        <w:footnoteReference w:id="336"/>
      </w:r>
      <w:r>
        <w:t xml:space="preserve"> </w:t>
      </w:r>
      <w:r>
        <w:t xml:space="preserve">Jeśli przypiszemy odczyty singularne kopiście, wówczas egzemplarz 824 również był doskonały. Spośród pozostałych manuskryptów 204 ma tylko jedno odejście, 386, 1100, 1725 i 2221 mają tylko dwa, i tak dalej. Argumentując tak, jak w przypadku Listu Jakuba, w 1 Liście Piotra mamy pięć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2 Listu Piotra.</w:t>
      </w:r>
    </w:p>
    <w:p>
      <w:pPr>
        <w:pStyle w:val="BodyText"/>
      </w:pPr>
      <w:r>
        <w:t xml:space="preserve">Patrząc na tabelę, rękopisy kursywne 35, 1725, 1864, 2554 i 2723 są doskonałymi przedstawicielami domniemanego profilu archetypalnego.</w:t>
      </w:r>
      <w:r>
        <w:rPr>
          <w:rStyle w:val="FootnoteReference"/>
        </w:rPr>
        <w:footnoteReference w:id="337"/>
      </w:r>
      <w:r>
        <w:t xml:space="preserve"> </w:t>
      </w:r>
      <w:r>
        <w:t xml:space="preserve">Jeśli przypiszemy odczyty singularne kopiście, wówczas egzemplarze 18, 824, 1072, 1075, 1503, 1865 i 1897 również były doskonałe. Spośród pozostałych manuskryptów 1100, 1637 i 1761 mają tylko jedno odejście, 141, 757, 986, 1732, 1855 i 2626 mają tylko dwa, i tak dalej. Argumentując tak, jak w przypadku Listu Jakuba, w 2 Liście Piotra mamy dwanaście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1 Listu Jana.</w:t>
      </w:r>
    </w:p>
    <w:p>
      <w:pPr>
        <w:pStyle w:val="BodyText"/>
      </w:pPr>
      <w:r>
        <w:t xml:space="preserve">Patrząc na tabelę, rękopisy kursywne 204, 824, 1100 i 2554 są doskonałymi przedstawicielami domniemanego profilu archetypalnego, ponieważ jednak 35, 1637, 1768 i 1865 były systematycznie poprawiane, ich egzemplarze także były doskonałe.</w:t>
      </w:r>
      <w:r>
        <w:rPr>
          <w:rStyle w:val="FootnoteReference"/>
        </w:rPr>
        <w:footnoteReference w:id="338"/>
      </w:r>
      <w:r>
        <w:t xml:space="preserve"> </w:t>
      </w:r>
      <w:r>
        <w:t xml:space="preserve">Jedyna odmienność w 2723 jest pominięciem całego wiersza w oczywistym przypadku homoioteleutonu, co według mnie nie stanowi właściwego wariantowego odczytu. W każdym razie jego egzemplarz byłby doskonały. Jeśli przypiszemy odczyty singularne kopiście, wówczas egzemplarze 1503, 1725, 1732 i 1897 również były doskonałe. Spośród pozostałych manuskryptów 757, 1075 i 2587 mają tylko jedno odejście, 201, 928, 1072, 1548, 1855, 2221 i 2626 mają tylko dwa, i tak dalej. Argumentując tak, jak w przypadku Listu Jakuba, w 1 Liście Jana mamy trzynaście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2 Listu Jana.</w:t>
      </w:r>
    </w:p>
    <w:p>
      <w:pPr>
        <w:pStyle w:val="BodyText"/>
      </w:pPr>
      <w:r>
        <w:t xml:space="preserve">Patrząc na tabelę, większość rękopisów kursywnych jest doskonałymi przedstawicielami domniemanego profilu archetypalnego. Argumentując tak, jak w przypadku Listu Jakuba, w 2 Liście Jana mamy trzydzieści sześć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3 Listu Jana.</w:t>
      </w:r>
    </w:p>
    <w:p>
      <w:pPr>
        <w:pStyle w:val="BodyText"/>
      </w:pPr>
      <w:r>
        <w:t xml:space="preserve">Patrząc na tabelę, większość rękopisów kursywnych jest doskonałymi przedstawicielami domniemanego profilu archetypalnego. Argumentując tak, jak w przypadku Listu Jakuba, w 3 Liście Jana mamy trzydzieści dwa egzemplarze spełniające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Listu Judy.</w:t>
      </w:r>
    </w:p>
    <w:p>
      <w:pPr>
        <w:pStyle w:val="BodyText"/>
      </w:pPr>
      <w:r>
        <w:t xml:space="preserve">Patrząc na tabelę, połowa rękopisów kursywnych jest doskonałymi przedstawicielami domniemanego profilu archetypalnego. Argumentując tak, jak w przypadku Listu Jakuba, w Liście Judy mamy trzydzieści sześć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w:t>
      </w:r>
    </w:p>
    <w:p>
      <w:pPr>
        <w:pStyle w:val="BodyText"/>
      </w:pPr>
      <w:r>
        <w:t xml:space="preserve">Następującą część należy postrzegać jako kontynuację niniejszej.</w:t>
      </w:r>
    </w:p>
    <w:bookmarkEnd w:id="339"/>
    <w:bookmarkEnd w:id="340"/>
    <w:bookmarkStart w:id="343" w:name="X6ab50af76d9004b6e6e9f72e420df7088429cff"/>
    <w:p>
      <w:pPr>
        <w:pStyle w:val="Heading2"/>
      </w:pPr>
      <w:r>
        <w:t xml:space="preserve">Czy archetypalny tekst</w:t>
      </w:r>
      <w:r>
        <w:t xml:space="preserve"> </w:t>
      </w:r>
      <w:r>
        <w:rPr>
          <w:bCs/>
          <w:b/>
        </w:rPr>
        <w:t xml:space="preserve">f</w:t>
      </w:r>
      <w:r>
        <w:rPr>
          <w:vertAlign w:val="superscript"/>
          <w:bCs/>
          <w:b/>
        </w:rPr>
        <w:t xml:space="preserve">35</w:t>
      </w:r>
      <w:r>
        <w:t xml:space="preserve"> </w:t>
      </w:r>
      <w:r>
        <w:t xml:space="preserve">jest Autografem?</w:t>
      </w:r>
    </w:p>
    <w:p>
      <w:pPr>
        <w:pStyle w:val="FirstParagraph"/>
      </w:pPr>
      <w:r>
        <w:t xml:space="preserve">Jak mawiano w innym, dawno minionym świecie: „To pytanie za 64 dolary”. W części III przedstawiam dalsze obiektywne dowody na poparcie twierdzenia, że tekst</w:t>
      </w:r>
      <w:r>
        <w:t xml:space="preserve"> </w:t>
      </w:r>
      <w:r>
        <w:rPr>
          <w:bCs/>
          <w:b/>
        </w:rPr>
        <w:t xml:space="preserve">f</w:t>
      </w:r>
      <w:r>
        <w:rPr>
          <w:vertAlign w:val="superscript"/>
          <w:bCs/>
          <w:b/>
        </w:rPr>
        <w:t xml:space="preserve">35</w:t>
      </w:r>
      <w:r>
        <w:t xml:space="preserve"> </w:t>
      </w:r>
      <w:r>
        <w:t xml:space="preserve">jest starożytny i niezależny od wszystkich innych linii przekazu. Jeśli</w:t>
      </w:r>
      <w:r>
        <w:t xml:space="preserve"> </w:t>
      </w:r>
      <w:r>
        <w:rPr>
          <w:bCs/>
          <w:b/>
        </w:rPr>
        <w:t xml:space="preserve">f</w:t>
      </w:r>
      <w:r>
        <w:rPr>
          <w:vertAlign w:val="superscript"/>
          <w:bCs/>
          <w:b/>
        </w:rPr>
        <w:t xml:space="preserve">35</w:t>
      </w:r>
      <w:r>
        <w:t xml:space="preserve"> </w:t>
      </w:r>
      <w:r>
        <w:t xml:space="preserve">jest niezależna od wszystkich innych linii przekazu, musi sięgać Autografów. Jakie inne rozsądne wyjaśnienie istnieje? Jeśli ktoś ma odmienne wyjaśnienie, które lepiej niż moje (lub równie dobrze) tłumaczy dowody, chciałbym je zobaczyć.</w:t>
      </w:r>
      <w:r>
        <w:rPr>
          <w:rStyle w:val="FootnoteReference"/>
        </w:rPr>
        <w:footnoteReference w:id="341"/>
      </w:r>
    </w:p>
    <w:p>
      <w:pPr>
        <w:pStyle w:val="BodyText"/>
      </w:pPr>
      <w:r>
        <w:t xml:space="preserve">Odczyty Rodziny 35 są poświadczone przez wczesnych świadków, lecz bez wzorca, a zatem bez zależności. Istnieje jednak wiele setek takich odczytów. Jak więc archetyp</w:t>
      </w:r>
      <w:r>
        <w:t xml:space="preserve"> </w:t>
      </w:r>
      <w:r>
        <w:rPr>
          <w:bCs/>
          <w:b/>
        </w:rPr>
        <w:t xml:space="preserve">f</w:t>
      </w:r>
      <w:r>
        <w:rPr>
          <w:vertAlign w:val="superscript"/>
          <w:bCs/>
          <w:b/>
        </w:rPr>
        <w:t xml:space="preserve">35</w:t>
      </w:r>
      <w:r>
        <w:t xml:space="preserve"> </w:t>
      </w:r>
      <w:r>
        <w:t xml:space="preserve">wszedł w posiadanie wszystkich tych wczesnych odczytów? Czy jego twórca podróżował i zebrał kilka odczytów z Alefa, kilka z B, kilka z P</w:t>
      </w:r>
      <w:r>
        <w:rPr>
          <w:vertAlign w:val="superscript"/>
        </w:rPr>
        <w:t xml:space="preserve">45,66,75</w:t>
      </w:r>
      <w:r>
        <w:t xml:space="preserve">, kilka z W i D itd.? Czy taka sugestia nie jest jawnie niedorzeczna? Jedynym rozsądnym wnioskiem jest,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rPr>
          <w:u w:val="single"/>
        </w:rPr>
        <w:t xml:space="preserve">jest starożytny (a także niezależny)</w:t>
      </w:r>
      <w:r>
        <w:t xml:space="preserve">.</w:t>
      </w:r>
    </w:p>
    <w:p>
      <w:pPr>
        <w:pStyle w:val="BodyText"/>
      </w:pPr>
      <w:r>
        <w:t xml:space="preserve">Twierdzę, że wykazałem wyższość Rodziny 35 na podstawie</w:t>
      </w:r>
      <w:r>
        <w:t xml:space="preserve"> </w:t>
      </w:r>
      <w:r>
        <w:rPr>
          <w:u w:val="single"/>
        </w:rPr>
        <w:t xml:space="preserve">wielkości</w:t>
      </w:r>
      <w:r>
        <w:t xml:space="preserve"> </w:t>
      </w:r>
      <w:r>
        <w:t xml:space="preserve">(liczby przedstawicieli),</w:t>
      </w:r>
      <w:r>
        <w:t xml:space="preserve"> </w:t>
      </w:r>
      <w:r>
        <w:rPr>
          <w:u w:val="single"/>
        </w:rPr>
        <w:t xml:space="preserve">niezależności</w:t>
      </w:r>
      <w:r>
        <w:t xml:space="preserve">,</w:t>
      </w:r>
      <w:r>
        <w:t xml:space="preserve"> </w:t>
      </w:r>
      <w:r>
        <w:rPr>
          <w:u w:val="single"/>
        </w:rPr>
        <w:t xml:space="preserve">wieku</w:t>
      </w:r>
      <w:r>
        <w:t xml:space="preserve">,</w:t>
      </w:r>
      <w:r>
        <w:t xml:space="preserve"> </w:t>
      </w:r>
      <w:r>
        <w:rPr>
          <w:u w:val="single"/>
        </w:rPr>
        <w:t xml:space="preserve">rozmieszczenia geograficznego</w:t>
      </w:r>
      <w:r>
        <w:t xml:space="preserve">,</w:t>
      </w:r>
      <w:r>
        <w:t xml:space="preserve"> </w:t>
      </w:r>
      <w:r>
        <w:rPr>
          <w:u w:val="single"/>
        </w:rPr>
        <w:t xml:space="preserve">profilu</w:t>
      </w:r>
      <w:r>
        <w:t xml:space="preserve"> </w:t>
      </w:r>
      <w:r>
        <w:t xml:space="preserve">(ustalonego empirycznie),</w:t>
      </w:r>
      <w:r>
        <w:t xml:space="preserve"> </w:t>
      </w:r>
      <w:r>
        <w:rPr>
          <w:u w:val="single"/>
        </w:rPr>
        <w:t xml:space="preserve">staranności</w:t>
      </w:r>
      <w:r>
        <w:t xml:space="preserve"> </w:t>
      </w:r>
      <w:r>
        <w:t xml:space="preserve">(zobacz wyżej) oraz</w:t>
      </w:r>
      <w:r>
        <w:t xml:space="preserve"> </w:t>
      </w:r>
      <w:r>
        <w:rPr>
          <w:u w:val="single"/>
        </w:rPr>
        <w:t xml:space="preserve">zakresu</w:t>
      </w:r>
      <w:r>
        <w:t xml:space="preserve"> </w:t>
      </w:r>
      <w:r>
        <w:t xml:space="preserve">(wszystkie 27 ksiąg). Rzucam każdemu i wszystkim wyzwanie, aby uczynili to samo dla jakiejkolwiek innej linii przekazu!</w:t>
      </w:r>
    </w:p>
    <w:p>
      <w:pPr>
        <w:pStyle w:val="BodyText"/>
      </w:pPr>
      <w:r>
        <w:t xml:space="preserve">Jeśli zatem archetypalny tekst</w:t>
      </w:r>
      <w:r>
        <w:t xml:space="preserve"> </w:t>
      </w:r>
      <w:r>
        <w:rPr>
          <w:bCs/>
          <w:b/>
        </w:rPr>
        <w:t xml:space="preserve">f</w:t>
      </w:r>
      <w:r>
        <w:rPr>
          <w:vertAlign w:val="superscript"/>
          <w:bCs/>
          <w:b/>
        </w:rPr>
        <w:t xml:space="preserve">35</w:t>
      </w:r>
      <w:r>
        <w:t xml:space="preserve"> </w:t>
      </w:r>
      <w:r>
        <w:t xml:space="preserve">jest Autografem, spełniliśmy dwie spośród trzech możliwości Ehrmana dla każdego z siedmiu Listów Ogólnych. Utrzymuję, że w tym roku Pańskim rzeczywiście (nie teoretycznie) posiadamy precyzyjne oryginalne sformułowania Listu Jakuba, 1 Listu Piotra, 2 Listu Piotra, 1 Listu Jana, 2 Listu Jana, 3 Listu Jana i Listu Judy!! Co więcej, jestem przygotowany przedstawić tego samego rodzaju dowód dla każdej z 27 ksiąg tworzących nasz Nowy Testament. W konsekwencji utrzymuję, że w tym roku Pańskim rzeczywiście (nie teoretycznie) posiadamy precyzyjne oryginalne sformułowania całego Nowego Testamentu!!! Zostały one odtworzone w moim opublikowanym Tekście greckim,</w:t>
      </w:r>
      <w:r>
        <w:t xml:space="preserve"> </w:t>
      </w:r>
      <w:r>
        <w:rPr>
          <w:iCs/>
          <w:i/>
        </w:rPr>
        <w:t xml:space="preserve">The Greek New Testament According to Family 35</w:t>
      </w:r>
      <w:r>
        <w:t xml:space="preserve">.</w:t>
      </w:r>
    </w:p>
    <w:p>
      <w:pPr>
        <w:pStyle w:val="BodyText"/>
      </w:pPr>
      <w:r>
        <w:t xml:space="preserve">Argumentowałem wyżej, że zachowanie należy wykazywać księga po księdze, czy jednak nie byłoby interesujące, gdybyśmy mogli uczynić to samo dla całej części? Oczywiście już to uczyniliśmy — możliwość 2) Ehrmana, sformułowana ponownie, zachodzi dla całej części siedmiu ksiąg. Znalezienie jednego manuskryptu doskonałego w całej części siedmiu ksiąg byłoby nie tylko interesujące, lecz zdumiewające!</w:t>
      </w:r>
      <w:r>
        <w:rPr>
          <w:rStyle w:val="FootnoteReference"/>
        </w:rPr>
        <w:footnoteReference w:id="342"/>
      </w:r>
      <w:r>
        <w:t xml:space="preserve"> </w:t>
      </w:r>
      <w:r>
        <w:t xml:space="preserve">I ponownie taki mamy!! 2554 spełnia wymagania, podobnie jak egzemplarze 35 i 2723, a także praktycznie sam 2723. Jeszcze dwanaście lat temu nie śniłbym o czymś takim.</w:t>
      </w:r>
    </w:p>
    <w:p>
      <w:pPr>
        <w:pStyle w:val="BodyText"/>
      </w:pPr>
      <w:r>
        <w:t xml:space="preserve">Jeśli Bóg w sposób możliwy do wykazania zachował precyzyjne sformułowania tekstu przez dwa tysiąclecia, dość mocno sugeruje to, że przede wszystkim go natchnął — po co w przeciwnym razie się nim zajmować? Jeśli zaś zadał sobie tyle trudu, podejrzewam, że oczekuje od nas zwracania na niego ścisłej uwagi. Gdy staniemy przed Sprawiedliwym Sędzią — który jest również Stwórcą, Zbawicielem i Tym, który natchnął — zażąda On zdania sprawy na podstawie</w:t>
      </w:r>
      <w:r>
        <w:t xml:space="preserve"> </w:t>
      </w:r>
      <w:r>
        <w:rPr>
          <w:u w:val="single"/>
        </w:rPr>
        <w:t xml:space="preserve">obiektywnego autorytetu tego Tekstu</w:t>
      </w:r>
      <w:r>
        <w:t xml:space="preserve">.</w:t>
      </w:r>
    </w:p>
    <w:bookmarkEnd w:id="343"/>
    <w:bookmarkEnd w:id="344"/>
    <w:bookmarkStart w:id="498" w:name="część-iii-dalsze-rozważania"/>
    <w:p>
      <w:pPr>
        <w:pStyle w:val="Heading1"/>
      </w:pPr>
      <w:r>
        <w:t xml:space="preserve">CZĘŚĆ III: Dalsze rozważania</w:t>
      </w:r>
    </w:p>
    <w:bookmarkStart w:id="345" w:name="czy-f35-jest-starożytna"/>
    <w:p>
      <w:pPr>
        <w:pStyle w:val="Heading2"/>
      </w:pPr>
      <w:r>
        <w:t xml:space="preserve">Czy</w:t>
      </w:r>
      <w:r>
        <w:t xml:space="preserve"> </w:t>
      </w:r>
      <w:r>
        <w:rPr>
          <w:bCs/>
          <w:b/>
        </w:rPr>
        <w:t xml:space="preserve">f</w:t>
      </w:r>
      <w:r>
        <w:rPr>
          <w:vertAlign w:val="superscript"/>
          <w:bCs/>
          <w:b/>
        </w:rPr>
        <w:t xml:space="preserve">35</w:t>
      </w:r>
      <w:r>
        <w:t xml:space="preserve"> </w:t>
      </w:r>
      <w:r>
        <w:t xml:space="preserve">jest starożytna?</w:t>
      </w:r>
    </w:p>
    <w:p>
      <w:pPr>
        <w:pStyle w:val="FirstParagraph"/>
      </w:pPr>
      <w:r>
        <w:t xml:space="preserve">Otrzymałem informację zwrotną mniej więcej takiej treści: „Dobrze, przedstawione przez pana dowody wskazują, że</w:t>
      </w:r>
      <w:r>
        <w:t xml:space="preserve"> </w:t>
      </w:r>
      <w:r>
        <w:rPr>
          <w:bCs/>
          <w:b/>
        </w:rPr>
        <w:t xml:space="preserve">f</w:t>
      </w:r>
      <w:r>
        <w:rPr>
          <w:vertAlign w:val="superscript"/>
          <w:bCs/>
          <w:b/>
        </w:rPr>
        <w:t xml:space="preserve">35</w:t>
      </w:r>
      <w:r>
        <w:t xml:space="preserve"> </w:t>
      </w:r>
      <w:r>
        <w:t xml:space="preserve">jest niezależna, lecz nie dowodzą, że jest starożytna” (twierdzę jedno i drugie). Uważam, że punkt ten zasługuje na odrobinę „przeżucia”. Na przykład minuskuły 35, 2587 i 2723 są na ogół datowane na XI wiek, chociaż minuskuł 1897 jest na ogół datowany na XII wiek, skolacjonowałem go i muszę powiedzieć, że wygląda mi na starszy, równie stary jak pozostałe trzy, dlatego przypisuję go także do XI wieku. A co z ich pochodzeniem? 35 znajduje się obecnie w Paryżu, lecz został pozyskany na obszarze egejskim (18, również znajdujący się w Paryżu, został sporządzony w Konstantynopolu), 1897 znajduje się w Jerozolimie i przypuszczalnie został tam sporządzony, 2587 znajduje się w Watykanie i równie dobrze mógł zostać tam sporządzony, 2723 znajduje się w Trikali i bez wątpienia został tam sporządzony.</w:t>
      </w:r>
    </w:p>
    <w:p>
      <w:pPr>
        <w:pStyle w:val="BodyText"/>
      </w:pPr>
      <w:r>
        <w:t xml:space="preserve">Rozważę teraz ich wyniki w siedmiu Listach Ogólnych (korpusie o wystarczającej wielkości i różnorodności, aby wykluczyć rozsądne zakwestionowanie — dokonałem pełnego kolacjonowania wszystkich czterech manuskryptów w całym tym korpusie). O ile potrafię stwierdzić, egzemplarze 35 i 2723 były doskonałymi przedstawicielami domniemanego archetypu rodziny — ani jednego wariantu we wszystkich siedmiu księgach. Egzemplarz 1897 uczestniczy w grupie odłamowej (w obrębie rodziny) w trzech miejscach, bez dalszych wariantów. Egzemplarz 2587 uczestniczy w grupie odłamowej w sześciu miejscach, bez dalszych wariantów. Czterej mnisi, którzy sporządzili nasze cztery kopie z XI wieku, patrzyli więc każdy na doskonałego (praktycznie) przedstawiciela archetypalnego tekstu rodziny (</w:t>
      </w:r>
      <w:r>
        <w:rPr>
          <w:bCs/>
          <w:b/>
        </w:rPr>
        <w:t xml:space="preserve">f</w:t>
      </w:r>
      <w:r>
        <w:rPr>
          <w:vertAlign w:val="superscript"/>
          <w:bCs/>
          <w:b/>
        </w:rPr>
        <w:t xml:space="preserve">35</w:t>
      </w:r>
      <w:r>
        <w:t xml:space="preserve">). Jak stare były jednak te egzemplarze?</w:t>
      </w:r>
    </w:p>
    <w:p>
      <w:pPr>
        <w:pStyle w:val="BodyText"/>
      </w:pPr>
      <w:r>
        <w:t xml:space="preserve">Gdyby manuskrypt nie był w stałym lub regularnym użyciu, bez trudu przetrwałby stulecie lub więcej, nawet kilka. Czy greckie manuskrypty w Rzymie były w tamtym czasie zapewne często używane? Prawdopodobnie nie, egzemplarz 2587 mógł więc bez trudu być uncjałem. A Jerozolima? Szanse na częstsze używanie były tam prawdopodobnie niewiele większe niż w Rzymie. W Konstantynopolu (35?) i Trikali greka z pewnością nadal była używana. Czy jednak wiemy, w jakim stopniu chrześcijanie rzeczywiście czytali Pismo w tamtych latach? Sądzę, że możemy rozsądnie założyć, iż egzemplarze były co najmniej o stulecie starsze niż ich kopie. 1897 i 2587 przyłączają się jednak do grup odłamowych, patrzymy więc na pewną historię przekazu — między naszym egzemplarzem a archetypem musi znajdować się rodzic odłamu.</w:t>
      </w:r>
    </w:p>
    <w:p>
      <w:pPr>
        <w:pStyle w:val="BodyText"/>
      </w:pPr>
      <w:r>
        <w:t xml:space="preserve">Egzemplarze pochodziły więc przypuszczalnie najpóźniej z X wieku. Jeśli dopuścimy jedno pokolenie na powstanie odłamów, pokolenie to pochodziłoby najpóźniej z IX wieku, a archetyp najpóźniej z VIII. (Podałem absolutne minimum, lecz oczywiście mogła istnieć dowolna liczba dalszych pokoleń pośrednich, co umieszczałoby archetyp znacznie wcześniej). Jakie jednak są konsekwencje istnienia doskonałych przedstawicieli rodziny w X wieku w czterech różnych miejscach? Jak w X wieku mogły istnieć</w:t>
      </w:r>
      <w:r>
        <w:t xml:space="preserve"> </w:t>
      </w:r>
      <w:r>
        <w:rPr>
          <w:bCs/>
          <w:b/>
        </w:rPr>
        <w:t xml:space="preserve">doskonałe</w:t>
      </w:r>
      <w:r>
        <w:t xml:space="preserve"> </w:t>
      </w:r>
      <w:r>
        <w:t xml:space="preserve">kopie</w:t>
      </w:r>
      <w:r>
        <w:t xml:space="preserve"> </w:t>
      </w:r>
      <w:r>
        <w:rPr>
          <w:iCs/>
          <w:i/>
        </w:rPr>
        <w:t xml:space="preserve">czegokolwiek</w:t>
      </w:r>
      <w:r>
        <w:t xml:space="preserve">? Faktem jest, że w X wieku w różnych miejscach istniało czterech doskonałych (praktycznie) przedstawicieli archetypu</w:t>
      </w:r>
      <w:r>
        <w:t xml:space="preserve"> </w:t>
      </w:r>
      <w:r>
        <w:rPr>
          <w:bCs/>
          <w:b/>
        </w:rPr>
        <w:t xml:space="preserve">f</w:t>
      </w:r>
      <w:r>
        <w:rPr>
          <w:vertAlign w:val="superscript"/>
          <w:bCs/>
          <w:b/>
        </w:rPr>
        <w:t xml:space="preserve">35</w:t>
      </w:r>
      <w:r>
        <w:t xml:space="preserve">. Faktem jest również, że od archetypu dzieliło ich co najmniej jedno pokolenie pośrednie. Jak zatem możemy ich wyjaśnić?</w:t>
      </w:r>
    </w:p>
    <w:p>
      <w:pPr>
        <w:pStyle w:val="BodyText"/>
      </w:pPr>
      <w:r>
        <w:t xml:space="preserve">Czy ktoś spreparował archetyp</w:t>
      </w:r>
      <w:r>
        <w:t xml:space="preserve"> </w:t>
      </w:r>
      <w:r>
        <w:rPr>
          <w:bCs/>
          <w:b/>
        </w:rPr>
        <w:t xml:space="preserve">f</w:t>
      </w:r>
      <w:r>
        <w:rPr>
          <w:vertAlign w:val="superscript"/>
          <w:bCs/>
          <w:b/>
        </w:rPr>
        <w:t xml:space="preserve">35</w:t>
      </w:r>
      <w:r>
        <w:t xml:space="preserve"> </w:t>
      </w:r>
      <w:r>
        <w:t xml:space="preserve">w VIII wieku? Kto? Dlaczego? I jak mógł on rozprzestrzenić się po świecie śródziemnomorskim? Manuskrypty</w:t>
      </w:r>
      <w:r>
        <w:t xml:space="preserve"> </w:t>
      </w:r>
      <w:r>
        <w:rPr>
          <w:bCs/>
          <w:b/>
        </w:rPr>
        <w:t xml:space="preserve">f</w:t>
      </w:r>
      <w:r>
        <w:rPr>
          <w:vertAlign w:val="superscript"/>
          <w:bCs/>
          <w:b/>
        </w:rPr>
        <w:t xml:space="preserve">35</w:t>
      </w:r>
      <w:r>
        <w:t xml:space="preserve"> </w:t>
      </w:r>
      <w:r>
        <w:t xml:space="preserve">znajdują się wszędzie — w Jerozolimie, na Synaju, w Atenach, Konstantynopolu, Trikali, Kalawricie, Ochrydzie, na Patmos, w Karditsie, Rzymie, Sparcie, Meteorach, Wenecji, na Lesbos i w większości klasztorów na górze Athos (które reprezentowały różne „denominacje”) itd. (Gdyby na Cyprze istniało sześć klasztorów — jeden anglikański, jeden Zborów Bożych, jeden baptystyczny, jeden Kościoła Chrystusowego, jeden metodystyczny i jeden prezbiteriański — w jakim stopniu porównywałyby ze sobą notatki? Czy natura ludzka się zmieniła?). Masa bizantyjska (</w:t>
      </w:r>
      <w:r>
        <w:rPr>
          <w:bCs/>
          <w:b/>
        </w:rPr>
        <w:t xml:space="preserve">K</w:t>
      </w:r>
      <w:r>
        <w:rPr>
          <w:vertAlign w:val="superscript"/>
          <w:bCs/>
          <w:b/>
        </w:rPr>
        <w:t xml:space="preserve">x</w:t>
      </w:r>
      <w:r>
        <w:t xml:space="preserve">) kontrolowała jednak co najmniej 60% strumienia przekazu (</w:t>
      </w:r>
      <w:r>
        <w:rPr>
          <w:bCs/>
          <w:b/>
        </w:rPr>
        <w:t xml:space="preserve">f</w:t>
      </w:r>
      <w:r>
        <w:rPr>
          <w:vertAlign w:val="superscript"/>
          <w:bCs/>
          <w:b/>
        </w:rPr>
        <w:t xml:space="preserve">35</w:t>
      </w:r>
      <w:r>
        <w:t xml:space="preserve"> </w:t>
      </w:r>
      <w:r>
        <w:t xml:space="preserve">= około 16%), jak coś spreparowanego w VIII wieku mogło rozprzestrzenić się tak daleko, tak szybko i z taką czystością? Jak wzbudziło taką lojalność? Wszystko, co wiemy o historii przekazywania Tekstu, odpowiada, że nie mogło i tego nie zrobiło. Po prostu niemożliwe jest, aby</w:t>
      </w:r>
      <w:r>
        <w:t xml:space="preserve"> </w:t>
      </w:r>
      <w:r>
        <w:rPr>
          <w:bCs/>
          <w:b/>
        </w:rPr>
        <w:t xml:space="preserve">f</w:t>
      </w:r>
      <w:r>
        <w:rPr>
          <w:vertAlign w:val="superscript"/>
          <w:bCs/>
          <w:b/>
        </w:rPr>
        <w:t xml:space="preserve">35</w:t>
      </w:r>
      <w:r>
        <w:t xml:space="preserve"> </w:t>
      </w:r>
      <w:r>
        <w:t xml:space="preserve">została „spreparowana” w którymkolwiek momencie po IV wieku. Wierność, z jaką kopiowano</w:t>
      </w:r>
      <w:r>
        <w:t xml:space="preserve"> </w:t>
      </w:r>
      <w:r>
        <w:rPr>
          <w:bCs/>
          <w:b/>
        </w:rPr>
        <w:t xml:space="preserve">f</w:t>
      </w:r>
      <w:r>
        <w:rPr>
          <w:vertAlign w:val="superscript"/>
          <w:bCs/>
          <w:b/>
        </w:rPr>
        <w:t xml:space="preserve">35</w:t>
      </w:r>
      <w:r>
        <w:t xml:space="preserve"> </w:t>
      </w:r>
      <w:r>
        <w:t xml:space="preserve">— poziom wierności wobec</w:t>
      </w:r>
      <w:r>
        <w:t xml:space="preserve"> </w:t>
      </w:r>
      <w:r>
        <w:rPr>
          <w:bCs/>
          <w:b/>
        </w:rPr>
        <w:t xml:space="preserve">f</w:t>
      </w:r>
      <w:r>
        <w:rPr>
          <w:vertAlign w:val="superscript"/>
          <w:bCs/>
          <w:b/>
        </w:rPr>
        <w:t xml:space="preserve">35</w:t>
      </w:r>
      <w:r>
        <w:t xml:space="preserve"> </w:t>
      </w:r>
      <w:r>
        <w:t xml:space="preserve">jest znacznie wyższy niż wobec jakiejkolwiek innej linii przekazu — wskazuje, że nigdy nie została „spreparowana”, sięga Oryginału.</w:t>
      </w:r>
    </w:p>
    <w:p>
      <w:pPr>
        <w:pStyle w:val="BodyText"/>
      </w:pPr>
      <w:r>
        <w:t xml:space="preserve">Chociaż jednak wykazano, że</w:t>
      </w:r>
      <w:r>
        <w:t xml:space="preserve"> </w:t>
      </w:r>
      <w:r>
        <w:rPr>
          <w:bCs/>
          <w:b/>
        </w:rPr>
        <w:t xml:space="preserve">f</w:t>
      </w:r>
      <w:r>
        <w:rPr>
          <w:vertAlign w:val="superscript"/>
          <w:bCs/>
          <w:b/>
        </w:rPr>
        <w:t xml:space="preserve">35</w:t>
      </w:r>
      <w:r>
        <w:t xml:space="preserve"> </w:t>
      </w:r>
      <w:r>
        <w:t xml:space="preserve">jest niezależna od</w:t>
      </w:r>
      <w:r>
        <w:t xml:space="preserve"> </w:t>
      </w:r>
      <w:r>
        <w:rPr>
          <w:bCs/>
          <w:b/>
        </w:rPr>
        <w:t xml:space="preserve">K</w:t>
      </w:r>
      <w:r>
        <w:rPr>
          <w:vertAlign w:val="superscript"/>
          <w:bCs/>
          <w:b/>
        </w:rPr>
        <w:t xml:space="preserve">x</w:t>
      </w:r>
      <w:r>
        <w:t xml:space="preserve"> </w:t>
      </w:r>
      <w:r>
        <w:t xml:space="preserve">(masy bizantyjskiej), są one naprawdę bardzo zbliżone i muszą mieć wspólne źródło. (Powiedziałbym, że</w:t>
      </w:r>
      <w:r>
        <w:t xml:space="preserve"> </w:t>
      </w:r>
      <w:r>
        <w:rPr>
          <w:bCs/>
          <w:b/>
        </w:rPr>
        <w:t xml:space="preserve">K</w:t>
      </w:r>
      <w:r>
        <w:rPr>
          <w:vertAlign w:val="superscript"/>
          <w:bCs/>
          <w:b/>
        </w:rPr>
        <w:t xml:space="preserve">x</w:t>
      </w:r>
      <w:r>
        <w:t xml:space="preserve"> </w:t>
      </w:r>
      <w:r>
        <w:t xml:space="preserve">reprezentuje odejście od</w:t>
      </w:r>
      <w:r>
        <w:t xml:space="preserve"> </w:t>
      </w:r>
      <w:r>
        <w:rPr>
          <w:bCs/>
          <w:b/>
        </w:rPr>
        <w:t xml:space="preserve">f</w:t>
      </w:r>
      <w:r>
        <w:rPr>
          <w:vertAlign w:val="superscript"/>
          <w:bCs/>
          <w:b/>
        </w:rPr>
        <w:t xml:space="preserve">35</w:t>
      </w:r>
      <w:r>
        <w:t xml:space="preserve">, a zatem</w:t>
      </w:r>
      <w:r>
        <w:t xml:space="preserve"> </w:t>
      </w:r>
      <w:r>
        <w:rPr>
          <w:bCs/>
          <w:b/>
        </w:rPr>
        <w:t xml:space="preserve">f</w:t>
      </w:r>
      <w:r>
        <w:rPr>
          <w:vertAlign w:val="superscript"/>
          <w:bCs/>
          <w:b/>
        </w:rPr>
        <w:t xml:space="preserve">35</w:t>
      </w:r>
      <w:r>
        <w:t xml:space="preserve"> </w:t>
      </w:r>
      <w:r>
        <w:t xml:space="preserve">jest starsza). W Listach Ogólnych</w:t>
      </w:r>
      <w:r>
        <w:t xml:space="preserve"> </w:t>
      </w:r>
      <w:r>
        <w:rPr>
          <w:bCs/>
          <w:b/>
        </w:rPr>
        <w:t xml:space="preserve">f</w:t>
      </w:r>
      <w:r>
        <w:rPr>
          <w:vertAlign w:val="superscript"/>
          <w:bCs/>
          <w:b/>
        </w:rPr>
        <w:t xml:space="preserve">35</w:t>
      </w:r>
      <w:r>
        <w:t xml:space="preserve"> </w:t>
      </w:r>
      <w:r>
        <w:t xml:space="preserve">nie różni się zbytnio od Tekstu Większościowego H-F. Na przykład w Liście Jakuba</w:t>
      </w:r>
      <w:r>
        <w:t xml:space="preserve"> </w:t>
      </w:r>
      <w:r>
        <w:rPr>
          <w:bCs/>
          <w:b/>
        </w:rPr>
        <w:t xml:space="preserve">f</w:t>
      </w:r>
      <w:r>
        <w:rPr>
          <w:vertAlign w:val="superscript"/>
          <w:bCs/>
          <w:b/>
        </w:rPr>
        <w:t xml:space="preserve">35</w:t>
      </w:r>
      <w:r>
        <w:t xml:space="preserve"> </w:t>
      </w:r>
      <w:r>
        <w:t xml:space="preserve">różni się od H-F dziewiętnaście razy, z czego tylko dwa wpływają na znaczenie (nie w poważnym stopniu). Jeśli</w:t>
      </w:r>
      <w:r>
        <w:t xml:space="preserve"> </w:t>
      </w:r>
      <w:r>
        <w:rPr>
          <w:bCs/>
          <w:b/>
        </w:rPr>
        <w:t xml:space="preserve">f</w:t>
      </w:r>
      <w:r>
        <w:rPr>
          <w:vertAlign w:val="superscript"/>
          <w:bCs/>
          <w:b/>
        </w:rPr>
        <w:t xml:space="preserve">35</w:t>
      </w:r>
      <w:r>
        <w:t xml:space="preserve"> </w:t>
      </w:r>
      <w:r>
        <w:t xml:space="preserve">i</w:t>
      </w:r>
      <w:r>
        <w:t xml:space="preserve"> </w:t>
      </w:r>
      <w:r>
        <w:rPr>
          <w:bCs/>
          <w:b/>
        </w:rPr>
        <w:t xml:space="preserve">K</w:t>
      </w:r>
      <w:r>
        <w:rPr>
          <w:vertAlign w:val="superscript"/>
          <w:bCs/>
          <w:b/>
        </w:rPr>
        <w:t xml:space="preserve">x</w:t>
      </w:r>
      <w:r>
        <w:t xml:space="preserve"> </w:t>
      </w:r>
      <w:r>
        <w:t xml:space="preserve">mają wspólne źródło, lecz</w:t>
      </w:r>
      <w:r>
        <w:t xml:space="preserve"> </w:t>
      </w:r>
      <w:r>
        <w:rPr>
          <w:bCs/>
          <w:b/>
        </w:rPr>
        <w:t xml:space="preserve">f</w:t>
      </w:r>
      <w:r>
        <w:rPr>
          <w:vertAlign w:val="superscript"/>
          <w:bCs/>
          <w:b/>
        </w:rPr>
        <w:t xml:space="preserve">35</w:t>
      </w:r>
      <w:r>
        <w:t xml:space="preserve"> </w:t>
      </w:r>
      <w:r>
        <w:t xml:space="preserve">jest niezależna od</w:t>
      </w:r>
      <w:r>
        <w:t xml:space="preserve"> </w:t>
      </w:r>
      <w:r>
        <w:rPr>
          <w:bCs/>
          <w:b/>
        </w:rPr>
        <w:t xml:space="preserve">K</w:t>
      </w:r>
      <w:r>
        <w:rPr>
          <w:vertAlign w:val="superscript"/>
          <w:bCs/>
          <w:b/>
        </w:rPr>
        <w:t xml:space="preserve">x</w:t>
      </w:r>
      <w:r>
        <w:t xml:space="preserve">, wówczas</w:t>
      </w:r>
      <w:r>
        <w:t xml:space="preserve"> </w:t>
      </w:r>
      <w:r>
        <w:rPr>
          <w:bCs/>
          <w:b/>
        </w:rPr>
        <w:t xml:space="preserve">f</w:t>
      </w:r>
      <w:r>
        <w:rPr>
          <w:vertAlign w:val="superscript"/>
          <w:bCs/>
          <w:b/>
        </w:rPr>
        <w:t xml:space="preserve">35</w:t>
      </w:r>
      <w:r>
        <w:t xml:space="preserve"> </w:t>
      </w:r>
      <w:r>
        <w:t xml:space="preserve">musi być co najmniej tak stara jak</w:t>
      </w:r>
      <w:r>
        <w:t xml:space="preserve"> </w:t>
      </w:r>
      <w:r>
        <w:rPr>
          <w:bCs/>
          <w:b/>
        </w:rPr>
        <w:t xml:space="preserve">K</w:t>
      </w:r>
      <w:r>
        <w:rPr>
          <w:vertAlign w:val="superscript"/>
          <w:bCs/>
          <w:b/>
        </w:rPr>
        <w:t xml:space="preserve">x</w:t>
      </w:r>
      <w:r>
        <w:t xml:space="preserve"> </w:t>
      </w:r>
      <w:r>
        <w:t xml:space="preserve">— Q.E.D. (</w:t>
      </w:r>
      <w:r>
        <w:rPr>
          <w:iCs/>
          <w:i/>
        </w:rPr>
        <w:t xml:space="preserve">quod erat demonstrandum</w:t>
      </w:r>
      <w:r>
        <w:t xml:space="preserve"> </w:t>
      </w:r>
      <w:r>
        <w:t xml:space="preserve">dla tych, którzy czytają po łacinie, „czego należało dowieść” dla pozostałych, a jeszcze prostszym angielskim: „punkt, którego należało dowieść, został dowiedziony”).</w:t>
      </w:r>
    </w:p>
    <w:p>
      <w:pPr>
        <w:pStyle w:val="BodyText"/>
      </w:pPr>
      <w:r>
        <w:t xml:space="preserve">Co więcej, jeśli</w:t>
      </w:r>
      <w:r>
        <w:t xml:space="preserve"> </w:t>
      </w:r>
      <w:r>
        <w:rPr>
          <w:bCs/>
          <w:b/>
        </w:rPr>
        <w:t xml:space="preserve">f</w:t>
      </w:r>
      <w:r>
        <w:rPr>
          <w:vertAlign w:val="superscript"/>
          <w:bCs/>
          <w:b/>
        </w:rPr>
        <w:t xml:space="preserve">35</w:t>
      </w:r>
      <w:r>
        <w:t xml:space="preserve"> </w:t>
      </w:r>
      <w:r>
        <w:t xml:space="preserve">jest niezależna od wszystkich innych znanych linii przekazu, musi sięgać Autografów. Jeśli została stworzona z istniejących materiałów w którymś punkcie linii, jest od tych materiałów zależna i powinno być możliwe wykazanie tej zależności. O ile mi wiadomo, żadnej takiej zależności nie wykazano, a w takim zakresie, w jakim przeanalizowałem dowody, nie można jej wykazać.</w:t>
      </w:r>
    </w:p>
    <w:bookmarkEnd w:id="345"/>
    <w:bookmarkStart w:id="348" w:name="znaczenie-obiektywnych-dowodów"/>
    <w:p>
      <w:pPr>
        <w:pStyle w:val="Heading2"/>
      </w:pPr>
      <w:r>
        <w:t xml:space="preserve">Znaczenie obiektywnych dowodów</w:t>
      </w:r>
    </w:p>
    <w:p>
      <w:pPr>
        <w:pStyle w:val="FirstParagraph"/>
      </w:pPr>
      <w:r>
        <w:t xml:space="preserve">Nawet gdy manuskrypty są kolacjonowane przez osoby o negatywnym nastawieniu (nastawieniu przeciwko manuskryptom), jeśli dokładnie zapiszą kolacjonowanie, rezultat jest wartościowy. Manuskrypty tekstu ciągłego są głównymi świadkami Tekstu Nowego Testamentu. Aby móc prześledzić historię przekazu poszczególnych odczytów, potrzebujemy pełnych kolacjonowań dużej liczby zachowanych manuskryptów, im więcej, tym lepiej. Chcę zilustrować to, co stwierdziłem, kolacjonowaniami</w:t>
      </w:r>
      <w:r>
        <w:t xml:space="preserve"> </w:t>
      </w:r>
      <w:r>
        <w:rPr>
          <w:iCs/>
          <w:i/>
        </w:rPr>
        <w:t xml:space="preserve">Editio Critica Maior</w:t>
      </w:r>
      <w:r>
        <w:t xml:space="preserve"> </w:t>
      </w:r>
      <w:r>
        <w:t xml:space="preserve">(</w:t>
      </w:r>
      <w:r>
        <w:rPr>
          <w:iCs/>
          <w:i/>
        </w:rPr>
        <w:t xml:space="preserve">ECM</w:t>
      </w:r>
      <w:r>
        <w:t xml:space="preserve">) dla Listu Jakuba i 1 Listu Jana. Dokonano ich, gdy Kurt Aland nadal kierował Instytutem Badań Tekstu Nowego Testamentu w Münster (</w:t>
      </w:r>
      <w:r>
        <w:rPr>
          <w:iCs/>
          <w:i/>
        </w:rPr>
        <w:t xml:space="preserve">INTF</w:t>
      </w:r>
      <w:r>
        <w:t xml:space="preserve">), a praca odzwierciedla jego nastawienie przeciwko manuskryptom bizantyjskim. (Do czasu opublikowania</w:t>
      </w:r>
      <w:r>
        <w:t xml:space="preserve"> </w:t>
      </w:r>
      <w:r>
        <w:rPr>
          <w:iCs/>
          <w:i/>
        </w:rPr>
        <w:t xml:space="preserve">ECM</w:t>
      </w:r>
      <w:r>
        <w:t xml:space="preserve"> </w:t>
      </w:r>
      <w:r>
        <w:t xml:space="preserve">Listów Ogólnych w 1997 roku Kurt zmarł, ponieważ jednak jego żona Barbara zastąpiła go na stanowisku dyrektora Instytutu,</w:t>
      </w:r>
      <w:r>
        <w:t xml:space="preserve"> </w:t>
      </w:r>
      <w:r>
        <w:rPr>
          <w:iCs/>
          <w:i/>
        </w:rPr>
        <w:t xml:space="preserve">INTF</w:t>
      </w:r>
      <w:r>
        <w:t xml:space="preserve">, orientacja teoretyczna nie uległa zmianie).</w:t>
      </w:r>
      <w:r>
        <w:rPr>
          <w:rStyle w:val="FootnoteReference"/>
        </w:rPr>
        <w:footnoteReference w:id="346"/>
      </w:r>
    </w:p>
    <w:p>
      <w:pPr>
        <w:pStyle w:val="BodyText"/>
      </w:pPr>
      <w:r>
        <w:t xml:space="preserve">Do maja 1988 roku Kurt i Barbara Aland wykluczyli „ponad 1175 minuskułów” (s. 138) jako wykazujących „czysto lub przeważnie bizantyjski tekst”. Następnie mówią: „wszystkie są nieistotne dla krytyki tekstu, przynajmniej dla ustalenia oryginalnej formy tekstu i jego rozwoju we wczesnych wiekach” (s. 142). (</w:t>
      </w:r>
      <w:r>
        <w:rPr>
          <w:iCs/>
          <w:i/>
        </w:rPr>
        <w:t xml:space="preserve">The Text of the New Testament</w:t>
      </w:r>
      <w:r>
        <w:t xml:space="preserve">, Eerdmans, 1989). To, że nastawienie to przeważało w</w:t>
      </w:r>
      <w:r>
        <w:t xml:space="preserve"> </w:t>
      </w:r>
      <w:r>
        <w:rPr>
          <w:iCs/>
          <w:i/>
        </w:rPr>
        <w:t xml:space="preserve">Editio Critica Maior</w:t>
      </w:r>
      <w:r>
        <w:t xml:space="preserve"> </w:t>
      </w:r>
      <w:r>
        <w:t xml:space="preserve">dla Listu Jakuba, jest zupełnie jasne. Bez przeprosin redaktorzy wykluczyli około 340 spośród 522 ocenianych manuskryptów, ponieważ „poświadczają Tekst Większościowy w co najmniej 90% miejsc testowych” (s. 12). „Miejsca testowe” odnoszą się do 98 zestawów wariantów zaczerpniętych z siedmiu Listów Ogólnych i przedstawionych w</w:t>
      </w:r>
      <w:r>
        <w:t xml:space="preserve"> </w:t>
      </w:r>
      <w:r>
        <w:rPr>
          <w:iCs/>
          <w:i/>
        </w:rPr>
        <w:t xml:space="preserve">Text und Textwert</w:t>
      </w:r>
      <w:r>
        <w:t xml:space="preserve">. Uwzględnili jednak GA 18 i 35, aby reprezentowały</w:t>
      </w:r>
      <w:r>
        <w:t xml:space="preserve"> </w:t>
      </w:r>
      <w:r>
        <w:rPr>
          <w:bCs/>
          <w:b/>
        </w:rPr>
        <w:t xml:space="preserve">K</w:t>
      </w:r>
      <w:r>
        <w:rPr>
          <w:vertAlign w:val="superscript"/>
          <w:bCs/>
          <w:b/>
        </w:rPr>
        <w:t xml:space="preserve">r</w:t>
      </w:r>
      <w:r>
        <w:t xml:space="preserve"> </w:t>
      </w:r>
      <w:r>
        <w:t xml:space="preserve">Sodena (moją Rodzinę 35), oraz GA 1, 424, 607, 617 i 2423, aby reprezentowały rdzeń wykluczonych manuskryptów bizantyjskich. Poza tymi siedmioma klasyfikują kolejnych 70 (spośród uwzględnionych manuskryptów) jako bizantyjskie, choć znajdujące się poniżej progu 90%.</w:t>
      </w:r>
    </w:p>
    <w:p>
      <w:pPr>
        <w:pStyle w:val="BodyText"/>
      </w:pPr>
      <w:r>
        <w:t xml:space="preserve">Dlaczego więc mówię, że ich praca jest wartościowa pomimo ich nastawienia? Spieszę z wyjaśnieniem. W aparacie krytycznym mojego</w:t>
      </w:r>
      <w:r>
        <w:t xml:space="preserve"> </w:t>
      </w:r>
      <w:r>
        <w:rPr>
          <w:iCs/>
          <w:i/>
        </w:rPr>
        <w:t xml:space="preserve">The Greek New Testament According to Family 35</w:t>
      </w:r>
      <w:r>
        <w:t xml:space="preserve"> </w:t>
      </w:r>
      <w:r>
        <w:t xml:space="preserve">wymieniam osiem odczytów</w:t>
      </w:r>
      <w:r>
        <w:t xml:space="preserve"> </w:t>
      </w:r>
      <w:r>
        <w:rPr>
          <w:bCs/>
          <w:b/>
        </w:rPr>
        <w:t xml:space="preserve">f</w:t>
      </w:r>
      <w:r>
        <w:rPr>
          <w:vertAlign w:val="superscript"/>
          <w:bCs/>
          <w:b/>
        </w:rPr>
        <w:t xml:space="preserve">35</w:t>
      </w:r>
      <w:r>
        <w:t xml:space="preserve"> </w:t>
      </w:r>
      <w:r>
        <w:t xml:space="preserve">(dla Listu Jakuba) jako mających ogólne poświadczenie wynoszące 30% lub mniej, co czyniłoby je mniej lub bardziej diagnostycznymi odczytami</w:t>
      </w:r>
      <w:r>
        <w:t xml:space="preserve"> </w:t>
      </w:r>
      <w:r>
        <w:rPr>
          <w:bCs/>
          <w:b/>
        </w:rPr>
        <w:t xml:space="preserve">f</w:t>
      </w:r>
      <w:r>
        <w:rPr>
          <w:vertAlign w:val="superscript"/>
          <w:bCs/>
          <w:b/>
        </w:rPr>
        <w:t xml:space="preserve">35</w:t>
      </w:r>
      <w:r>
        <w:t xml:space="preserve">. Rodzina 35 reprezentuje około 16% ogółu zachowanych manuskryptów, lecz prawie nigdy nie jest całkowicie sama. Jak jednak pokazano niżej, rozproszenie innych manuskryptów prawie nigdy nie jest takie samo. Pytam więc:</w:t>
      </w:r>
      <w:r>
        <w:t xml:space="preserve"> </w:t>
      </w:r>
      <w:r>
        <w:rPr>
          <w:bCs/>
          <w:b/>
        </w:rPr>
        <w:t xml:space="preserve">Jak należy wyjaśnić to zróżnicowane rozproszenie?</w:t>
      </w:r>
      <w:r>
        <w:t xml:space="preserve"> </w:t>
      </w:r>
      <w:r>
        <w:t xml:space="preserve">W poniższej tabeli osiem odczytów tworzy pierwszy wiersz, a pod każdym odczytem wymieniam manuskrypty, które według</w:t>
      </w:r>
      <w:r>
        <w:t xml:space="preserve"> </w:t>
      </w:r>
      <w:r>
        <w:rPr>
          <w:iCs/>
          <w:i/>
        </w:rPr>
        <w:t xml:space="preserve">ECM</w:t>
      </w:r>
      <w:r>
        <w:t xml:space="preserve"> </w:t>
      </w:r>
      <w:r>
        <w:t xml:space="preserve">go poświadczają. Ponieważ GA 18 i 35 mają je wszystkie, oczywiście nie zostały wymienione. Konsekwencje omówię niżej, najpierw jednak dowody (numery z gwiazdką sklasyfikowano jako bizantyjskie):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center"/>
            </w:pPr>
            <w:r>
              <w:t xml:space="preserve">3,4</w:t>
            </w:r>
            <w:r>
              <w:t xml:space="preserve">ιθυνοντος</w:t>
            </w:r>
          </w:p>
        </w:tc>
        <w:tc>
          <w:tcPr/>
          <w:p>
            <w:pPr>
              <w:pStyle w:val="Compact"/>
              <w:jc w:val="center"/>
            </w:pPr>
            <w:r>
              <w:t xml:space="preserve">1,23</w:t>
            </w:r>
            <w:r>
              <w:t xml:space="preserve">νομου</w:t>
            </w:r>
          </w:p>
        </w:tc>
        <w:tc>
          <w:tcPr/>
          <w:p>
            <w:pPr>
              <w:pStyle w:val="Compact"/>
              <w:jc w:val="center"/>
            </w:pPr>
            <w:r>
              <w:t xml:space="preserve">4,14</w:t>
            </w:r>
            <w:r>
              <w:t xml:space="preserve">ημων</w:t>
            </w:r>
          </w:p>
        </w:tc>
        <w:tc>
          <w:tcPr/>
          <w:p>
            <w:pPr>
              <w:pStyle w:val="Compact"/>
              <w:jc w:val="center"/>
            </w:pPr>
            <w:r>
              <w:t xml:space="preserve">4,14</w:t>
            </w:r>
            <w:r>
              <w:t xml:space="preserve">επειτα</w:t>
            </w:r>
          </w:p>
        </w:tc>
        <w:tc>
          <w:tcPr/>
          <w:p>
            <w:pPr>
              <w:pStyle w:val="Compact"/>
              <w:jc w:val="center"/>
            </w:pPr>
            <w:r>
              <w:t xml:space="preserve">3,2</w:t>
            </w:r>
            <w:r>
              <w:t xml:space="preserve">δυναμενος</w:t>
            </w:r>
          </w:p>
        </w:tc>
        <w:tc>
          <w:tcPr/>
          <w:p>
            <w:pPr>
              <w:pStyle w:val="Compact"/>
              <w:jc w:val="center"/>
            </w:pPr>
            <w:r>
              <w:t xml:space="preserve">2,3</w:t>
            </w:r>
            <w:r>
              <w:t xml:space="preserve">λαμπ. εσθ.</w:t>
            </w:r>
          </w:p>
        </w:tc>
        <w:tc>
          <w:tcPr/>
          <w:p>
            <w:pPr>
              <w:pStyle w:val="Compact"/>
              <w:jc w:val="center"/>
            </w:pPr>
            <w:r>
              <w:t xml:space="preserve">4,11</w:t>
            </w:r>
            <w:r>
              <w:t xml:space="preserve">γαρ</w:t>
            </w:r>
          </w:p>
        </w:tc>
        <w:tc>
          <w:tcPr/>
          <w:p>
            <w:pPr>
              <w:pStyle w:val="Compact"/>
              <w:jc w:val="center"/>
            </w:pPr>
            <w:r>
              <w:t xml:space="preserve">2,4</w:t>
            </w:r>
            <w:r>
              <w:t xml:space="preserve">ου</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A</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C</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81</w:t>
            </w:r>
          </w:p>
        </w:tc>
      </w:tr>
      <w:tr>
        <w:tc>
          <w:tcPr/>
          <w:p>
            <w:pPr>
              <w:pStyle w:val="Compact"/>
              <w:jc w:val="center"/>
            </w:pPr>
            <w:r>
              <w:t xml:space="preserve">---</w:t>
            </w:r>
          </w:p>
        </w:tc>
        <w:tc>
          <w:tcPr/>
          <w:p>
            <w:pPr>
              <w:pStyle w:val="Compact"/>
              <w:jc w:val="center"/>
            </w:pPr>
            <w:r>
              <w:t xml:space="preserve">88</w:t>
            </w:r>
          </w:p>
        </w:tc>
        <w:tc>
          <w:tcPr/>
          <w:p>
            <w:pPr>
              <w:pStyle w:val="Compact"/>
              <w:jc w:val="center"/>
            </w:pPr>
            <w:r>
              <w:t xml:space="preserve">88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254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321*</w:t>
            </w:r>
          </w:p>
        </w:tc>
        <w:tc>
          <w:tcPr/>
          <w:p>
            <w:pPr>
              <w:pStyle w:val="Compact"/>
              <w:jc w:val="center"/>
            </w:pPr>
            <w:r>
              <w:t xml:space="preserve">321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r>
      <w:tr>
        <w:tc>
          <w:tcPr/>
          <w:p>
            <w:pPr>
              <w:pStyle w:val="Compact"/>
              <w:jc w:val="center"/>
            </w:pPr>
            <w:r>
              <w:t xml:space="preserve">400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400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436</w:t>
            </w:r>
          </w:p>
        </w:tc>
      </w:tr>
      <w:tr>
        <w:tc>
          <w:tcPr/>
          <w:p>
            <w:pPr>
              <w:pStyle w:val="Compact"/>
              <w:jc w:val="center"/>
            </w:pPr>
            <w:r>
              <w:t xml:space="preserve">442*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442</w:t>
            </w:r>
          </w:p>
        </w:tc>
      </w:tr>
      <w:tr>
        <w:tc>
          <w:tcPr/>
          <w:p>
            <w:pPr>
              <w:pStyle w:val="Compact"/>
              <w:jc w:val="center"/>
            </w:pPr>
            <w:r>
              <w:t xml:space="preserve">---</w:t>
            </w:r>
          </w:p>
        </w:tc>
        <w:tc>
          <w:tcPr/>
          <w:p>
            <w:pPr>
              <w:pStyle w:val="Compact"/>
              <w:jc w:val="center"/>
            </w:pPr>
            <w:r>
              <w:t xml:space="preserve">459*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467*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r>
      <w:tr>
        <w:tc>
          <w:tcPr/>
          <w:p>
            <w:pPr>
              <w:pStyle w:val="Compact"/>
              <w:jc w:val="center"/>
            </w:pPr>
            <w:r>
              <w:t xml:space="preserve">---</w:t>
            </w:r>
          </w:p>
        </w:tc>
        <w:tc>
          <w:tcPr/>
          <w:p>
            <w:pPr>
              <w:pStyle w:val="Compact"/>
              <w:jc w:val="center"/>
            </w:pPr>
            <w:r>
              <w:rPr>
                <w:u w:val="single"/>
              </w:rPr>
              <w:t xml:space="preserve">607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621</w:t>
            </w:r>
          </w:p>
        </w:tc>
        <w:tc>
          <w:tcPr/>
          <w:p>
            <w:pPr>
              <w:pStyle w:val="Compact"/>
              <w:jc w:val="center"/>
            </w:pPr>
            <w:r>
              <w:t xml:space="preserve">---</w:t>
            </w:r>
          </w:p>
        </w:tc>
        <w:tc>
          <w:tcPr/>
          <w:p>
            <w:pPr>
              <w:pStyle w:val="Compact"/>
              <w:jc w:val="center"/>
            </w:pPr>
            <w:r>
              <w:t xml:space="preserve">621</w:t>
            </w:r>
          </w:p>
        </w:tc>
        <w:tc>
          <w:tcPr/>
          <w:p>
            <w:pPr>
              <w:pStyle w:val="Compact"/>
              <w:jc w:val="center"/>
            </w:pPr>
            <w:r>
              <w:t xml:space="preserve">621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720*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876*</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915</w:t>
            </w:r>
          </w:p>
        </w:tc>
        <w:tc>
          <w:tcPr/>
          <w:p>
            <w:pPr>
              <w:pStyle w:val="Compact"/>
              <w:jc w:val="center"/>
            </w:pPr>
            <w:r>
              <w:t xml:space="preserve">915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999*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1067</w:t>
            </w:r>
          </w:p>
        </w:tc>
      </w:tr>
      <w:tr>
        <w:tc>
          <w:tcPr/>
          <w:p>
            <w:pPr>
              <w:pStyle w:val="Compact"/>
              <w:jc w:val="center"/>
            </w:pPr>
            <w:r>
              <w:t xml:space="preserve">---</w:t>
            </w:r>
          </w:p>
        </w:tc>
        <w:tc>
          <w:tcPr/>
          <w:p>
            <w:pPr>
              <w:pStyle w:val="Compact"/>
              <w:jc w:val="center"/>
            </w:pPr>
            <w:r>
              <w:t xml:space="preserve">1127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1175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1241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1243</w:t>
            </w:r>
          </w:p>
        </w:tc>
      </w:tr>
      <w:tr>
        <w:tc>
          <w:tcPr/>
          <w:p>
            <w:pPr>
              <w:pStyle w:val="Compact"/>
              <w:jc w:val="center"/>
            </w:pPr>
            <w:r>
              <w:t xml:space="preserve">1270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1292</w:t>
            </w:r>
          </w:p>
        </w:tc>
        <w:tc>
          <w:tcPr/>
          <w:p>
            <w:pPr>
              <w:pStyle w:val="Compact"/>
              <w:jc w:val="center"/>
            </w:pPr>
            <w:r>
              <w:t xml:space="preserve">---</w:t>
            </w:r>
          </w:p>
        </w:tc>
        <w:tc>
          <w:tcPr/>
          <w:p>
            <w:pPr>
              <w:pStyle w:val="Compact"/>
              <w:jc w:val="center"/>
            </w:pPr>
            <w:r>
              <w:t xml:space="preserve">1292</w:t>
            </w:r>
          </w:p>
        </w:tc>
        <w:tc>
          <w:tcPr/>
          <w:p>
            <w:pPr>
              <w:pStyle w:val="Compact"/>
              <w:jc w:val="center"/>
            </w:pPr>
            <w:r>
              <w:t xml:space="preserve">1292</w:t>
            </w:r>
          </w:p>
        </w:tc>
        <w:tc>
          <w:tcPr/>
          <w:p>
            <w:pPr>
              <w:pStyle w:val="Compact"/>
              <w:jc w:val="center"/>
            </w:pPr>
            <w:r>
              <w:t xml:space="preserve">1292</w:t>
            </w:r>
          </w:p>
        </w:tc>
      </w:tr>
      <w:tr>
        <w:tc>
          <w:tcPr/>
          <w:p>
            <w:pPr>
              <w:pStyle w:val="Compact"/>
              <w:jc w:val="center"/>
            </w:pPr>
            <w:r>
              <w:t xml:space="preserve">1297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1367*</w:t>
            </w:r>
          </w:p>
        </w:tc>
        <w:tc>
          <w:tcPr/>
          <w:p>
            <w:pPr>
              <w:pStyle w:val="Compact"/>
              <w:jc w:val="center"/>
            </w:pPr>
            <w:r>
              <w:t xml:space="preserve">1367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1448</w:t>
            </w:r>
          </w:p>
        </w:tc>
        <w:tc>
          <w:tcPr/>
          <w:p>
            <w:pPr>
              <w:pStyle w:val="Compact"/>
              <w:jc w:val="center"/>
            </w:pPr>
            <w:r>
              <w:t xml:space="preserve">1448</w:t>
            </w:r>
          </w:p>
        </w:tc>
        <w:tc>
          <w:tcPr/>
          <w:p>
            <w:pPr>
              <w:pStyle w:val="Compact"/>
              <w:jc w:val="center"/>
            </w:pPr>
            <w:r>
              <w:t xml:space="preserve">1448</w:t>
            </w:r>
          </w:p>
        </w:tc>
        <w:tc>
          <w:tcPr/>
          <w:p>
            <w:pPr>
              <w:pStyle w:val="Compact"/>
              <w:jc w:val="center"/>
            </w:pPr>
            <w:r>
              <w:t xml:space="preserve">1448</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1490</w:t>
            </w:r>
          </w:p>
        </w:tc>
        <w:tc>
          <w:tcPr/>
          <w:p>
            <w:pPr>
              <w:pStyle w:val="Compact"/>
              <w:jc w:val="center"/>
            </w:pPr>
            <w:r>
              <w:t xml:space="preserve">---</w:t>
            </w:r>
          </w:p>
        </w:tc>
        <w:tc>
          <w:tcPr/>
          <w:p>
            <w:pPr>
              <w:pStyle w:val="Compact"/>
              <w:jc w:val="center"/>
            </w:pPr>
            <w:r>
              <w:t xml:space="preserve">1490</w:t>
            </w:r>
          </w:p>
        </w:tc>
        <w:tc>
          <w:tcPr/>
          <w:p>
            <w:pPr>
              <w:pStyle w:val="Compact"/>
              <w:jc w:val="center"/>
            </w:pPr>
            <w:r>
              <w:t xml:space="preserve">1490</w:t>
            </w:r>
          </w:p>
        </w:tc>
        <w:tc>
          <w:tcPr/>
          <w:p>
            <w:pPr>
              <w:pStyle w:val="Compact"/>
              <w:jc w:val="center"/>
            </w:pPr>
            <w:r>
              <w:t xml:space="preserve">1490</w:t>
            </w:r>
          </w:p>
        </w:tc>
        <w:tc>
          <w:tcPr/>
          <w:p>
            <w:pPr>
              <w:pStyle w:val="Compact"/>
              <w:jc w:val="center"/>
            </w:pPr>
            <w:r>
              <w:t xml:space="preserve">1490</w:t>
            </w:r>
          </w:p>
        </w:tc>
      </w:tr>
      <w:tr>
        <w:tc>
          <w:tcPr/>
          <w:p>
            <w:pPr>
              <w:pStyle w:val="Compact"/>
              <w:jc w:val="center"/>
            </w:pPr>
            <w:r>
              <w:t xml:space="preserve">---</w:t>
            </w:r>
          </w:p>
        </w:tc>
        <w:tc>
          <w:tcPr/>
          <w:p>
            <w:pPr>
              <w:pStyle w:val="Compact"/>
              <w:jc w:val="center"/>
            </w:pPr>
            <w:r>
              <w:t xml:space="preserve">1501*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1524</w:t>
            </w:r>
          </w:p>
        </w:tc>
      </w:tr>
      <w:tr>
        <w:tc>
          <w:tcPr/>
          <w:p>
            <w:pPr>
              <w:pStyle w:val="Compact"/>
              <w:jc w:val="center"/>
            </w:pPr>
            <w:r>
              <w:t xml:space="preserve">1595*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1598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1611</w:t>
            </w:r>
          </w:p>
        </w:tc>
        <w:tc>
          <w:tcPr/>
          <w:p>
            <w:pPr>
              <w:pStyle w:val="Compact"/>
              <w:jc w:val="center"/>
            </w:pPr>
            <w:r>
              <w:t xml:space="preserve">---</w:t>
            </w:r>
          </w:p>
        </w:tc>
        <w:tc>
          <w:tcPr/>
          <w:p>
            <w:pPr>
              <w:pStyle w:val="Compact"/>
              <w:jc w:val="center"/>
            </w:pPr>
            <w:r>
              <w:t xml:space="preserve">1611</w:t>
            </w:r>
          </w:p>
        </w:tc>
        <w:tc>
          <w:tcPr/>
          <w:p>
            <w:pPr>
              <w:pStyle w:val="Compact"/>
              <w:jc w:val="center"/>
            </w:pPr>
            <w:r>
              <w:t xml:space="preserve">1611</w:t>
            </w:r>
          </w:p>
        </w:tc>
        <w:tc>
          <w:tcPr/>
          <w:p>
            <w:pPr>
              <w:pStyle w:val="Compact"/>
              <w:jc w:val="center"/>
            </w:pPr>
            <w:r>
              <w:t xml:space="preserve">1611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1678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1729*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1735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1739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1751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1765*</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1799</w:t>
            </w:r>
          </w:p>
        </w:tc>
        <w:tc>
          <w:tcPr/>
          <w:p>
            <w:pPr>
              <w:pStyle w:val="Compact"/>
              <w:jc w:val="center"/>
            </w:pPr>
            <w:r>
              <w:t xml:space="preserve">---</w:t>
            </w:r>
          </w:p>
        </w:tc>
        <w:tc>
          <w:tcPr/>
          <w:p>
            <w:pPr>
              <w:pStyle w:val="Compact"/>
              <w:jc w:val="center"/>
            </w:pPr>
            <w:r>
              <w:t xml:space="preserve">1799</w:t>
            </w:r>
          </w:p>
        </w:tc>
        <w:tc>
          <w:tcPr/>
          <w:p>
            <w:pPr>
              <w:pStyle w:val="Compact"/>
              <w:jc w:val="center"/>
            </w:pPr>
            <w:r>
              <w:t xml:space="preserve">1799</w:t>
            </w:r>
          </w:p>
        </w:tc>
        <w:tc>
          <w:tcPr/>
          <w:p>
            <w:pPr>
              <w:pStyle w:val="Compact"/>
              <w:jc w:val="center"/>
            </w:pPr>
            <w:r>
              <w:t xml:space="preserve">1799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1832*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1838*</w:t>
            </w:r>
          </w:p>
        </w:tc>
        <w:tc>
          <w:tcPr/>
          <w:p>
            <w:pPr>
              <w:pStyle w:val="Compact"/>
              <w:jc w:val="center"/>
            </w:pPr>
            <w:r>
              <w:t xml:space="preserve">1838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1852</w:t>
            </w:r>
          </w:p>
        </w:tc>
        <w:tc>
          <w:tcPr/>
          <w:p>
            <w:pPr>
              <w:pStyle w:val="Compact"/>
              <w:jc w:val="center"/>
            </w:pPr>
            <w:r>
              <w:t xml:space="preserve">---</w:t>
            </w:r>
          </w:p>
        </w:tc>
        <w:tc>
          <w:tcPr/>
          <w:p>
            <w:pPr>
              <w:pStyle w:val="Compact"/>
              <w:jc w:val="center"/>
            </w:pPr>
            <w:r>
              <w:t xml:space="preserve">1852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1874*</w:t>
            </w:r>
          </w:p>
        </w:tc>
      </w:tr>
      <w:tr>
        <w:tc>
          <w:tcPr/>
          <w:p>
            <w:pPr>
              <w:pStyle w:val="Compact"/>
              <w:jc w:val="center"/>
            </w:pPr>
            <w:r>
              <w:t xml:space="preserve">---</w:t>
            </w:r>
          </w:p>
        </w:tc>
        <w:tc>
          <w:tcPr/>
          <w:p>
            <w:pPr>
              <w:pStyle w:val="Compact"/>
              <w:jc w:val="center"/>
            </w:pPr>
            <w:r>
              <w:t xml:space="preserve">1890</w:t>
            </w:r>
          </w:p>
        </w:tc>
        <w:tc>
          <w:tcPr/>
          <w:p>
            <w:pPr>
              <w:pStyle w:val="Compact"/>
              <w:jc w:val="center"/>
            </w:pPr>
            <w:r>
              <w:t xml:space="preserve">---</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r>
      <w:tr>
        <w:tc>
          <w:tcPr/>
          <w:p>
            <w:pPr>
              <w:pStyle w:val="Compact"/>
              <w:jc w:val="center"/>
            </w:pPr>
            <w:r>
              <w:t xml:space="preserve">1893*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2080*</w:t>
            </w:r>
          </w:p>
        </w:tc>
        <w:tc>
          <w:tcPr/>
          <w:p>
            <w:pPr>
              <w:pStyle w:val="Compact"/>
              <w:jc w:val="center"/>
            </w:pPr>
            <w:r>
              <w:t xml:space="preserve">2080</w:t>
            </w:r>
          </w:p>
        </w:tc>
        <w:tc>
          <w:tcPr/>
          <w:p>
            <w:pPr>
              <w:pStyle w:val="Compact"/>
              <w:jc w:val="center"/>
            </w:pPr>
            <w:r>
              <w:t xml:space="preserve">---</w:t>
            </w:r>
          </w:p>
        </w:tc>
        <w:tc>
          <w:tcPr/>
          <w:p>
            <w:pPr>
              <w:pStyle w:val="Compact"/>
              <w:jc w:val="center"/>
            </w:pPr>
            <w:r>
              <w:t xml:space="preserve">2080</w:t>
            </w:r>
          </w:p>
        </w:tc>
        <w:tc>
          <w:tcPr/>
          <w:p>
            <w:pPr>
              <w:pStyle w:val="Compact"/>
              <w:jc w:val="center"/>
            </w:pPr>
            <w:r>
              <w:t xml:space="preserve">---</w:t>
            </w:r>
          </w:p>
        </w:tc>
        <w:tc>
          <w:tcPr/>
          <w:p>
            <w:pPr>
              <w:pStyle w:val="Compact"/>
              <w:jc w:val="center"/>
            </w:pPr>
            <w:r>
              <w:t xml:space="preserve">2080</w:t>
            </w:r>
          </w:p>
        </w:tc>
        <w:tc>
          <w:tcPr/>
          <w:p>
            <w:pPr>
              <w:pStyle w:val="Compact"/>
              <w:jc w:val="center"/>
            </w:pPr>
            <w:r>
              <w:t xml:space="preserve">2080</w:t>
            </w:r>
          </w:p>
        </w:tc>
        <w:tc>
          <w:tcPr/>
          <w:p>
            <w:pPr>
              <w:pStyle w:val="Compact"/>
              <w:jc w:val="center"/>
            </w:pPr>
            <w:r>
              <w:t xml:space="preserve">2080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r>
      <w:tr>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2147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2180*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2298</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2344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2374</w:t>
            </w:r>
          </w:p>
        </w:tc>
        <w:tc>
          <w:tcPr/>
          <w:p>
            <w:pPr>
              <w:pStyle w:val="Compact"/>
              <w:jc w:val="center"/>
            </w:pPr>
            <w:r>
              <w:t xml:space="preserve">---</w:t>
            </w:r>
          </w:p>
        </w:tc>
        <w:tc>
          <w:tcPr/>
          <w:p>
            <w:pPr>
              <w:pStyle w:val="Compact"/>
              <w:jc w:val="center"/>
            </w:pPr>
            <w:r>
              <w:t xml:space="preserve">2374</w:t>
            </w:r>
          </w:p>
        </w:tc>
        <w:tc>
          <w:tcPr/>
          <w:p>
            <w:pPr>
              <w:pStyle w:val="Compact"/>
              <w:jc w:val="center"/>
            </w:pPr>
            <w:r>
              <w:t xml:space="preserve">2374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2494*</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2523</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2541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2652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2674*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2774*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2805</w:t>
            </w:r>
          </w:p>
        </w:tc>
        <w:tc>
          <w:tcPr/>
          <w:p>
            <w:pPr>
              <w:pStyle w:val="Compact"/>
              <w:jc w:val="center"/>
            </w:pPr>
            <w:r>
              <w:t xml:space="preserve">---</w:t>
            </w:r>
          </w:p>
        </w:tc>
        <w:tc>
          <w:tcPr/>
          <w:p>
            <w:pPr>
              <w:pStyle w:val="Compact"/>
              <w:jc w:val="center"/>
            </w:pPr>
            <w:r>
              <w:t xml:space="preserve">2805</w:t>
            </w:r>
          </w:p>
        </w:tc>
        <w:tc>
          <w:tcPr/>
          <w:p>
            <w:pPr>
              <w:pStyle w:val="Compact"/>
              <w:jc w:val="center"/>
            </w:pPr>
            <w:r>
              <w:t xml:space="preserve">2805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2818*</w:t>
            </w:r>
          </w:p>
        </w:tc>
      </w:tr>
      <w:tr>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18</w:t>
            </w:r>
          </w:p>
        </w:tc>
        <w:tc>
          <w:tcPr/>
          <w:p>
            <w:pPr>
              <w:pStyle w:val="Compact"/>
              <w:jc w:val="center"/>
            </w:pPr>
            <w:r>
              <w:rPr>
                <w:bCs/>
                <w:b/>
              </w:rPr>
              <w:t xml:space="preserve">19</w:t>
            </w:r>
          </w:p>
        </w:tc>
        <w:tc>
          <w:tcPr/>
          <w:p>
            <w:pPr>
              <w:pStyle w:val="Compact"/>
              <w:jc w:val="center"/>
            </w:pPr>
            <w:r>
              <w:rPr>
                <w:bCs/>
                <w:b/>
              </w:rPr>
              <w:t xml:space="preserve">23</w:t>
            </w:r>
          </w:p>
        </w:tc>
        <w:tc>
          <w:tcPr/>
          <w:p>
            <w:pPr>
              <w:pStyle w:val="Compact"/>
              <w:jc w:val="center"/>
            </w:pPr>
            <w:r>
              <w:rPr>
                <w:bCs/>
                <w:b/>
              </w:rPr>
              <w:t xml:space="preserve">28</w:t>
            </w:r>
          </w:p>
        </w:tc>
        <w:tc>
          <w:tcPr/>
          <w:p>
            <w:pPr>
              <w:pStyle w:val="Compact"/>
              <w:jc w:val="center"/>
            </w:pPr>
            <w:r>
              <w:rPr>
                <w:bCs/>
                <w:b/>
              </w:rPr>
              <w:t xml:space="preserve">29</w:t>
            </w:r>
          </w:p>
        </w:tc>
        <w:tc>
          <w:tcPr/>
          <w:p>
            <w:pPr>
              <w:pStyle w:val="Compact"/>
              <w:jc w:val="center"/>
            </w:pPr>
            <w:r>
              <w:rPr>
                <w:bCs/>
                <w:b/>
              </w:rPr>
              <w:t xml:space="preserve">44</w:t>
            </w:r>
          </w:p>
        </w:tc>
      </w:tr>
    </w:tbl>
    <w:p>
      <w:pPr>
        <w:pStyle w:val="BodyText"/>
      </w:pPr>
      <w:r>
        <w:t xml:space="preserve">Czego możemy się zatem dowiedzieć z tych dowodów? Po pierwsze, jedyny podkreślony manuskrypt występujący w tabeli, 607, jest jedynym spośród pięciu głównych przedstawicieli, który się w niej pojawia, i czyni to tylko raz. Jasno pokazuje to, że</w:t>
      </w:r>
      <w:r>
        <w:t xml:space="preserve"> </w:t>
      </w:r>
      <w:r>
        <w:rPr>
          <w:bCs/>
          <w:b/>
        </w:rPr>
        <w:t xml:space="preserve">f</w:t>
      </w:r>
      <w:r>
        <w:rPr>
          <w:vertAlign w:val="superscript"/>
          <w:bCs/>
          <w:b/>
        </w:rPr>
        <w:t xml:space="preserve">35</w:t>
      </w:r>
      <w:r>
        <w:t xml:space="preserve"> </w:t>
      </w:r>
      <w:r>
        <w:t xml:space="preserve">różni się od masy bizantyjskiej, czyli</w:t>
      </w:r>
      <w:r>
        <w:t xml:space="preserve"> </w:t>
      </w:r>
      <w:r>
        <w:rPr>
          <w:bCs/>
          <w:b/>
        </w:rPr>
        <w:t xml:space="preserve">K</w:t>
      </w:r>
      <w:r>
        <w:rPr>
          <w:vertAlign w:val="superscript"/>
          <w:bCs/>
          <w:b/>
        </w:rPr>
        <w:t xml:space="preserve">x</w:t>
      </w:r>
      <w:r>
        <w:t xml:space="preserve"> </w:t>
      </w:r>
      <w:r>
        <w:t xml:space="preserve">Sodena. Ponadto istnieją 43 manuskrypty, które samotnie poświadczają odczyt</w:t>
      </w:r>
      <w:r>
        <w:t xml:space="preserve"> </w:t>
      </w:r>
      <w:r>
        <w:rPr>
          <w:bCs/>
          <w:b/>
        </w:rPr>
        <w:t xml:space="preserve">f</w:t>
      </w:r>
      <w:r>
        <w:rPr>
          <w:vertAlign w:val="superscript"/>
          <w:bCs/>
          <w:b/>
        </w:rPr>
        <w:t xml:space="preserve">35</w:t>
      </w:r>
      <w:r>
        <w:t xml:space="preserve">: A, C, 81, 104</w:t>
      </w:r>
      <w:r>
        <w:rPr>
          <w:iCs/>
          <w:i/>
        </w:rPr>
        <w:t xml:space="preserve">, 436, 459</w:t>
      </w:r>
      <w:r>
        <w:t xml:space="preserve">, 467</w:t>
      </w:r>
      <w:r>
        <w:rPr>
          <w:iCs/>
          <w:i/>
        </w:rPr>
        <w:t xml:space="preserve">, 607, 720</w:t>
      </w:r>
      <w:r>
        <w:t xml:space="preserve">, 876</w:t>
      </w:r>
      <w:r>
        <w:rPr>
          <w:iCs/>
          <w:i/>
        </w:rPr>
        <w:t xml:space="preserve">, 945, 999</w:t>
      </w:r>
      <w:r>
        <w:t xml:space="preserve">, 1067, 1127, 1175, 1241, 1243, 1270, 1297, 1501</w:t>
      </w:r>
      <w:r>
        <w:rPr>
          <w:iCs/>
          <w:i/>
        </w:rPr>
        <w:t xml:space="preserve">, 1595</w:t>
      </w:r>
      <w:r>
        <w:t xml:space="preserve">, 1598, 1678, 1729</w:t>
      </w:r>
      <w:r>
        <w:rPr>
          <w:iCs/>
          <w:i/>
        </w:rPr>
        <w:t xml:space="preserve">, 1735, 1739, 1751, 1765</w:t>
      </w:r>
      <w:r>
        <w:t xml:space="preserve">, 1827</w:t>
      </w:r>
      <w:r>
        <w:rPr>
          <w:iCs/>
          <w:i/>
        </w:rPr>
        <w:t xml:space="preserve">, 1832</w:t>
      </w:r>
      <w:r>
        <w:t xml:space="preserve">, 1848</w:t>
      </w:r>
      <w:r>
        <w:rPr>
          <w:iCs/>
          <w:i/>
        </w:rPr>
        <w:t xml:space="preserve">, 1874</w:t>
      </w:r>
      <w:r>
        <w:t xml:space="preserve">, 1893</w:t>
      </w:r>
      <w:r>
        <w:rPr>
          <w:iCs/>
          <w:i/>
        </w:rPr>
        <w:t xml:space="preserve">, 2180</w:t>
      </w:r>
      <w:r>
        <w:t xml:space="preserve">, 2298, 2344, 2492, 2494</w:t>
      </w:r>
      <w:r>
        <w:rPr>
          <w:iCs/>
          <w:i/>
        </w:rPr>
        <w:t xml:space="preserve">, 2523, 2541, 2674</w:t>
      </w:r>
      <w:r>
        <w:t xml:space="preserve">, 2774</w:t>
      </w:r>
      <w:r>
        <w:rPr>
          <w:iCs/>
          <w:i/>
        </w:rPr>
        <w:t xml:space="preserve">, 2818</w:t>
      </w:r>
      <w:r>
        <w:t xml:space="preserve">. Dwadzieścia jeden z nich, czyli praktycznie połowa, sklasyfikowano jako bizantyjskie, ponieważ jednak pojawiają się tylko raz, są najwyraźniej niezależne od masy bizantyjskiej. (W rzeczywistości wszystkie pojawiające się tutaj manuskrypty są niezależne od masy bizantyjskiej, z wyjątkiem 607). Mamy więc 43 niezależnych świadków odczytów</w:t>
      </w:r>
      <w:r>
        <w:t xml:space="preserve"> </w:t>
      </w:r>
      <w:r>
        <w:rPr>
          <w:bCs/>
          <w:b/>
        </w:rPr>
        <w:t xml:space="preserve">f</w:t>
      </w:r>
      <w:r>
        <w:rPr>
          <w:vertAlign w:val="superscript"/>
          <w:bCs/>
          <w:b/>
        </w:rPr>
        <w:t xml:space="preserve">35</w:t>
      </w:r>
      <w:r>
        <w:t xml:space="preserve">, którzy</w:t>
      </w:r>
      <w:r>
        <w:t xml:space="preserve"> </w:t>
      </w:r>
      <w:r>
        <w:rPr>
          <w:bCs/>
          <w:b/>
        </w:rPr>
        <w:t xml:space="preserve">z pewnością nie należą do tej rodziny</w:t>
      </w:r>
      <w:r>
        <w:t xml:space="preserve">.</w:t>
      </w:r>
    </w:p>
    <w:p>
      <w:pPr>
        <w:pStyle w:val="BodyText"/>
      </w:pPr>
      <w:r>
        <w:t xml:space="preserve">Dwanaście manuskryptów pojawia się tylko dwukrotnie, lecz nie istnieje żaden wzorzec ani pokrywanie się, z wyjątkiem trzech o takim samym rozkładzie, mamy więc kolejnych dziesięciu niezależnych świadków. Te, które pojawiają się więcej niż dwukrotnie, na ogół odzwierciedlają pewną zależność, lecz mimo to dodają kolejnych dziesięciu niezależnych świadków. Mówiąc „niezależnych”, mam na myśli w ich pokoleniu. W miarę cofania się przez stulecia przypuszczalnie pojawi się grupowanie. Czy jednak 63 niezależnych świadków w swoim pokoleniu zmniejszyłoby się o ponad połowę do czasu, gdy cofniemy się do V wieku? Bardzo w to wątpię, oczekiwałbym co najmniej 30 linii</w:t>
      </w:r>
      <w:r>
        <w:rPr>
          <w:rStyle w:val="FootnoteReference"/>
        </w:rPr>
        <w:footnoteReference w:id="347"/>
      </w:r>
      <w:r>
        <w:t xml:space="preserve"> </w:t>
      </w:r>
      <w:r>
        <w:t xml:space="preserve">nadal w V wieku. Czy w ciągu dwóch stuleci zmniejszyłyby się o ponad połowę? Jeśli nie, w III wieku nadal mielibyśmy 15 linii, co oznaczałoby, że</w:t>
      </w:r>
      <w:r>
        <w:t xml:space="preserve"> </w:t>
      </w:r>
      <w:r>
        <w:rPr>
          <w:bCs/>
          <w:b/>
        </w:rPr>
        <w:t xml:space="preserve">f</w:t>
      </w:r>
      <w:r>
        <w:rPr>
          <w:vertAlign w:val="superscript"/>
          <w:bCs/>
          <w:b/>
        </w:rPr>
        <w:t xml:space="preserve">35</w:t>
      </w:r>
      <w:r>
        <w:t xml:space="preserve"> </w:t>
      </w:r>
      <w:r>
        <w:t xml:space="preserve">jest bardzo wczesna.</w:t>
      </w:r>
    </w:p>
    <w:p>
      <w:pPr>
        <w:pStyle w:val="BodyText"/>
      </w:pPr>
      <w:r>
        <w:t xml:space="preserve">Wracając do tabeli, zauważam, że ιθυνοντος i νομου mają tylko jeden wspólny manuskrypt spośród 23, lecz ιθυνοντος i ημων nie mają ani jednego wspólnego spośród 26! ιθυνοντος i επειτα mają tylko jeden wspólny spośród 26, ιθυνοντος i δυναμενος nie mają zaś ani jednego wspólnego spośród 31! νομου i ημων mają trzy wspólne spośród 31, νομου i επειτα mają dwa wspólne spośród 35, νομου i δυναμενος mają tylko dwa wspólne spośród 37. Mistrzem jest ου, mający 18 manuskryptów wyłącznie dla siebie. Co zatem mówią nam te dowody? Czy nie wskazują, że</w:t>
      </w:r>
      <w:r>
        <w:t xml:space="preserve"> </w:t>
      </w:r>
      <w:r>
        <w:rPr>
          <w:bCs/>
          <w:b/>
        </w:rPr>
        <w:t xml:space="preserve">f</w:t>
      </w:r>
      <w:r>
        <w:rPr>
          <w:vertAlign w:val="superscript"/>
          <w:bCs/>
          <w:b/>
        </w:rPr>
        <w:t xml:space="preserve">35</w:t>
      </w:r>
      <w:r>
        <w:t xml:space="preserve"> </w:t>
      </w:r>
      <w:r>
        <w:t xml:space="preserve">jest rdzeniem, od którego odeszło bardzo wiele odnóg? Istnieje bardzo niewiele wzorca, co wskazuje, że</w:t>
      </w:r>
      <w:r>
        <w:t xml:space="preserve"> </w:t>
      </w:r>
      <w:r>
        <w:rPr>
          <w:bCs/>
          <w:b/>
        </w:rPr>
        <w:t xml:space="preserve">f</w:t>
      </w:r>
      <w:r>
        <w:rPr>
          <w:vertAlign w:val="superscript"/>
          <w:bCs/>
          <w:b/>
        </w:rPr>
        <w:t xml:space="preserve">35</w:t>
      </w:r>
      <w:r>
        <w:t xml:space="preserve"> </w:t>
      </w:r>
      <w:r>
        <w:t xml:space="preserve">musi być zarówno starożytna, jak i niezależna. Manuskrypty zgadzające się z</w:t>
      </w:r>
      <w:r>
        <w:t xml:space="preserve"> </w:t>
      </w:r>
      <w:r>
        <w:rPr>
          <w:bCs/>
          <w:b/>
        </w:rPr>
        <w:t xml:space="preserve">f</w:t>
      </w:r>
      <w:r>
        <w:rPr>
          <w:vertAlign w:val="superscript"/>
          <w:bCs/>
          <w:b/>
        </w:rPr>
        <w:t xml:space="preserve">35</w:t>
      </w:r>
      <w:r>
        <w:t xml:space="preserve"> </w:t>
      </w:r>
      <w:r>
        <w:t xml:space="preserve">sześć razy na osiem mogą okazać się znajdować na obrzeżach rodziny, te zgadzające się pięć razy byłyby dalej, i tak dalej.</w:t>
      </w:r>
    </w:p>
    <w:p>
      <w:pPr>
        <w:pStyle w:val="BodyText"/>
      </w:pPr>
      <w:r>
        <w:t xml:space="preserve">Spójrzmy teraz na 1 List Jana. Podczas gdy w Liście Jakuba uwzględnili 77 manuskryptów bizantyjskich (łącznie z</w:t>
      </w:r>
      <w:r>
        <w:t xml:space="preserve"> </w:t>
      </w:r>
      <w:r>
        <w:rPr>
          <w:bCs/>
          <w:b/>
        </w:rPr>
        <w:t xml:space="preserve">f</w:t>
      </w:r>
      <w:r>
        <w:rPr>
          <w:vertAlign w:val="superscript"/>
          <w:bCs/>
          <w:b/>
        </w:rPr>
        <w:t xml:space="preserve">35</w:t>
      </w:r>
      <w:r>
        <w:t xml:space="preserve">), dla 1 Listu Jana uwzględnili tylko 48, nastawienie jest więc silniejsze. Ponownie uwzględnili siedem, aby reprezentowały wykluczone manuskrypty, GA 18 i 35, aby reprezentowały</w:t>
      </w:r>
      <w:r>
        <w:t xml:space="preserve"> </w:t>
      </w:r>
      <w:r>
        <w:rPr>
          <w:bCs/>
          <w:b/>
        </w:rPr>
        <w:t xml:space="preserve">K</w:t>
      </w:r>
      <w:r>
        <w:rPr>
          <w:vertAlign w:val="superscript"/>
          <w:bCs/>
          <w:b/>
        </w:rPr>
        <w:t xml:space="preserve">r</w:t>
      </w:r>
      <w:r>
        <w:t xml:space="preserve"> </w:t>
      </w:r>
      <w:r>
        <w:t xml:space="preserve">Sodena, oraz GA 319, 424, 468, 617 i 2423, aby reprezentowały rdzeń wykluczonych manuskryptów bizantyjskich.</w:t>
      </w:r>
    </w:p>
    <w:p>
      <w:pPr>
        <w:pStyle w:val="BodyText"/>
      </w:pPr>
      <w:r>
        <w:t xml:space="preserve">Wymieniam cztery odczyty</w:t>
      </w:r>
      <w:r>
        <w:t xml:space="preserve"> </w:t>
      </w:r>
      <w:r>
        <w:rPr>
          <w:bCs/>
          <w:b/>
        </w:rPr>
        <w:t xml:space="preserve">f</w:t>
      </w:r>
      <w:r>
        <w:rPr>
          <w:vertAlign w:val="superscript"/>
          <w:bCs/>
          <w:b/>
        </w:rPr>
        <w:t xml:space="preserve">35</w:t>
      </w:r>
      <w:r>
        <w:t xml:space="preserve"> </w:t>
      </w:r>
      <w:r>
        <w:t xml:space="preserve">(dla 1 Listu Jana) jako mające ogólne poświadczenie wynoszące 30% lub mniej, co czyniłoby je mniej lub bardziej diagnostycznymi odczytami</w:t>
      </w:r>
      <w:r>
        <w:t xml:space="preserve"> </w:t>
      </w:r>
      <w:r>
        <w:rPr>
          <w:bCs/>
          <w:b/>
        </w:rPr>
        <w:t xml:space="preserve">f</w:t>
      </w:r>
      <w:r>
        <w:rPr>
          <w:vertAlign w:val="superscript"/>
          <w:bCs/>
          <w:b/>
        </w:rPr>
        <w:t xml:space="preserve">35</w:t>
      </w:r>
      <w:r>
        <w:t xml:space="preserve">. W poniższej tabeli odczyty te tworzą pierwszy wiersz, a pod każdym z nich wymieniam manuskrypty, które według</w:t>
      </w:r>
      <w:r>
        <w:t xml:space="preserve"> </w:t>
      </w:r>
      <w:r>
        <w:rPr>
          <w:iCs/>
          <w:i/>
        </w:rPr>
        <w:t xml:space="preserve">ECM</w:t>
      </w:r>
      <w:r>
        <w:t xml:space="preserve"> </w:t>
      </w:r>
      <w:r>
        <w:t xml:space="preserve">go poświadczają. Ponieważ GA 18 i 35 mają je wszystkie, oczywiście nie zostały wymienione. Konsekwencje omówię niżej, najpierw jednak dowody (numery z gwiazdką sklasyfikowano jako bizantyjskie):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center"/>
            </w:pPr>
            <w:r>
              <w:t xml:space="preserve">3,6</w:t>
            </w:r>
            <w:r>
              <w:t xml:space="preserve">και</w:t>
            </w:r>
          </w:p>
        </w:tc>
        <w:tc>
          <w:tcPr/>
          <w:p>
            <w:pPr>
              <w:pStyle w:val="Compact"/>
              <w:jc w:val="center"/>
            </w:pPr>
            <w:r>
              <w:t xml:space="preserve">5,11</w:t>
            </w:r>
            <w:r>
              <w:t xml:space="preserve">ο θεος ημιν</w:t>
            </w:r>
          </w:p>
        </w:tc>
        <w:tc>
          <w:tcPr/>
          <w:p>
            <w:pPr>
              <w:pStyle w:val="Compact"/>
              <w:jc w:val="center"/>
            </w:pPr>
            <w:r>
              <w:t xml:space="preserve">1,6</w:t>
            </w:r>
            <w:r>
              <w:t xml:space="preserve">περιπατουμεν</w:t>
            </w:r>
          </w:p>
        </w:tc>
        <w:tc>
          <w:tcPr/>
          <w:p>
            <w:pPr>
              <w:pStyle w:val="Compact"/>
              <w:jc w:val="center"/>
            </w:pPr>
            <w:r>
              <w:t xml:space="preserve">3,24</w:t>
            </w:r>
            <w:r>
              <w:t xml:space="preserve">--- εν</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r>
      <w:tr>
        <w:tc>
          <w:tcPr/>
          <w:p>
            <w:pPr>
              <w:pStyle w:val="Compact"/>
              <w:jc w:val="center"/>
            </w:pPr>
            <w:r>
              <w:t xml:space="preserve">---</w:t>
            </w:r>
          </w:p>
        </w:tc>
        <w:tc>
          <w:tcPr/>
          <w:p>
            <w:pPr>
              <w:pStyle w:val="Compact"/>
              <w:jc w:val="center"/>
            </w:pPr>
            <w:r>
              <w:t xml:space="preserve">B</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0142*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0296</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61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69*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180*</w:t>
            </w:r>
          </w:p>
        </w:tc>
        <w:tc>
          <w:tcPr/>
          <w:p>
            <w:pPr>
              <w:pStyle w:val="Compact"/>
              <w:jc w:val="center"/>
            </w:pPr>
            <w:r>
              <w:t xml:space="preserve">180</w:t>
            </w:r>
          </w:p>
        </w:tc>
      </w:tr>
      <w:tr>
        <w:tc>
          <w:tcPr/>
          <w:p>
            <w:pPr>
              <w:pStyle w:val="Compact"/>
              <w:jc w:val="center"/>
            </w:pPr>
            <w:r>
              <w:t xml:space="preserve">254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323</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rPr>
                <w:u w:val="single"/>
              </w:rPr>
              <w:t xml:space="preserve">607*</w:t>
            </w:r>
          </w:p>
        </w:tc>
        <w:tc>
          <w:tcPr/>
          <w:p>
            <w:pPr>
              <w:pStyle w:val="Compact"/>
              <w:jc w:val="center"/>
            </w:pPr>
            <w:r>
              <w:rPr>
                <w:u w:val="single"/>
              </w:rPr>
              <w:t xml:space="preserve">607</w:t>
            </w:r>
          </w:p>
        </w:tc>
      </w:tr>
      <w:tr>
        <w:tc>
          <w:tcPr/>
          <w:p>
            <w:pPr>
              <w:pStyle w:val="Compact"/>
              <w:jc w:val="center"/>
            </w:pPr>
            <w:r>
              <w:t xml:space="preserve">---</w:t>
            </w:r>
          </w:p>
        </w:tc>
        <w:tc>
          <w:tcPr/>
          <w:p>
            <w:pPr>
              <w:pStyle w:val="Compact"/>
              <w:jc w:val="center"/>
            </w:pPr>
            <w:r>
              <w:t xml:space="preserve">614</w:t>
            </w:r>
          </w:p>
        </w:tc>
        <w:tc>
          <w:tcPr/>
          <w:p>
            <w:pPr>
              <w:pStyle w:val="Compact"/>
              <w:jc w:val="center"/>
            </w:pPr>
            <w:r>
              <w:t xml:space="preserve">---</w:t>
            </w:r>
          </w:p>
        </w:tc>
        <w:tc>
          <w:tcPr/>
          <w:p>
            <w:pPr>
              <w:pStyle w:val="Compact"/>
              <w:jc w:val="center"/>
            </w:pPr>
            <w:r>
              <w:t xml:space="preserve">614</w:t>
            </w:r>
          </w:p>
        </w:tc>
      </w:tr>
      <w:tr>
        <w:tc>
          <w:tcPr/>
          <w:p>
            <w:pPr>
              <w:pStyle w:val="Compact"/>
              <w:jc w:val="center"/>
            </w:pPr>
            <w:r>
              <w:t xml:space="preserve">---</w:t>
            </w:r>
          </w:p>
        </w:tc>
        <w:tc>
          <w:tcPr/>
          <w:p>
            <w:pPr>
              <w:pStyle w:val="Compact"/>
              <w:jc w:val="center"/>
            </w:pPr>
            <w:r>
              <w:t xml:space="preserve">630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915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1292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1501*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w:t>
            </w:r>
          </w:p>
        </w:tc>
      </w:tr>
      <w:tr>
        <w:tc>
          <w:tcPr/>
          <w:p>
            <w:pPr>
              <w:pStyle w:val="Compact"/>
              <w:jc w:val="center"/>
            </w:pPr>
            <w:r>
              <w:t xml:space="preserve">1523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1524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1611</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1739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1827*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1836</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r>
      <w:tr>
        <w:tc>
          <w:tcPr/>
          <w:p>
            <w:pPr>
              <w:pStyle w:val="Compact"/>
              <w:jc w:val="center"/>
            </w:pPr>
            <w:r>
              <w:t xml:space="preserve">1844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1852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1881</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1890*</w:t>
            </w:r>
          </w:p>
        </w:tc>
        <w:tc>
          <w:tcPr/>
          <w:p>
            <w:pPr>
              <w:pStyle w:val="Compact"/>
              <w:jc w:val="center"/>
            </w:pPr>
            <w:r>
              <w:t xml:space="preserve">1890</w:t>
            </w:r>
          </w:p>
        </w:tc>
      </w:tr>
      <w:tr>
        <w:tc>
          <w:tcPr/>
          <w:p>
            <w:pPr>
              <w:pStyle w:val="Compact"/>
              <w:jc w:val="center"/>
            </w:pPr>
            <w:r>
              <w:t xml:space="preserve">---</w:t>
            </w:r>
          </w:p>
        </w:tc>
        <w:tc>
          <w:tcPr/>
          <w:p>
            <w:pPr>
              <w:pStyle w:val="Compact"/>
              <w:jc w:val="center"/>
            </w:pPr>
            <w:r>
              <w:t xml:space="preserve">2138</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2200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2298</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2374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2412</w:t>
            </w:r>
          </w:p>
        </w:tc>
        <w:tc>
          <w:tcPr/>
          <w:p>
            <w:pPr>
              <w:pStyle w:val="Compact"/>
              <w:jc w:val="center"/>
            </w:pPr>
            <w:r>
              <w:t xml:space="preserve">---</w:t>
            </w:r>
          </w:p>
        </w:tc>
        <w:tc>
          <w:tcPr/>
          <w:p>
            <w:pPr>
              <w:pStyle w:val="Compact"/>
              <w:jc w:val="center"/>
            </w:pPr>
            <w:r>
              <w:t xml:space="preserve">2412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u w:val="single"/>
              </w:rPr>
              <w:t xml:space="preserve">2423</w:t>
            </w:r>
          </w:p>
        </w:tc>
      </w:tr>
      <w:tr>
        <w:tc>
          <w:tcPr/>
          <w:p>
            <w:pPr>
              <w:pStyle w:val="Compact"/>
              <w:jc w:val="center"/>
            </w:pPr>
            <w:r>
              <w:t xml:space="preserve">---</w:t>
            </w:r>
          </w:p>
        </w:tc>
        <w:tc>
          <w:tcPr/>
          <w:p>
            <w:pPr>
              <w:pStyle w:val="Compact"/>
              <w:jc w:val="center"/>
            </w:pPr>
            <w:r>
              <w:t xml:space="preserve">2492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2544</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2805</w:t>
            </w:r>
          </w:p>
        </w:tc>
      </w:tr>
      <w:tr>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13</w:t>
            </w:r>
          </w:p>
        </w:tc>
        <w:tc>
          <w:tcPr/>
          <w:p>
            <w:pPr>
              <w:pStyle w:val="Compact"/>
              <w:jc w:val="center"/>
            </w:pPr>
            <w:r>
              <w:rPr>
                <w:bCs/>
                <w:b/>
              </w:rPr>
              <w:t xml:space="preserve">10</w:t>
            </w:r>
          </w:p>
        </w:tc>
      </w:tr>
    </w:tbl>
    <w:p>
      <w:pPr>
        <w:pStyle w:val="BodyText"/>
      </w:pPr>
      <w:r>
        <w:t xml:space="preserve">Podobnie jak w Liście Jakuba, między dwiema pierwszymi kolumnami nie ma pokrywania się (w Liście Jakuba pierwsza kolumna ma wprawdzie jeden wspólny manuskrypt z drugą, lecz żadnego z trzecią i piątą), a między drugą i trzecią istnieje tylko jeden wspólny manuskrypt! Wynika z tego, że</w:t>
      </w:r>
      <w:r>
        <w:t xml:space="preserve"> </w:t>
      </w:r>
      <w:r>
        <w:rPr>
          <w:bCs/>
          <w:b/>
        </w:rPr>
        <w:t xml:space="preserve">f</w:t>
      </w:r>
      <w:r>
        <w:rPr>
          <w:vertAlign w:val="superscript"/>
          <w:bCs/>
          <w:b/>
        </w:rPr>
        <w:t xml:space="preserve">35</w:t>
      </w:r>
      <w:r>
        <w:t xml:space="preserve"> </w:t>
      </w:r>
      <w:r>
        <w:t xml:space="preserve">jest niezależna od wszystkich linii przekazu reprezentowanych przez manuskrypty w tych kolumnach. W pierwszej kolumnie nie ma manuskryptów bizantyjskich, a w drugiej jest tylko jeden (niezbyt silny — 69). Dla kontrastu trzecia kolumna zawiera jeden bardzo silny manuskrypt bizantyjski (607), jeden silny (180), dwa dostateczne (0142, 1890) i dwa słabe (1501, 1842), mimo wszystko wyraźnie nie reprezentują one masy tradycji bizantyjskiej.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innych linii przekazu, jak, moim zdaniem, potrafię wykazać, wówczas sięga Oryginału — jakie inne rozsądne wyjaśnienie istnieje?</w:t>
      </w:r>
    </w:p>
    <w:p>
      <w:pPr>
        <w:pStyle w:val="BodyText"/>
      </w:pPr>
      <w:r>
        <w:t xml:space="preserve">Rodzina 35 reprezentuje około 16% ogółu zachowanych manuskryptów, lecz prawie nigdy nie jest całkowicie sama. Jak jednak pokazano wyżej, rozproszenie innych manuskryptów prawie nigdy nie jest takie samo. Pytam więc ponownie: jak należy wyjaśnić to zróżnicowane rozproszenie? Czy nie wskazuje ono, że</w:t>
      </w:r>
      <w:r>
        <w:t xml:space="preserve"> </w:t>
      </w:r>
      <w:r>
        <w:rPr>
          <w:bCs/>
          <w:b/>
        </w:rPr>
        <w:t xml:space="preserve">f</w:t>
      </w:r>
      <w:r>
        <w:rPr>
          <w:vertAlign w:val="superscript"/>
          <w:bCs/>
          <w:b/>
        </w:rPr>
        <w:t xml:space="preserve">35</w:t>
      </w:r>
      <w:r>
        <w:t xml:space="preserve"> </w:t>
      </w:r>
      <w:r>
        <w:t xml:space="preserve">jest rdzeniem, od którego odeszło bardzo wiele odnóg? Jakie inne rozsądne wyjaśnienie istnieje? Jeśli jest rdzeniem, reprezentuje Oryginał. (Zakładam rozsądnie normalny przekaz, którego broniłem w innym miejscu).</w:t>
      </w:r>
    </w:p>
    <w:p>
      <w:pPr>
        <w:pStyle w:val="BodyText"/>
      </w:pPr>
      <w:r>
        <w:t xml:space="preserve">Proszę czytelnika, aby zatrzymał się i naprawdę pomyślał o konsekwencjach przedstawionych wyżej dowodów (próbując odłożyć na bok z góry przyjęte poglądy). Standardowym postępowaniem zwolenników pewnej orientacji teoretycznej było naleganie na rozróżnienie między poszczególnymi odczytami a typem tekstu. Zgadzam się, że należy je rozróżniać. Jednak to mozaika, profil lub wybór poszczególnych odczytów definiuje typ tekstu, rodzinę lub linię przekazu.</w:t>
      </w:r>
      <w:r>
        <w:t xml:space="preserve"> </w:t>
      </w:r>
      <w:r>
        <w:rPr>
          <w:bCs/>
          <w:b/>
        </w:rPr>
        <w:t xml:space="preserve">Jeśli można wykazać, że wszystkie poszczególne odczyty definiujące rodzinę są starożytne, wówczas z konieczności sama rodzina jest starożytna!</w:t>
      </w:r>
    </w:p>
    <w:p>
      <w:pPr>
        <w:pStyle w:val="BodyText"/>
      </w:pPr>
      <w:r>
        <w:t xml:space="preserve">Przypuszczam, że teoretycznie mogłoby być możliwe, aby ktoś w VIII wieku spreparował nowy archetyp, używając wyłącznie wczesnych odczytów, jaki jednak możliwy powód mógłby mieć ktokolwiek, by to uczynić? I jak tak spreparowany tekst mógł rozprzestrzenić się po świecie śródziemnomorskim? Jak mógł osiągnąć poziom wierności znacznie przewyższający każdą inną linię przekazu, łącznie ze znacznie starszymi? Jak archetyp spreparowany w VIII wieku mógł wyprzeć wszystkie starsze archetypy? Mam na myśli wierność przekazu. (W naszych czasach spreparowany tekst, oparty na wczesnych manuskryptach, zawładnął światem akademickim, lecz nie ma tu analogii — wiemy, kto go stworzył, kiedy, jak i dlaczego. Napisałem na ten temat stronę lub dwie gdzie indziej).</w:t>
      </w:r>
    </w:p>
    <w:p>
      <w:pPr>
        <w:pStyle w:val="BodyText"/>
      </w:pPr>
      <w:r>
        <w:t xml:space="preserve">Każdy, kto chce wysunąć teorię, że Rodzina 35 została spreparowana przez kogoś w XII, VIII lub IV wieku, i uczynić to odpowiedzialnie, musi przedstawić dowody, które dały początek tej teorii. Musi pokazać, kto to zrobił, kiedy i gdzie. Istnieje wiele setek zachowanych kopii pism Nowego Testamentu. Jeśli wszystkie te manuskrypty nie dostarczają wymaganych dowodów, teoria jest jawnie fałszywa. Wysuwanie teorii, która jest jawnie fałszywa, jest przewrotnością.</w:t>
      </w:r>
    </w:p>
    <w:bookmarkEnd w:id="348"/>
    <w:bookmarkStart w:id="354" w:name="o-tekście-pericope-adulterae"/>
    <w:p>
      <w:pPr>
        <w:pStyle w:val="Heading2"/>
      </w:pPr>
      <w:r>
        <w:t xml:space="preserve">O tekście</w:t>
      </w:r>
      <w:r>
        <w:t xml:space="preserve"> </w:t>
      </w:r>
      <w:r>
        <w:rPr>
          <w:iCs/>
          <w:i/>
        </w:rPr>
        <w:t xml:space="preserve">Pericope Adulterae</w:t>
      </w:r>
    </w:p>
    <w:p>
      <w:pPr>
        <w:pStyle w:val="FirstParagraph"/>
      </w:pPr>
      <w:r>
        <w:t xml:space="preserve">Poniższe informacje opierają się na pełnym kolacjonowaniu przez Maurice’a A. Robinsona 1389 manuskryptów zawierających Perykopę, Ewangelię Jana 7,53-8,11.</w:t>
      </w:r>
      <w:r>
        <w:rPr>
          <w:rStyle w:val="FootnoteReference"/>
        </w:rPr>
        <w:footnoteReference w:id="349"/>
      </w:r>
      <w:r>
        <w:t xml:space="preserve"> </w:t>
      </w:r>
      <w:r>
        <w:t xml:space="preserve">Próbowałem ustalić profil odczytów dla każdej z trzech głównych grup manuskryptów,</w:t>
      </w:r>
      <w:r>
        <w:t xml:space="preserve"> </w:t>
      </w:r>
      <w:r>
        <w:rPr>
          <w:bCs/>
          <w:b/>
        </w:rPr>
        <w:t xml:space="preserve">M</w:t>
      </w:r>
      <w:r>
        <w:rPr>
          <w:vertAlign w:val="superscript"/>
          <w:bCs/>
          <w:b/>
        </w:rPr>
        <w:t xml:space="preserve">5,6,7</w:t>
      </w:r>
      <w:r>
        <w:t xml:space="preserve"> </w:t>
      </w:r>
      <w:r>
        <w:t xml:space="preserve">(jak w aparacie Tekstu Większościowego H-F). Przyjmuję, że wszystkie mniejsze grupy są mieszaninami opartymi na wielkiej trójce. Niniejsza część przedstawia wyniki wraz z moją interpretacją ich znaczenia.</w:t>
      </w:r>
    </w:p>
    <w:bookmarkStart w:id="350" w:name="profil-m7"/>
    <w:p>
      <w:pPr>
        <w:pStyle w:val="Heading3"/>
      </w:pPr>
      <w:r>
        <w:t xml:space="preserve">Profil</w:t>
      </w:r>
      <w:r>
        <w:t xml:space="preserve"> </w:t>
      </w:r>
      <w:r>
        <w:rPr>
          <w:bCs/>
          <w:b/>
        </w:rPr>
        <w:t xml:space="preserve">M</w:t>
      </w:r>
      <w:r>
        <w:rPr>
          <w:vertAlign w:val="superscript"/>
          <w:bCs/>
          <w:b/>
        </w:rPr>
        <w:t xml:space="preserve">7</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απηλθεν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Ιησους δε</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pominięcie</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παρεγενετο</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επι</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κατειλημμενην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λεγουσιν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ταυτην ευρομεν</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επαυτοφωρω</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μοιχευομενην</w:t>
            </w:r>
          </w:p>
        </w:tc>
      </w:tr>
      <w:tr>
        <w:tc>
          <w:tcPr/>
          <w:p>
            <w:pPr>
              <w:pStyle w:val="Compact"/>
              <w:jc w:val="center"/>
            </w:pPr>
            <w:r>
              <w:t xml:space="preserve">8,5</w:t>
            </w:r>
          </w:p>
        </w:tc>
        <w:tc>
          <w:tcPr/>
          <w:p>
            <w:pPr>
              <w:pStyle w:val="Compact"/>
              <w:jc w:val="right"/>
            </w:pPr>
            <w:r>
              <w:t xml:space="preserve">15</w:t>
            </w:r>
          </w:p>
        </w:tc>
        <w:tc>
          <w:tcPr/>
          <w:p>
            <w:pPr>
              <w:pStyle w:val="Compact"/>
              <w:jc w:val="left"/>
            </w:pPr>
            <w:r>
              <w:t xml:space="preserve">ημων Μωσης</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λιθοβολεισθαι</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(περι αυτης)</w:t>
            </w:r>
          </w:p>
        </w:tc>
      </w:tr>
      <w:tr>
        <w:tc>
          <w:tcPr/>
          <w:p>
            <w:pPr>
              <w:pStyle w:val="Compact"/>
              <w:jc w:val="center"/>
            </w:pPr>
            <w:r>
              <w:t xml:space="preserve">8,6</w:t>
            </w:r>
          </w:p>
        </w:tc>
        <w:tc>
          <w:tcPr/>
          <w:p>
            <w:pPr>
              <w:pStyle w:val="Compact"/>
              <w:jc w:val="right"/>
            </w:pPr>
            <w:r>
              <w:t xml:space="preserve">18</w:t>
            </w:r>
          </w:p>
        </w:tc>
        <w:tc>
          <w:tcPr/>
          <w:p>
            <w:pPr>
              <w:pStyle w:val="Compact"/>
              <w:jc w:val="left"/>
            </w:pPr>
            <w:r>
              <w:t xml:space="preserve">κατηγοριαν κατ</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μη προσποιουμενος</w:t>
            </w:r>
          </w:p>
        </w:tc>
      </w:tr>
      <w:tr>
        <w:tc>
          <w:tcPr/>
          <w:p>
            <w:pPr>
              <w:pStyle w:val="Compact"/>
              <w:jc w:val="center"/>
            </w:pPr>
            <w:r>
              <w:t xml:space="preserve">8,7</w:t>
            </w:r>
          </w:p>
        </w:tc>
        <w:tc>
          <w:tcPr/>
          <w:p>
            <w:pPr>
              <w:pStyle w:val="Compact"/>
              <w:jc w:val="right"/>
            </w:pPr>
            <w:r>
              <w:t xml:space="preserve">20</w:t>
            </w:r>
          </w:p>
        </w:tc>
        <w:tc>
          <w:tcPr/>
          <w:p>
            <w:pPr>
              <w:pStyle w:val="Compact"/>
              <w:jc w:val="left"/>
            </w:pPr>
            <w:r>
              <w:t xml:space="preserve">ερωτωντες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ανακυψας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προς αυτους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τον λιθον επ αυτη βαλετω</w:t>
            </w:r>
          </w:p>
        </w:tc>
      </w:tr>
      <w:tr>
        <w:tc>
          <w:tcPr/>
          <w:p>
            <w:pPr>
              <w:pStyle w:val="Compact"/>
              <w:jc w:val="center"/>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μονος ο Ιησους</w:t>
            </w:r>
          </w:p>
        </w:tc>
      </w:tr>
      <w:tr>
        <w:tc>
          <w:tcPr/>
          <w:p>
            <w:pPr>
              <w:pStyle w:val="Compact"/>
              <w:jc w:val="center"/>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αυτη</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εκεινοι οι κατηγοροι σου</w:t>
            </w:r>
          </w:p>
        </w:tc>
      </w:tr>
      <w:tr>
        <w:tc>
          <w:tcPr/>
          <w:p>
            <w:pPr>
              <w:pStyle w:val="Compact"/>
              <w:jc w:val="center"/>
            </w:pPr>
            <w:r>
              <w:t xml:space="preserve">8,11</w:t>
            </w:r>
          </w:p>
        </w:tc>
        <w:tc>
          <w:tcPr/>
          <w:p>
            <w:pPr>
              <w:pStyle w:val="Compact"/>
              <w:jc w:val="right"/>
            </w:pPr>
            <w:r>
              <w:t xml:space="preserve">30</w:t>
            </w:r>
          </w:p>
        </w:tc>
        <w:tc>
          <w:tcPr/>
          <w:p>
            <w:pPr>
              <w:pStyle w:val="Compact"/>
              <w:jc w:val="left"/>
            </w:pPr>
            <w:r>
              <w:t xml:space="preserve">ειπεν δε αυτη ο Ιησους</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κατακρινω</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και απο του νυν</w:t>
            </w:r>
          </w:p>
        </w:tc>
      </w:tr>
    </w:tbl>
    <w:p>
      <w:pPr>
        <w:pStyle w:val="BodyText"/>
      </w:pPr>
      <w:r>
        <w:rPr>
          <w:bCs/>
          <w:b/>
        </w:rPr>
        <w:t xml:space="preserve">Komentarz</w:t>
      </w:r>
      <w:r>
        <w:t xml:space="preserve">: Jest to jeden wyraźny, jednoznaczny i niebudzący wątpliwości profil/mozaika, określony przez 127 manuskryptów — nie ma między nimi żadnego zróżnicowania wewnętrznego. Stanowi to uderzający kontrast z</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a przypuszczam, że także z mniejszymi grupami (chociaż ich nie sprawdziłem). Jak podano niżej, na potrzeby odróżnienia ich od siebie nawzajem oraz od</w:t>
      </w:r>
      <w:r>
        <w:t xml:space="preserve"> </w:t>
      </w:r>
      <w:r>
        <w:rPr>
          <w:bCs/>
          <w:b/>
        </w:rPr>
        <w:t xml:space="preserve">7</w:t>
      </w:r>
      <w:r>
        <w:t xml:space="preserve"> </w:t>
      </w:r>
      <w:r>
        <w:t xml:space="preserve">można uzyskać profil zarówno dla</w:t>
      </w:r>
      <w:r>
        <w:t xml:space="preserve"> </w:t>
      </w:r>
      <w:r>
        <w:rPr>
          <w:bCs/>
          <w:b/>
        </w:rPr>
        <w:t xml:space="preserve">5</w:t>
      </w:r>
      <w:r>
        <w:t xml:space="preserve">, jak i</w:t>
      </w:r>
      <w:r>
        <w:t xml:space="preserve"> </w:t>
      </w:r>
      <w:r>
        <w:rPr>
          <w:bCs/>
          <w:b/>
        </w:rPr>
        <w:t xml:space="preserve">6</w:t>
      </w:r>
      <w:r>
        <w:t xml:space="preserve">, lecz mają one tak wiele zróżnicowania wewnętrznego, że nie widzę sposobu na uzyskanie obiektywnie określonego archetypu, obie będą musiały zostać podzielone. Powyższy profil określa archetypalny tekst</w:t>
      </w:r>
      <w:r>
        <w:t xml:space="preserve"> </w:t>
      </w:r>
      <w:r>
        <w:rPr>
          <w:bCs/>
          <w:b/>
        </w:rPr>
        <w:t xml:space="preserve">M</w:t>
      </w:r>
      <w:r>
        <w:rPr>
          <w:vertAlign w:val="superscript"/>
          <w:bCs/>
          <w:b/>
        </w:rPr>
        <w:t xml:space="preserve">7</w:t>
      </w:r>
      <w:r>
        <w:t xml:space="preserve">.</w:t>
      </w:r>
    </w:p>
    <w:bookmarkEnd w:id="350"/>
    <w:bookmarkStart w:id="351" w:name="profil-m6"/>
    <w:p>
      <w:pPr>
        <w:pStyle w:val="Heading3"/>
      </w:pPr>
      <w:r>
        <w:t xml:space="preserve">Profil</w:t>
      </w:r>
      <w:r>
        <w:t xml:space="preserve"> </w:t>
      </w:r>
      <w:r>
        <w:rPr>
          <w:bCs/>
          <w:b/>
        </w:rPr>
        <w:t xml:space="preserve">M</w:t>
      </w:r>
      <w:r>
        <w:rPr>
          <w:vertAlign w:val="superscript"/>
          <w:bCs/>
          <w:b/>
        </w:rPr>
        <w:t xml:space="preserve">6</w:t>
      </w:r>
    </w:p>
    <w:tbl>
      <w:tblPr>
        <w:tblStyle w:val="Table"/>
        <w:tblW w:type="pct" w:w="5000"/>
        <w:tblLook w:firstRow="1" w:lastRow="0" w:firstColumn="0" w:lastColumn="0" w:noHBand="0" w:noVBand="0" w:val="0020"/>
        <w:jc w:val="start"/>
      </w:tblPr>
      <w:tblGrid>
        <w:gridCol w:w="3046"/>
        <w:gridCol w:w="2436"/>
        <w:gridCol w:w="2436"/>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απηλθεν / απηλθον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**και ο Ιησους δε / και ο Ιησους</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βαθεος</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**ηλθεν ο Ιησους</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 / 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επι</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κατειλημμενην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τω μεσω / 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**ειπον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 = pominięcie</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ταυτην ευρομεν</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επαυτοφωρω / –φορω / –φορως</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μοιχευομενην / –νη</w:t>
            </w:r>
          </w:p>
        </w:tc>
      </w:tr>
      <w:tr>
        <w:tc>
          <w:tcPr/>
          <w:p>
            <w:pPr>
              <w:pStyle w:val="Compact"/>
              <w:jc w:val="center"/>
            </w:pPr>
            <w:r>
              <w:t xml:space="preserve">8,5</w:t>
            </w:r>
          </w:p>
        </w:tc>
        <w:tc>
          <w:tcPr/>
          <w:p>
            <w:pPr>
              <w:pStyle w:val="Compact"/>
              <w:jc w:val="right"/>
            </w:pPr>
            <w:r>
              <w:t xml:space="preserve">15</w:t>
            </w:r>
          </w:p>
        </w:tc>
        <w:tc>
          <w:tcPr/>
          <w:p>
            <w:pPr>
              <w:pStyle w:val="Compact"/>
              <w:jc w:val="left"/>
            </w:pPr>
            <w:r>
              <w:t xml:space="preserve">ημων Μωσης / υμων Μωσης / Μ. ενετ. ημιν / Μωσης</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**λιθαζειν</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(περι αυτης) / περι αυτης</w:t>
            </w:r>
          </w:p>
        </w:tc>
      </w:tr>
      <w:tr>
        <w:tc>
          <w:tcPr/>
          <w:p>
            <w:pPr>
              <w:pStyle w:val="Compact"/>
              <w:jc w:val="center"/>
            </w:pPr>
            <w:r>
              <w:t xml:space="preserve">8,6</w:t>
            </w:r>
          </w:p>
        </w:tc>
        <w:tc>
          <w:tcPr/>
          <w:p>
            <w:pPr>
              <w:pStyle w:val="Compact"/>
              <w:jc w:val="right"/>
            </w:pPr>
            <w:r>
              <w:t xml:space="preserve">18</w:t>
            </w:r>
          </w:p>
        </w:tc>
        <w:tc>
          <w:tcPr/>
          <w:p>
            <w:pPr>
              <w:pStyle w:val="Compact"/>
              <w:jc w:val="left"/>
            </w:pPr>
            <w:r>
              <w:t xml:space="preserve">κατηγοριαν κατ</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(μη προσποιουμενος) / μη προσποιουμενος</w:t>
            </w:r>
          </w:p>
        </w:tc>
      </w:tr>
      <w:tr>
        <w:tc>
          <w:tcPr/>
          <w:p>
            <w:pPr>
              <w:pStyle w:val="Compact"/>
              <w:jc w:val="center"/>
            </w:pPr>
            <w:r>
              <w:t xml:space="preserve">8,7</w:t>
            </w:r>
          </w:p>
        </w:tc>
        <w:tc>
          <w:tcPr/>
          <w:p>
            <w:pPr>
              <w:pStyle w:val="Compact"/>
              <w:jc w:val="right"/>
            </w:pPr>
            <w:r>
              <w:t xml:space="preserve">20</w:t>
            </w:r>
          </w:p>
        </w:tc>
        <w:tc>
          <w:tcPr/>
          <w:p>
            <w:pPr>
              <w:pStyle w:val="Compact"/>
              <w:jc w:val="left"/>
            </w:pPr>
            <w:r>
              <w:t xml:space="preserve">ερωτωντες / επερωτωντες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αναβλεψας / ανακυψας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**αυτοις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**λιθον βαλετω επ αυτην</w:t>
            </w:r>
          </w:p>
        </w:tc>
      </w:tr>
      <w:tr>
        <w:tc>
          <w:tcPr/>
          <w:p>
            <w:pPr>
              <w:pStyle w:val="Compact"/>
              <w:jc w:val="center"/>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 / και υπο της συνειδησεως ελεγχομενοι</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ο Ιησους μονος / μονος</w:t>
            </w:r>
          </w:p>
        </w:tc>
      </w:tr>
      <w:tr>
        <w:tc>
          <w:tcPr/>
          <w:p>
            <w:pPr>
              <w:pStyle w:val="Compact"/>
              <w:jc w:val="center"/>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**ειδεν αυτην και ειπεν</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(αυτη) γυναι</w:t>
            </w:r>
          </w:p>
        </w:tc>
      </w:tr>
      <w:tr>
        <w:tc>
          <w:tcPr/>
          <w:p>
            <w:pPr>
              <w:pStyle w:val="Compact"/>
              <w:jc w:val="center"/>
            </w:pPr>
            <w:r>
              <w:t xml:space="preserve">8,10</w:t>
            </w:r>
          </w:p>
        </w:tc>
        <w:tc>
          <w:tcPr/>
          <w:p>
            <w:pPr>
              <w:pStyle w:val="Compact"/>
              <w:jc w:val="right"/>
            </w:pPr>
            <w:r>
              <w:t xml:space="preserve">30</w:t>
            </w:r>
          </w:p>
        </w:tc>
        <w:tc>
          <w:tcPr/>
          <w:p>
            <w:pPr>
              <w:pStyle w:val="Compact"/>
              <w:jc w:val="left"/>
            </w:pPr>
            <w:r>
              <w:t xml:space="preserve">(εκεινοι) / (εκεινοι οι κατηγοροι σου) / (που εκεινοι οι κατηγοροι σου)</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ειπεν δε αυτη ο Ιησους</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κατακρινω</w:t>
            </w:r>
          </w:p>
        </w:tc>
      </w:tr>
      <w:tr>
        <w:tc>
          <w:tcPr/>
          <w:p>
            <w:pPr>
              <w:pStyle w:val="Compact"/>
              <w:jc w:val="center"/>
            </w:pPr>
            <w:r>
              <w:t xml:space="preserve">8,11</w:t>
            </w:r>
          </w:p>
        </w:tc>
        <w:tc>
          <w:tcPr/>
          <w:p>
            <w:pPr>
              <w:pStyle w:val="Compact"/>
              <w:jc w:val="right"/>
            </w:pPr>
            <w:r>
              <w:t xml:space="preserve">33</w:t>
            </w:r>
          </w:p>
        </w:tc>
        <w:tc>
          <w:tcPr/>
          <w:p>
            <w:pPr>
              <w:pStyle w:val="Compact"/>
              <w:jc w:val="left"/>
            </w:pPr>
            <w:r>
              <w:t xml:space="preserve">και απο του νυν / απο του νυν και</w:t>
            </w:r>
          </w:p>
        </w:tc>
      </w:tr>
    </w:tbl>
    <w:p>
      <w:pPr>
        <w:pStyle w:val="BodyText"/>
      </w:pPr>
      <w:r>
        <w:rPr>
          <w:bCs/>
          <w:b/>
        </w:rPr>
        <w:t xml:space="preserve">Komentarz</w:t>
      </w:r>
      <w:r>
        <w:t xml:space="preserve">: Sprawdziłem manuskrypty</w:t>
      </w:r>
      <w:r>
        <w:t xml:space="preserve"> </w:t>
      </w:r>
      <w:r>
        <w:rPr>
          <w:bCs/>
          <w:b/>
        </w:rPr>
        <w:t xml:space="preserve">M</w:t>
      </w:r>
      <w:r>
        <w:rPr>
          <w:vertAlign w:val="superscript"/>
          <w:bCs/>
          <w:b/>
        </w:rPr>
        <w:t xml:space="preserve">6</w:t>
      </w:r>
      <w:r>
        <w:t xml:space="preserve"> </w:t>
      </w:r>
      <w:r>
        <w:t xml:space="preserve">z</w:t>
      </w:r>
      <w:r>
        <w:t xml:space="preserve"> </w:t>
      </w:r>
      <w:r>
        <w:rPr>
          <w:bCs/>
          <w:b/>
        </w:rPr>
        <w:t xml:space="preserve">XI</w:t>
      </w:r>
      <w:r>
        <w:t xml:space="preserve"> </w:t>
      </w:r>
      <w:r>
        <w:t xml:space="preserve">wieku (ponad 80) i ku mojemu zaskoczeniu żadne dwa nie miały identycznej mozaiki wariantów. Niezależnie od tego, jakiego zestawu kontrastowego użyje się jako podstawy (np. βαθεως × βαθεος), gdy tylko spojrzy się w dół wykazu pozostałych wariantów, manuskrypty wędrują tam i z powrotem, tworząc oszałamiającą różnorodność odmienności, zmieniających się sojuszy czy czegokolwiek innego. Jeśli sprawdzone zostaną wszystkie stulecia, przypuszczalnie znajdzie się kilka małych grup, w których manuskrypty członkowskie mają identyczne mozaiki, lecz nie wyłoni się żaden pojedynczy, rozstrzygający profil</w:t>
      </w:r>
      <w:r>
        <w:t xml:space="preserve"> </w:t>
      </w:r>
      <w:r>
        <w:rPr>
          <w:bCs/>
          <w:b/>
        </w:rPr>
        <w:t xml:space="preserve">M</w:t>
      </w:r>
      <w:r>
        <w:rPr>
          <w:vertAlign w:val="superscript"/>
          <w:bCs/>
          <w:b/>
        </w:rPr>
        <w:t xml:space="preserve">6</w:t>
      </w:r>
      <w:r>
        <w:t xml:space="preserve"> </w:t>
      </w:r>
      <w:r>
        <w:t xml:space="preserve">(w przeciwieństwie do</w:t>
      </w:r>
      <w:r>
        <w:t xml:space="preserve"> </w:t>
      </w:r>
      <w:r>
        <w:rPr>
          <w:bCs/>
          <w:b/>
        </w:rPr>
        <w:t xml:space="preserve">M</w:t>
      </w:r>
      <w:r>
        <w:rPr>
          <w:vertAlign w:val="superscript"/>
          <w:bCs/>
          <w:b/>
        </w:rPr>
        <w:t xml:space="preserve">7</w:t>
      </w:r>
      <w:r>
        <w:t xml:space="preserve">). Jeśli nie ma jednego profilu, nie ma obiektywnego sposobu zdefiniowania/ustalenia/odtworzenia archetypu</w:t>
      </w:r>
      <w:r>
        <w:t xml:space="preserve"> </w:t>
      </w:r>
      <w:r>
        <w:rPr>
          <w:bCs/>
          <w:b/>
        </w:rPr>
        <w:t xml:space="preserve">M</w:t>
      </w:r>
      <w:r>
        <w:rPr>
          <w:vertAlign w:val="superscript"/>
          <w:bCs/>
          <w:b/>
        </w:rPr>
        <w:t xml:space="preserve">6</w:t>
      </w:r>
      <w:r>
        <w:t xml:space="preserve">. Bez możliwego do zdefiniowania archetypu</w:t>
      </w:r>
      <w:r>
        <w:t xml:space="preserve"> </w:t>
      </w:r>
      <w:r>
        <w:rPr>
          <w:bCs/>
          <w:b/>
        </w:rPr>
        <w:t xml:space="preserve">M</w:t>
      </w:r>
      <w:r>
        <w:rPr>
          <w:vertAlign w:val="superscript"/>
          <w:bCs/>
          <w:b/>
        </w:rPr>
        <w:t xml:space="preserve">6</w:t>
      </w:r>
      <w:r>
        <w:t xml:space="preserve"> </w:t>
      </w:r>
      <w:r>
        <w:t xml:space="preserve">nie jest realnym kandydatem do oryginalnej formy Tekstu. Dziesięć wariantów oznaczonych ** odróżnia jednak</w:t>
      </w:r>
      <w:r>
        <w:t xml:space="preserve"> </w:t>
      </w:r>
      <w:r>
        <w:rPr>
          <w:bCs/>
          <w:b/>
        </w:rPr>
        <w:t xml:space="preserve">M</w:t>
      </w:r>
      <w:r>
        <w:rPr>
          <w:vertAlign w:val="superscript"/>
          <w:bCs/>
          <w:b/>
        </w:rPr>
        <w:t xml:space="preserve">6</w:t>
      </w:r>
      <w:r>
        <w:t xml:space="preserve"> </w:t>
      </w:r>
      <w:r>
        <w:t xml:space="preserve">zarówno od</w:t>
      </w:r>
      <w:r>
        <w:t xml:space="preserve"> </w:t>
      </w:r>
      <w:r>
        <w:rPr>
          <w:bCs/>
          <w:b/>
        </w:rPr>
        <w:t xml:space="preserve">M</w:t>
      </w:r>
      <w:r>
        <w:rPr>
          <w:vertAlign w:val="superscript"/>
          <w:bCs/>
          <w:b/>
        </w:rPr>
        <w:t xml:space="preserve">5</w:t>
      </w:r>
      <w:r>
        <w:t xml:space="preserve">, jak i od</w:t>
      </w:r>
      <w:r>
        <w:t xml:space="preserve"> </w:t>
      </w:r>
      <w:r>
        <w:rPr>
          <w:bCs/>
          <w:b/>
        </w:rPr>
        <w:t xml:space="preserve">M</w:t>
      </w:r>
      <w:r>
        <w:rPr>
          <w:vertAlign w:val="superscript"/>
          <w:bCs/>
          <w:b/>
        </w:rPr>
        <w:t xml:space="preserve">7</w:t>
      </w:r>
      <w:r>
        <w:t xml:space="preserve">, tworząc jej „kręgosłup”. Dwa spośród tych dziesięciu, a także kolejnych czternaście, mają jednak zróżnicowanie wewnętrzne (oprócz różnych dalszych odmienności niezapisanych na tej liście). Poszczególne manuskrypty w oszałamiający sposób meandrują wśród mnogości wewnętrznego (w obrębie grupy) zróżnicowania, co wszystko razem zmniejsza wiarygodność grupy. Przyjmuję, że</w:t>
      </w:r>
      <w:r>
        <w:t xml:space="preserve"> </w:t>
      </w:r>
      <w:r>
        <w:rPr>
          <w:bCs/>
          <w:b/>
        </w:rPr>
        <w:t xml:space="preserve">M</w:t>
      </w:r>
      <w:r>
        <w:rPr>
          <w:vertAlign w:val="superscript"/>
          <w:bCs/>
          <w:b/>
        </w:rPr>
        <w:t xml:space="preserve">6</w:t>
      </w:r>
      <w:r>
        <w:t xml:space="preserve"> </w:t>
      </w:r>
      <w:r>
        <w:t xml:space="preserve">odzwierciedla wpływ aleksandryjski.</w:t>
      </w:r>
    </w:p>
    <w:bookmarkEnd w:id="351"/>
    <w:bookmarkStart w:id="352" w:name="profil-m5"/>
    <w:p>
      <w:pPr>
        <w:pStyle w:val="Heading3"/>
      </w:pPr>
      <w:r>
        <w:t xml:space="preserve">Profil</w:t>
      </w:r>
      <w:r>
        <w:t xml:space="preserve"> </w:t>
      </w:r>
      <w:r>
        <w:rPr>
          <w:bCs/>
          <w:b/>
        </w:rPr>
        <w:t xml:space="preserve">M</w:t>
      </w:r>
      <w:r>
        <w:rPr>
          <w:vertAlign w:val="superscript"/>
          <w:bCs/>
          <w:b/>
        </w:rPr>
        <w:t xml:space="preserve">5</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**επορευθη / επορευθησαν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Ιησους δε</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pominięcie</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παρεγενετο</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**εν</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**καταληφθεισαν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λεγουσιν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**αυτη η γυνη</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**κατεληφθη / ειληπται / κατειληπται</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επαυτοφωρω / –φορω</w:t>
            </w:r>
          </w:p>
        </w:tc>
      </w:tr>
      <w:tr>
        <w:tc>
          <w:tcPr/>
          <w:p>
            <w:pPr>
              <w:pStyle w:val="Compact"/>
              <w:jc w:val="center"/>
            </w:pPr>
            <w:r>
              <w:t xml:space="preserve">8,4</w:t>
            </w:r>
          </w:p>
        </w:tc>
        <w:tc>
          <w:tcPr/>
          <w:p>
            <w:pPr>
              <w:pStyle w:val="Compact"/>
              <w:jc w:val="right"/>
            </w:pPr>
            <w:r>
              <w:t xml:space="preserve">15</w:t>
            </w:r>
          </w:p>
        </w:tc>
        <w:tc>
          <w:tcPr/>
          <w:p>
            <w:pPr>
              <w:pStyle w:val="Compact"/>
              <w:jc w:val="left"/>
            </w:pPr>
            <w:r>
              <w:t xml:space="preserve">**μοιχευομενη</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**Μωσης ημιν</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λιθοβολεισθαι</w:t>
            </w:r>
          </w:p>
        </w:tc>
      </w:tr>
      <w:tr>
        <w:tc>
          <w:tcPr/>
          <w:p>
            <w:pPr>
              <w:pStyle w:val="Compact"/>
              <w:jc w:val="center"/>
            </w:pPr>
            <w:r>
              <w:t xml:space="preserve">8,5</w:t>
            </w:r>
          </w:p>
        </w:tc>
        <w:tc>
          <w:tcPr/>
          <w:p>
            <w:pPr>
              <w:pStyle w:val="Compact"/>
              <w:jc w:val="right"/>
            </w:pPr>
            <w:r>
              <w:t xml:space="preserve">18</w:t>
            </w:r>
          </w:p>
        </w:tc>
        <w:tc>
          <w:tcPr/>
          <w:p>
            <w:pPr>
              <w:pStyle w:val="Compact"/>
              <w:jc w:val="left"/>
            </w:pPr>
            <w:r>
              <w:t xml:space="preserve">(περι αυτης)</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**κατηγορειν</w:t>
            </w:r>
          </w:p>
        </w:tc>
      </w:tr>
      <w:tr>
        <w:tc>
          <w:tcPr/>
          <w:p>
            <w:pPr>
              <w:pStyle w:val="Compact"/>
              <w:jc w:val="center"/>
            </w:pPr>
            <w:r>
              <w:t xml:space="preserve">8,6</w:t>
            </w:r>
          </w:p>
        </w:tc>
        <w:tc>
          <w:tcPr/>
          <w:p>
            <w:pPr>
              <w:pStyle w:val="Compact"/>
              <w:jc w:val="right"/>
            </w:pPr>
            <w:r>
              <w:t xml:space="preserve">20</w:t>
            </w:r>
          </w:p>
        </w:tc>
        <w:tc>
          <w:tcPr/>
          <w:p>
            <w:pPr>
              <w:pStyle w:val="Compact"/>
              <w:jc w:val="left"/>
            </w:pPr>
            <w:r>
              <w:t xml:space="preserve">μη προσποιουμενος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ερωτωντες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ανακυψας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προς αυτους</w:t>
            </w:r>
          </w:p>
        </w:tc>
      </w:tr>
      <w:tr>
        <w:tc>
          <w:tcPr/>
          <w:p>
            <w:pPr>
              <w:pStyle w:val="Compact"/>
              <w:jc w:val="center"/>
            </w:pPr>
            <w:r>
              <w:t xml:space="preserve">8,7</w:t>
            </w:r>
          </w:p>
        </w:tc>
        <w:tc>
          <w:tcPr/>
          <w:p>
            <w:pPr>
              <w:pStyle w:val="Compact"/>
              <w:jc w:val="right"/>
            </w:pPr>
            <w:r>
              <w:t xml:space="preserve">24</w:t>
            </w:r>
          </w:p>
        </w:tc>
        <w:tc>
          <w:tcPr/>
          <w:p>
            <w:pPr>
              <w:pStyle w:val="Compact"/>
              <w:jc w:val="left"/>
            </w:pPr>
            <w:r>
              <w:t xml:space="preserve">**επ αυτην τον λιθον βαλετω</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και υπο της συνειδησεως ελεγχομενοι</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27</w:t>
            </w:r>
          </w:p>
        </w:tc>
        <w:tc>
          <w:tcPr/>
          <w:p>
            <w:pPr>
              <w:pStyle w:val="Compact"/>
              <w:jc w:val="left"/>
            </w:pPr>
            <w:r>
              <w:t xml:space="preserve">μονος ο Ιησους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αυτη / αυτη γυναι</w:t>
            </w:r>
          </w:p>
        </w:tc>
      </w:tr>
      <w:tr>
        <w:tc>
          <w:tcPr/>
          <w:p>
            <w:pPr>
              <w:pStyle w:val="Compact"/>
              <w:jc w:val="center"/>
            </w:pPr>
            <w:r>
              <w:t xml:space="preserve">8,10</w:t>
            </w:r>
          </w:p>
        </w:tc>
        <w:tc>
          <w:tcPr/>
          <w:p>
            <w:pPr>
              <w:pStyle w:val="Compact"/>
              <w:jc w:val="right"/>
            </w:pPr>
            <w:r>
              <w:t xml:space="preserve">30</w:t>
            </w:r>
          </w:p>
        </w:tc>
        <w:tc>
          <w:tcPr/>
          <w:p>
            <w:pPr>
              <w:pStyle w:val="Compact"/>
              <w:jc w:val="left"/>
            </w:pPr>
            <w:r>
              <w:t xml:space="preserve">εκεινοι οι κατηγοροι σου</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**ειπεν δε ο Ιησους</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**κρινω / κατακρινω</w:t>
            </w:r>
          </w:p>
        </w:tc>
      </w:tr>
      <w:tr>
        <w:tc>
          <w:tcPr/>
          <w:p>
            <w:pPr>
              <w:pStyle w:val="Compact"/>
              <w:jc w:val="center"/>
            </w:pPr>
            <w:r>
              <w:t xml:space="preserve">8,11</w:t>
            </w:r>
          </w:p>
        </w:tc>
        <w:tc>
          <w:tcPr/>
          <w:p>
            <w:pPr>
              <w:pStyle w:val="Compact"/>
              <w:jc w:val="right"/>
            </w:pPr>
            <w:r>
              <w:t xml:space="preserve">33</w:t>
            </w:r>
          </w:p>
        </w:tc>
        <w:tc>
          <w:tcPr/>
          <w:p>
            <w:pPr>
              <w:pStyle w:val="Compact"/>
              <w:jc w:val="left"/>
            </w:pPr>
            <w:r>
              <w:t xml:space="preserve">και</w:t>
            </w:r>
          </w:p>
        </w:tc>
      </w:tr>
    </w:tbl>
    <w:p>
      <w:pPr>
        <w:pStyle w:val="BodyText"/>
      </w:pPr>
      <w:r>
        <w:rPr>
          <w:bCs/>
          <w:b/>
        </w:rPr>
        <w:t xml:space="preserve">Komentarz</w:t>
      </w:r>
      <w:r>
        <w:t xml:space="preserve">: Odkładając na bok podziały w nr. 1, 13, 14, 29 i 32, istnieje grupa manuskryptów o tym profilu. Istnieje równie duża grupa, która w wersecie 6 zmienia εγραφεν na κατεγραφεν, a w wersecie 7 zmienia πρωτος na πρωτον. Obie te grupy mają rdzeń manuskryptów o „doskonałym” profilu, z wyjątkiem tego, że obie grupy dzielą się w sprawie -φωρω/-φορω. Obie grupy mają „rozmyte” krawędzie z licznymi manuskryptami wykazującymi różne stopnie odmienności. Istnieje duża liczba manuskryptów mieszanych, skupionych wokół kilku z grubsza określonych mozaik. Istnieje również trójdzielny podział w wariancie nr 24, a ponadto czwarty, słabszy wariant (205 manuskryptów × 191 × 104 × 21). Warianty oznaczone ** odróżniają jednak</w:t>
      </w:r>
      <w:r>
        <w:t xml:space="preserve"> </w:t>
      </w:r>
      <w:r>
        <w:rPr>
          <w:bCs/>
          <w:b/>
        </w:rPr>
        <w:t xml:space="preserve">M</w:t>
      </w:r>
      <w:r>
        <w:rPr>
          <w:vertAlign w:val="superscript"/>
          <w:bCs/>
          <w:b/>
        </w:rPr>
        <w:t xml:space="preserve">5</w:t>
      </w:r>
      <w:r>
        <w:t xml:space="preserve"> </w:t>
      </w:r>
      <w:r>
        <w:t xml:space="preserve">zarówno od</w:t>
      </w:r>
      <w:r>
        <w:t xml:space="preserve"> </w:t>
      </w:r>
      <w:r>
        <w:rPr>
          <w:bCs/>
          <w:b/>
        </w:rPr>
        <w:t xml:space="preserve">M</w:t>
      </w:r>
      <w:r>
        <w:rPr>
          <w:vertAlign w:val="superscript"/>
          <w:bCs/>
          <w:b/>
        </w:rPr>
        <w:t xml:space="preserve">6</w:t>
      </w:r>
      <w:r>
        <w:t xml:space="preserve">, jak i od</w:t>
      </w:r>
      <w:r>
        <w:t xml:space="preserve"> </w:t>
      </w:r>
      <w:r>
        <w:rPr>
          <w:bCs/>
          <w:b/>
        </w:rPr>
        <w:t xml:space="preserve">M</w:t>
      </w:r>
      <w:r>
        <w:rPr>
          <w:vertAlign w:val="superscript"/>
          <w:bCs/>
          <w:b/>
        </w:rPr>
        <w:t xml:space="preserve">7</w:t>
      </w:r>
      <w:r>
        <w:t xml:space="preserve">, tworząc jej „kręgosłup”, chociaż w trzech z nich istnieje zróżnicowanie wewnętrzne, niezależnie od nr. 24. Istnieje dalsze zróżnicowanie wewnętrzne niezapisane na tej liście.</w:t>
      </w:r>
      <w:r>
        <w:t xml:space="preserve"> </w:t>
      </w:r>
      <w:r>
        <w:rPr>
          <w:bCs/>
          <w:b/>
        </w:rPr>
        <w:t xml:space="preserve">M</w:t>
      </w:r>
      <w:r>
        <w:rPr>
          <w:vertAlign w:val="superscript"/>
          <w:bCs/>
          <w:b/>
        </w:rPr>
        <w:t xml:space="preserve">5</w:t>
      </w:r>
      <w:r>
        <w:t xml:space="preserve"> </w:t>
      </w:r>
      <w:r>
        <w:t xml:space="preserve">nie jest tak „grząska” jak</w:t>
      </w:r>
      <w:r>
        <w:t xml:space="preserve"> </w:t>
      </w:r>
      <w:r>
        <w:rPr>
          <w:bCs/>
          <w:b/>
        </w:rPr>
        <w:t xml:space="preserve">M</w:t>
      </w:r>
      <w:r>
        <w:rPr>
          <w:vertAlign w:val="superscript"/>
          <w:bCs/>
          <w:b/>
        </w:rPr>
        <w:t xml:space="preserve">6</w:t>
      </w:r>
      <w:r>
        <w:t xml:space="preserve">, lecz nie jest tak solidna jak</w:t>
      </w:r>
      <w:r>
        <w:t xml:space="preserve"> </w:t>
      </w:r>
      <w:r>
        <w:rPr>
          <w:bCs/>
          <w:b/>
        </w:rPr>
        <w:t xml:space="preserve">M</w:t>
      </w:r>
      <w:r>
        <w:rPr>
          <w:vertAlign w:val="superscript"/>
          <w:bCs/>
          <w:b/>
        </w:rPr>
        <w:t xml:space="preserve">7</w:t>
      </w:r>
      <w:r>
        <w:t xml:space="preserve">. Przyjmuję, że</w:t>
      </w:r>
      <w:r>
        <w:t xml:space="preserve"> </w:t>
      </w:r>
      <w:r>
        <w:rPr>
          <w:bCs/>
          <w:b/>
        </w:rPr>
        <w:t xml:space="preserve">M</w:t>
      </w:r>
      <w:r>
        <w:rPr>
          <w:vertAlign w:val="superscript"/>
          <w:bCs/>
          <w:b/>
        </w:rPr>
        <w:t xml:space="preserve">5</w:t>
      </w:r>
      <w:r>
        <w:t xml:space="preserve"> </w:t>
      </w:r>
      <w:r>
        <w:t xml:space="preserve">odzwierciedla wpływ łaciński. W każdym razie ustalenie jednego archetypu</w:t>
      </w:r>
      <w:r>
        <w:t xml:space="preserve"> </w:t>
      </w:r>
      <w:r>
        <w:rPr>
          <w:bCs/>
          <w:b/>
        </w:rPr>
        <w:t xml:space="preserve">M</w:t>
      </w:r>
      <w:r>
        <w:rPr>
          <w:vertAlign w:val="superscript"/>
          <w:bCs/>
          <w:b/>
        </w:rPr>
        <w:t xml:space="preserve">5</w:t>
      </w:r>
      <w:r>
        <w:t xml:space="preserve"> </w:t>
      </w:r>
      <w:r>
        <w:t xml:space="preserve">wydaje się zaledwie możliwe, a musi go mieć, aby być realnym kandydatem do oryginalnej formy Tekstu. Najwyraźniej forma oryginalna jest archetypem ostatecznym.</w:t>
      </w:r>
    </w:p>
    <w:bookmarkEnd w:id="352"/>
    <w:bookmarkStart w:id="353" w:name="X9c714fc0aede81bb278e92288a36ad6ad4dcb78"/>
    <w:p>
      <w:pPr>
        <w:pStyle w:val="Heading3"/>
      </w:pPr>
      <w:r>
        <w:t xml:space="preserve">Jednoznaczni przedstawiciele</w:t>
      </w:r>
      <w:r>
        <w:t xml:space="preserve"> </w:t>
      </w:r>
      <w:r>
        <w:rPr>
          <w:bCs/>
          <w:b/>
        </w:rPr>
        <w:t xml:space="preserve">M</w:t>
      </w:r>
      <w:r>
        <w:rPr>
          <w:vertAlign w:val="superscript"/>
          <w:bCs/>
          <w:b/>
        </w:rPr>
        <w:t xml:space="preserve">7</w:t>
      </w:r>
      <w:r>
        <w:t xml:space="preserve"> </w:t>
      </w:r>
      <w:r>
        <w:t xml:space="preserve">(</w:t>
      </w:r>
      <w:r>
        <w:rPr>
          <w:bCs/>
          <w:b/>
        </w:rPr>
        <w:t xml:space="preserve">f</w:t>
      </w:r>
      <w:r>
        <w:rPr>
          <w:vertAlign w:val="superscript"/>
          <w:bCs/>
          <w:b/>
        </w:rPr>
        <w:t xml:space="preserve">35</w:t>
      </w:r>
      <w:r>
        <w:t xml:space="preserve">) = 245 manuskryptów</w:t>
      </w:r>
    </w:p>
    <w:p>
      <w:pPr>
        <w:numPr>
          <w:ilvl w:val="0"/>
          <w:numId w:val="1035"/>
        </w:numPr>
      </w:pPr>
      <w:r>
        <w:rPr>
          <w:bCs/>
          <w:b/>
        </w:rPr>
        <w:t xml:space="preserve">Doskonała zgodność (główni przedstawiciele)</w:t>
      </w:r>
      <w:r>
        <w:t xml:space="preserve"> </w:t>
      </w:r>
      <w:r>
        <w:t xml:space="preserve">—</w:t>
      </w:r>
      <w:r>
        <w:t xml:space="preserve"> </w:t>
      </w:r>
      <w:r>
        <w:rPr>
          <w:bCs/>
          <w:b/>
        </w:rPr>
        <w:t xml:space="preserve">XI</w:t>
      </w:r>
      <w:r>
        <w:t xml:space="preserve">: 35, 83, 547, 1435;</w:t>
      </w:r>
      <w:r>
        <w:t xml:space="preserve"> </w:t>
      </w:r>
      <w:r>
        <w:rPr>
          <w:bCs/>
          <w:b/>
        </w:rPr>
        <w:t xml:space="preserve">XII</w:t>
      </w:r>
      <w:r>
        <w:t xml:space="preserve">: 510, 768, 1046, 1323, 1329, 1489, 1490, 2296, 2367, 2382;</w:t>
      </w:r>
      <w:r>
        <w:t xml:space="preserve"> </w:t>
      </w:r>
      <w:r>
        <w:rPr>
          <w:bCs/>
          <w:b/>
        </w:rPr>
        <w:t xml:space="preserve">XIII</w:t>
      </w:r>
      <w:r>
        <w:t xml:space="preserve">: 128, 141, 147, 154, 167, 170, 204, 361, 553, 676, 685, 696, 757, 825, 897, 1072, 1251, 1339, 1400, 1461, 1496, 1499, 1550, 1551, 1576, 1694, 2284, 2479, 2510;</w:t>
      </w:r>
      <w:r>
        <w:t xml:space="preserve"> </w:t>
      </w:r>
      <w:r>
        <w:rPr>
          <w:bCs/>
          <w:b/>
        </w:rPr>
        <w:t xml:space="preserve">XIV</w:t>
      </w:r>
      <w:r>
        <w:t xml:space="preserve">: 18, 55, 66, 201, 246, 363, 386, 402, 415, 480, 586, 645, 758, 763, 769, 781, 789, 797, 824, 845, 867, 928, 932, 938, 960, 986, 1023, 1075, 1092, 1111, 1117, 1119, 1133, 1146, 1189, 1236, 1328, 1390, 1482, 1488, 1492, 1493, 1548, 1560, 1572, 1584, 1600, 1619, 1620, 1628, 1633, 1637, 1650, 1659, 1667, 1688, 1698, 1703, 2261, 2355, 2407, 2454, 2503, 2765, 2767;</w:t>
      </w:r>
      <w:r>
        <w:t xml:space="preserve"> </w:t>
      </w:r>
      <w:r>
        <w:rPr>
          <w:bCs/>
          <w:b/>
        </w:rPr>
        <w:t xml:space="preserve">XV</w:t>
      </w:r>
      <w:r>
        <w:t xml:space="preserve">: 955, 958, 962, 1003, 1180, 1250, 1508, 1625, 1636, 1648, 1686, 1713, 2131, 2554;</w:t>
      </w:r>
      <w:r>
        <w:t xml:space="preserve"> </w:t>
      </w:r>
      <w:r>
        <w:rPr>
          <w:bCs/>
          <w:b/>
        </w:rPr>
        <w:t xml:space="preserve">XVI</w:t>
      </w:r>
      <w:r>
        <w:t xml:space="preserve">: 1596, 1652, 2496, 2636, 2806 = 127 manuskryptów.</w:t>
      </w:r>
    </w:p>
    <w:p>
      <w:pPr>
        <w:numPr>
          <w:ilvl w:val="0"/>
          <w:numId w:val="1035"/>
        </w:numPr>
      </w:pPr>
      <w:r>
        <w:rPr>
          <w:bCs/>
          <w:b/>
        </w:rPr>
        <w:t xml:space="preserve">Główna podgrupa: w 8,4 ma επαυτοφορω (jedyna zmiana)</w:t>
      </w:r>
      <w:r>
        <w:t xml:space="preserve"> </w:t>
      </w:r>
      <w:r>
        <w:t xml:space="preserve">—</w:t>
      </w:r>
      <w:r>
        <w:t xml:space="preserve"> </w:t>
      </w:r>
      <w:r>
        <w:rPr>
          <w:bCs/>
          <w:b/>
        </w:rPr>
        <w:t xml:space="preserve">XII</w:t>
      </w:r>
      <w:r>
        <w:t xml:space="preserve">: 660, 1145, 1224;</w:t>
      </w:r>
      <w:r>
        <w:t xml:space="preserve"> </w:t>
      </w:r>
      <w:r>
        <w:rPr>
          <w:bCs/>
          <w:b/>
        </w:rPr>
        <w:t xml:space="preserve">XIII</w:t>
      </w:r>
      <w:r>
        <w:t xml:space="preserve">: 479, 689, 691, 940, 1334, 1487, 1501, 1601, 2584, 2598;</w:t>
      </w:r>
      <w:r>
        <w:t xml:space="preserve"> </w:t>
      </w:r>
      <w:r>
        <w:rPr>
          <w:bCs/>
          <w:b/>
        </w:rPr>
        <w:t xml:space="preserve">XIV</w:t>
      </w:r>
      <w:r>
        <w:t xml:space="preserve">: 189, 290, 394, 521, 890, 959, 1025, 1165, 1234, 1445, 1462, 1476, 1543, 1559, 1614, 1618, 1622, 1634, 1657, 1658, 2309, 2399, 2466, 2621, 2689;</w:t>
      </w:r>
      <w:r>
        <w:t xml:space="preserve"> </w:t>
      </w:r>
      <w:r>
        <w:rPr>
          <w:bCs/>
          <w:b/>
        </w:rPr>
        <w:t xml:space="preserve">XV</w:t>
      </w:r>
      <w:r>
        <w:t xml:space="preserve">: 285, 961, 1017, 1059, 1132, 1158, 1247, 1649, 1656, 2204, 2221, 2352, 2692;</w:t>
      </w:r>
      <w:r>
        <w:t xml:space="preserve"> </w:t>
      </w:r>
      <w:r>
        <w:rPr>
          <w:bCs/>
          <w:b/>
        </w:rPr>
        <w:t xml:space="preserve">XVI</w:t>
      </w:r>
      <w:r>
        <w:t xml:space="preserve">: 1680, 1702, 2255;</w:t>
      </w:r>
      <w:r>
        <w:t xml:space="preserve"> </w:t>
      </w:r>
      <w:r>
        <w:rPr>
          <w:bCs/>
          <w:b/>
        </w:rPr>
        <w:t xml:space="preserve">XVII</w:t>
      </w:r>
      <w:r>
        <w:t xml:space="preserve">: 1700 = 55 manuskryptów.</w:t>
      </w:r>
    </w:p>
    <w:p>
      <w:pPr>
        <w:numPr>
          <w:ilvl w:val="0"/>
          <w:numId w:val="1035"/>
        </w:numPr>
      </w:pPr>
      <w:r>
        <w:rPr>
          <w:bCs/>
          <w:b/>
        </w:rPr>
        <w:t xml:space="preserve">Mniejsza podgrupa: w 8,9 ma κατεληφθη (jedyna zmiana)</w:t>
      </w:r>
      <w:r>
        <w:t xml:space="preserve"> </w:t>
      </w:r>
      <w:r>
        <w:t xml:space="preserve">—</w:t>
      </w:r>
      <w:r>
        <w:t xml:space="preserve"> </w:t>
      </w:r>
      <w:r>
        <w:rPr>
          <w:bCs/>
          <w:b/>
        </w:rPr>
        <w:t xml:space="preserve">XIII</w:t>
      </w:r>
      <w:r>
        <w:t xml:space="preserve">: 155, 2520;</w:t>
      </w:r>
      <w:r>
        <w:t xml:space="preserve"> </w:t>
      </w:r>
      <w:r>
        <w:rPr>
          <w:bCs/>
          <w:b/>
        </w:rPr>
        <w:t xml:space="preserve">XIV</w:t>
      </w:r>
      <w:r>
        <w:t xml:space="preserve">: 588, 1185;</w:t>
      </w:r>
      <w:r>
        <w:t xml:space="preserve"> </w:t>
      </w:r>
      <w:r>
        <w:rPr>
          <w:bCs/>
          <w:b/>
        </w:rPr>
        <w:t xml:space="preserve">XV</w:t>
      </w:r>
      <w:r>
        <w:t xml:space="preserve">: 1617;</w:t>
      </w:r>
      <w:r>
        <w:t xml:space="preserve"> </w:t>
      </w:r>
      <w:r>
        <w:rPr>
          <w:bCs/>
          <w:b/>
        </w:rPr>
        <w:t xml:space="preserve">XVI</w:t>
      </w:r>
      <w:r>
        <w:t xml:space="preserve">: 1088 = 6 manuskryptów.</w:t>
      </w:r>
    </w:p>
    <w:p>
      <w:pPr>
        <w:numPr>
          <w:ilvl w:val="0"/>
          <w:numId w:val="1035"/>
        </w:numPr>
      </w:pPr>
      <w:r>
        <w:rPr>
          <w:bCs/>
          <w:b/>
        </w:rPr>
        <w:t xml:space="preserve">Mniejsza podgrupa: w 8,7 ma τον λιθον βαλετω επ αυτην (jedyna zmiana)</w:t>
      </w:r>
      <w:r>
        <w:t xml:space="preserve"> </w:t>
      </w:r>
      <w:r>
        <w:t xml:space="preserve">—</w:t>
      </w:r>
      <w:r>
        <w:t xml:space="preserve"> </w:t>
      </w:r>
      <w:r>
        <w:rPr>
          <w:bCs/>
          <w:b/>
        </w:rPr>
        <w:t xml:space="preserve">XII</w:t>
      </w:r>
      <w:r>
        <w:t xml:space="preserve">: 1199;</w:t>
      </w:r>
      <w:r>
        <w:t xml:space="preserve"> </w:t>
      </w:r>
      <w:r>
        <w:rPr>
          <w:bCs/>
          <w:b/>
        </w:rPr>
        <w:t xml:space="preserve">XIV</w:t>
      </w:r>
      <w:r>
        <w:t xml:space="preserve">: 953, 1020, 1147;</w:t>
      </w:r>
      <w:r>
        <w:t xml:space="preserve"> </w:t>
      </w:r>
      <w:r>
        <w:rPr>
          <w:bCs/>
          <w:b/>
        </w:rPr>
        <w:t xml:space="preserve">XV</w:t>
      </w:r>
      <w:r>
        <w:t xml:space="preserve">: 1389 = 5 manuskryptów.</w:t>
      </w:r>
    </w:p>
    <w:p>
      <w:pPr>
        <w:numPr>
          <w:ilvl w:val="0"/>
          <w:numId w:val="1035"/>
        </w:numPr>
      </w:pPr>
      <w:r>
        <w:rPr>
          <w:bCs/>
          <w:b/>
        </w:rPr>
        <w:t xml:space="preserve">Inne manuskrypty z jedną zmianą</w:t>
      </w:r>
      <w:r>
        <w:t xml:space="preserve"> </w:t>
      </w:r>
      <w:r>
        <w:t xml:space="preserve">—</w:t>
      </w:r>
      <w:r>
        <w:t xml:space="preserve"> </w:t>
      </w:r>
      <w:r>
        <w:rPr>
          <w:bCs/>
          <w:b/>
        </w:rPr>
        <w:t xml:space="preserve">XII</w:t>
      </w:r>
      <w:r>
        <w:t xml:space="preserve">: 520, 1401, 2122, 2322;</w:t>
      </w:r>
      <w:r>
        <w:t xml:space="preserve"> </w:t>
      </w:r>
      <w:r>
        <w:rPr>
          <w:bCs/>
          <w:b/>
        </w:rPr>
        <w:t xml:space="preserve">XIII</w:t>
      </w:r>
      <w:r>
        <w:t xml:space="preserve">: 2647;</w:t>
      </w:r>
      <w:r>
        <w:t xml:space="preserve"> </w:t>
      </w:r>
      <w:r>
        <w:rPr>
          <w:bCs/>
          <w:b/>
        </w:rPr>
        <w:t xml:space="preserve">XIV</w:t>
      </w:r>
      <w:r>
        <w:t xml:space="preserve">: 1095, 1503, 2273, 2508;</w:t>
      </w:r>
      <w:r>
        <w:t xml:space="preserve"> </w:t>
      </w:r>
      <w:r>
        <w:rPr>
          <w:bCs/>
          <w:b/>
        </w:rPr>
        <w:t xml:space="preserve">XV</w:t>
      </w:r>
      <w:r>
        <w:t xml:space="preserve">: 575, 2673;</w:t>
      </w:r>
      <w:r>
        <w:t xml:space="preserve"> </w:t>
      </w:r>
      <w:r>
        <w:rPr>
          <w:bCs/>
          <w:b/>
        </w:rPr>
        <w:t xml:space="preserve">XVI</w:t>
      </w:r>
      <w:r>
        <w:t xml:space="preserve">: 1030;</w:t>
      </w:r>
      <w:r>
        <w:t xml:space="preserve"> </w:t>
      </w:r>
      <w:r>
        <w:rPr>
          <w:bCs/>
          <w:b/>
        </w:rPr>
        <w:t xml:space="preserve">XVII</w:t>
      </w:r>
      <w:r>
        <w:t xml:space="preserve">: 2136, 2137, 2497 = 15 manuskryptów.</w:t>
      </w:r>
    </w:p>
    <w:p>
      <w:pPr>
        <w:pStyle w:val="FirstParagraph"/>
      </w:pPr>
      <w:r>
        <w:rPr>
          <w:bCs/>
          <w:b/>
        </w:rPr>
        <w:t xml:space="preserve">+2) Manuskrypty z dwiema zmianami</w:t>
      </w:r>
      <w:r>
        <w:t xml:space="preserve">:</w:t>
      </w:r>
    </w:p>
    <w:p>
      <w:pPr>
        <w:numPr>
          <w:ilvl w:val="0"/>
          <w:numId w:val="1036"/>
        </w:numPr>
        <w:pStyle w:val="Compact"/>
      </w:pPr>
    </w:p>
    <w:p>
      <w:pPr>
        <w:numPr>
          <w:ilvl w:val="1"/>
          <w:numId w:val="1037"/>
        </w:numPr>
        <w:pStyle w:val="Compact"/>
      </w:pPr>
    </w:p>
    <w:p>
      <w:pPr>
        <w:numPr>
          <w:ilvl w:val="2"/>
          <w:numId w:val="1038"/>
        </w:numPr>
        <w:pStyle w:val="Compact"/>
      </w:pPr>
    </w:p>
    <w:p>
      <w:pPr>
        <w:numPr>
          <w:ilvl w:val="3"/>
          <w:numId w:val="1039"/>
        </w:numPr>
        <w:pStyle w:val="Compact"/>
      </w:pPr>
      <w:r>
        <w:t xml:space="preserve">—</w:t>
      </w:r>
      <w:r>
        <w:t xml:space="preserve"> </w:t>
      </w:r>
      <w:r>
        <w:rPr>
          <w:bCs/>
          <w:b/>
        </w:rPr>
        <w:t xml:space="preserve">XII</w:t>
      </w:r>
      <w:r>
        <w:t xml:space="preserve">: 1453, 2559;</w:t>
      </w:r>
      <w:r>
        <w:t xml:space="preserve"> </w:t>
      </w:r>
      <w:r>
        <w:rPr>
          <w:bCs/>
          <w:b/>
        </w:rPr>
        <w:t xml:space="preserve">XV</w:t>
      </w:r>
      <w:r>
        <w:t xml:space="preserve">: 1131;</w:t>
      </w:r>
      <w:r>
        <w:t xml:space="preserve"> </w:t>
      </w:r>
      <w:r>
        <w:rPr>
          <w:bCs/>
          <w:b/>
        </w:rPr>
        <w:t xml:space="preserve">XVIII</w:t>
      </w:r>
      <w:r>
        <w:t xml:space="preserve">: 1325</w:t>
      </w:r>
    </w:p>
    <w:p>
      <w:pPr>
        <w:numPr>
          <w:ilvl w:val="0"/>
          <w:numId w:val="1036"/>
        </w:numPr>
        <w:pStyle w:val="Compact"/>
      </w:pPr>
    </w:p>
    <w:p>
      <w:pPr>
        <w:numPr>
          <w:ilvl w:val="1"/>
          <w:numId w:val="1040"/>
        </w:numPr>
        <w:pStyle w:val="Compact"/>
      </w:pPr>
    </w:p>
    <w:p>
      <w:pPr>
        <w:numPr>
          <w:ilvl w:val="2"/>
          <w:numId w:val="1041"/>
        </w:numPr>
        <w:pStyle w:val="Compact"/>
      </w:pPr>
    </w:p>
    <w:p>
      <w:pPr>
        <w:numPr>
          <w:ilvl w:val="3"/>
          <w:numId w:val="1042"/>
        </w:numPr>
        <w:pStyle w:val="Compact"/>
      </w:pPr>
      <w:r>
        <w:t xml:space="preserve">—</w:t>
      </w:r>
      <w:r>
        <w:t xml:space="preserve"> </w:t>
      </w:r>
      <w:r>
        <w:rPr>
          <w:bCs/>
          <w:b/>
        </w:rPr>
        <w:t xml:space="preserve">XII</w:t>
      </w:r>
      <w:r>
        <w:t xml:space="preserve">: 387, 1813;</w:t>
      </w:r>
      <w:r>
        <w:t xml:space="preserve"> </w:t>
      </w:r>
      <w:r>
        <w:rPr>
          <w:bCs/>
          <w:b/>
        </w:rPr>
        <w:t xml:space="preserve">XIII</w:t>
      </w:r>
      <w:r>
        <w:t xml:space="preserve">: 1552</w:t>
      </w:r>
    </w:p>
    <w:p>
      <w:pPr>
        <w:numPr>
          <w:ilvl w:val="0"/>
          <w:numId w:val="1036"/>
        </w:numPr>
        <w:pStyle w:val="Compact"/>
      </w:pPr>
    </w:p>
    <w:p>
      <w:pPr>
        <w:numPr>
          <w:ilvl w:val="1"/>
          <w:numId w:val="1043"/>
        </w:numPr>
        <w:pStyle w:val="Compact"/>
      </w:pPr>
    </w:p>
    <w:p>
      <w:pPr>
        <w:numPr>
          <w:ilvl w:val="2"/>
          <w:numId w:val="1044"/>
        </w:numPr>
        <w:pStyle w:val="Compact"/>
      </w:pPr>
    </w:p>
    <w:p>
      <w:pPr>
        <w:numPr>
          <w:ilvl w:val="3"/>
          <w:numId w:val="1045"/>
        </w:numPr>
        <w:pStyle w:val="Compact"/>
      </w:pPr>
      <w:r>
        <w:t xml:space="preserve">—</w:t>
      </w:r>
      <w:r>
        <w:t xml:space="preserve"> </w:t>
      </w:r>
      <w:r>
        <w:rPr>
          <w:bCs/>
          <w:b/>
        </w:rPr>
        <w:t xml:space="preserve">XII</w:t>
      </w:r>
      <w:r>
        <w:t xml:space="preserve">: 2260;</w:t>
      </w:r>
      <w:r>
        <w:t xml:space="preserve"> </w:t>
      </w:r>
      <w:r>
        <w:rPr>
          <w:bCs/>
          <w:b/>
        </w:rPr>
        <w:t xml:space="preserve">XIV</w:t>
      </w:r>
      <w:r>
        <w:t xml:space="preserve">: 1599, 1638, 1544</w:t>
      </w:r>
    </w:p>
    <w:p>
      <w:pPr>
        <w:numPr>
          <w:ilvl w:val="0"/>
          <w:numId w:val="1036"/>
        </w:numPr>
        <w:pStyle w:val="Compact"/>
      </w:pPr>
    </w:p>
    <w:p>
      <w:pPr>
        <w:numPr>
          <w:ilvl w:val="1"/>
          <w:numId w:val="1046"/>
        </w:numPr>
        <w:pStyle w:val="Compact"/>
      </w:pPr>
    </w:p>
    <w:p>
      <w:pPr>
        <w:numPr>
          <w:ilvl w:val="2"/>
          <w:numId w:val="1047"/>
        </w:numPr>
        <w:pStyle w:val="Compact"/>
      </w:pPr>
      <w:r>
        <w:t xml:space="preserve">nietypowy —</w:t>
      </w:r>
      <w:r>
        <w:t xml:space="preserve"> </w:t>
      </w:r>
      <w:r>
        <w:rPr>
          <w:bCs/>
          <w:b/>
        </w:rPr>
        <w:t xml:space="preserve">X</w:t>
      </w:r>
      <w:r>
        <w:t xml:space="preserve">: 1166;</w:t>
      </w:r>
      <w:r>
        <w:t xml:space="preserve"> </w:t>
      </w:r>
      <w:r>
        <w:rPr>
          <w:bCs/>
          <w:b/>
        </w:rPr>
        <w:t xml:space="preserve">XIV</w:t>
      </w:r>
      <w:r>
        <w:t xml:space="preserve">: 952, 978, 1062;</w:t>
      </w:r>
      <w:r>
        <w:t xml:space="preserve"> </w:t>
      </w:r>
      <w:r>
        <w:rPr>
          <w:bCs/>
          <w:b/>
        </w:rPr>
        <w:t xml:space="preserve">XVI</w:t>
      </w:r>
      <w:r>
        <w:t xml:space="preserve">: 1591, 2714</w:t>
      </w:r>
    </w:p>
    <w:p>
      <w:pPr>
        <w:numPr>
          <w:ilvl w:val="0"/>
          <w:numId w:val="1036"/>
        </w:numPr>
        <w:pStyle w:val="Compact"/>
      </w:pPr>
    </w:p>
    <w:p>
      <w:pPr>
        <w:numPr>
          <w:ilvl w:val="1"/>
          <w:numId w:val="1048"/>
        </w:numPr>
        <w:pStyle w:val="Compact"/>
      </w:pPr>
    </w:p>
    <w:p>
      <w:pPr>
        <w:numPr>
          <w:ilvl w:val="2"/>
          <w:numId w:val="1049"/>
        </w:numPr>
        <w:pStyle w:val="Compact"/>
      </w:pPr>
    </w:p>
    <w:p>
      <w:pPr>
        <w:numPr>
          <w:ilvl w:val="3"/>
          <w:numId w:val="1050"/>
        </w:numPr>
        <w:pStyle w:val="Compact"/>
      </w:pPr>
      <w:r>
        <w:t xml:space="preserve">—</w:t>
      </w:r>
      <w:r>
        <w:t xml:space="preserve"> </w:t>
      </w:r>
      <w:r>
        <w:rPr>
          <w:bCs/>
          <w:b/>
        </w:rPr>
        <w:t xml:space="preserve">XIII</w:t>
      </w:r>
      <w:r>
        <w:t xml:space="preserve">: 1477, 1497;</w:t>
      </w:r>
      <w:r>
        <w:t xml:space="preserve"> </w:t>
      </w:r>
      <w:r>
        <w:rPr>
          <w:bCs/>
          <w:b/>
        </w:rPr>
        <w:t xml:space="preserve">XIV</w:t>
      </w:r>
      <w:r>
        <w:t xml:space="preserve">: 1181, 1248;</w:t>
      </w:r>
      <w:r>
        <w:t xml:space="preserve"> </w:t>
      </w:r>
      <w:r>
        <w:rPr>
          <w:bCs/>
          <w:b/>
        </w:rPr>
        <w:t xml:space="preserve">XVI</w:t>
      </w:r>
      <w:r>
        <w:t xml:space="preserve">: 2635</w:t>
      </w:r>
    </w:p>
    <w:p>
      <w:pPr>
        <w:numPr>
          <w:ilvl w:val="0"/>
          <w:numId w:val="1036"/>
        </w:numPr>
        <w:pStyle w:val="Compact"/>
      </w:pPr>
    </w:p>
    <w:p>
      <w:pPr>
        <w:numPr>
          <w:ilvl w:val="1"/>
          <w:numId w:val="1051"/>
        </w:numPr>
        <w:pStyle w:val="Compact"/>
      </w:pPr>
      <w:r>
        <w:t xml:space="preserve">2 nietypowe —</w:t>
      </w:r>
      <w:r>
        <w:t xml:space="preserve"> </w:t>
      </w:r>
      <w:r>
        <w:rPr>
          <w:bCs/>
          <w:b/>
        </w:rPr>
        <w:t xml:space="preserve">XI</w:t>
      </w:r>
      <w:r>
        <w:t xml:space="preserve">: 1314, 1384;</w:t>
      </w:r>
      <w:r>
        <w:t xml:space="preserve"> </w:t>
      </w:r>
      <w:r>
        <w:rPr>
          <w:bCs/>
          <w:b/>
        </w:rPr>
        <w:t xml:space="preserve">XIV</w:t>
      </w:r>
      <w:r>
        <w:t xml:space="preserve">: 2265;</w:t>
      </w:r>
      <w:r>
        <w:t xml:space="preserve"> </w:t>
      </w:r>
      <w:r>
        <w:rPr>
          <w:bCs/>
          <w:b/>
        </w:rPr>
        <w:t xml:space="preserve">XV</w:t>
      </w:r>
      <w:r>
        <w:t xml:space="preserve">: 1116, 1348</w:t>
      </w:r>
    </w:p>
    <w:p>
      <w:pPr>
        <w:pStyle w:val="FirstParagraph"/>
      </w:pPr>
      <w:r>
        <w:t xml:space="preserve">= 27 manuskryptów.</w:t>
      </w:r>
    </w:p>
    <w:p>
      <w:pPr>
        <w:pStyle w:val="BodyText"/>
      </w:pPr>
      <w:r>
        <w:rPr>
          <w:bCs/>
          <w:b/>
        </w:rPr>
        <w:t xml:space="preserve">+3) Manuskrypty z trzema zmianami</w:t>
      </w:r>
      <w:r>
        <w:t xml:space="preserve">:</w:t>
      </w:r>
    </w:p>
    <w:p>
      <w:pPr>
        <w:numPr>
          <w:ilvl w:val="0"/>
          <w:numId w:val="1052"/>
        </w:numPr>
        <w:pStyle w:val="Compact"/>
      </w:pPr>
    </w:p>
    <w:p>
      <w:pPr>
        <w:numPr>
          <w:ilvl w:val="1"/>
          <w:numId w:val="1053"/>
        </w:numPr>
        <w:pStyle w:val="Compact"/>
      </w:pPr>
    </w:p>
    <w:p>
      <w:pPr>
        <w:numPr>
          <w:ilvl w:val="2"/>
          <w:numId w:val="1054"/>
        </w:numPr>
        <w:pStyle w:val="Compact"/>
      </w:pPr>
    </w:p>
    <w:p>
      <w:pPr>
        <w:numPr>
          <w:ilvl w:val="3"/>
          <w:numId w:val="1055"/>
        </w:numPr>
        <w:pStyle w:val="Compact"/>
      </w:pPr>
    </w:p>
    <w:p>
      <w:pPr>
        <w:numPr>
          <w:ilvl w:val="4"/>
          <w:numId w:val="1056"/>
        </w:numPr>
        <w:pStyle w:val="Compact"/>
      </w:pPr>
      <w:r>
        <w:t xml:space="preserve">nietypowy —</w:t>
      </w:r>
      <w:r>
        <w:t xml:space="preserve"> </w:t>
      </w:r>
      <w:r>
        <w:rPr>
          <w:bCs/>
          <w:b/>
        </w:rPr>
        <w:t xml:space="preserve">XII</w:t>
      </w:r>
      <w:r>
        <w:t xml:space="preserve">: 105;</w:t>
      </w:r>
      <w:r>
        <w:t xml:space="preserve"> </w:t>
      </w:r>
      <w:r>
        <w:rPr>
          <w:bCs/>
          <w:b/>
        </w:rPr>
        <w:t xml:space="preserve">XVI</w:t>
      </w:r>
      <w:r>
        <w:t xml:space="preserve">: 2715</w:t>
      </w:r>
    </w:p>
    <w:p>
      <w:pPr>
        <w:numPr>
          <w:ilvl w:val="0"/>
          <w:numId w:val="1052"/>
        </w:numPr>
        <w:pStyle w:val="Compact"/>
      </w:pPr>
    </w:p>
    <w:p>
      <w:pPr>
        <w:numPr>
          <w:ilvl w:val="1"/>
          <w:numId w:val="1057"/>
        </w:numPr>
        <w:pStyle w:val="Compact"/>
      </w:pPr>
    </w:p>
    <w:p>
      <w:pPr>
        <w:numPr>
          <w:ilvl w:val="2"/>
          <w:numId w:val="1058"/>
        </w:numPr>
        <w:pStyle w:val="Compact"/>
      </w:pPr>
    </w:p>
    <w:p>
      <w:pPr>
        <w:numPr>
          <w:ilvl w:val="3"/>
          <w:numId w:val="1059"/>
        </w:numPr>
        <w:pStyle w:val="Compact"/>
      </w:pPr>
    </w:p>
    <w:p>
      <w:pPr>
        <w:numPr>
          <w:ilvl w:val="4"/>
          <w:numId w:val="1060"/>
        </w:numPr>
        <w:pStyle w:val="Compact"/>
      </w:pPr>
    </w:p>
    <w:p>
      <w:pPr>
        <w:numPr>
          <w:ilvl w:val="5"/>
          <w:numId w:val="1061"/>
        </w:numPr>
        <w:pStyle w:val="Compact"/>
      </w:pPr>
      <w:r>
        <w:t xml:space="preserve">—</w:t>
      </w:r>
      <w:r>
        <w:t xml:space="preserve"> </w:t>
      </w:r>
      <w:r>
        <w:rPr>
          <w:bCs/>
          <w:b/>
        </w:rPr>
        <w:t xml:space="preserve">XIV</w:t>
      </w:r>
      <w:r>
        <w:t xml:space="preserve">: 806</w:t>
      </w:r>
    </w:p>
    <w:p>
      <w:pPr>
        <w:numPr>
          <w:ilvl w:val="0"/>
          <w:numId w:val="1052"/>
        </w:numPr>
        <w:pStyle w:val="Compact"/>
      </w:pPr>
    </w:p>
    <w:p>
      <w:pPr>
        <w:numPr>
          <w:ilvl w:val="1"/>
          <w:numId w:val="1062"/>
        </w:numPr>
        <w:pStyle w:val="Compact"/>
      </w:pPr>
    </w:p>
    <w:p>
      <w:pPr>
        <w:numPr>
          <w:ilvl w:val="2"/>
          <w:numId w:val="1063"/>
        </w:numPr>
        <w:pStyle w:val="Compact"/>
      </w:pPr>
    </w:p>
    <w:p>
      <w:pPr>
        <w:numPr>
          <w:ilvl w:val="3"/>
          <w:numId w:val="1064"/>
        </w:numPr>
        <w:pStyle w:val="Compact"/>
      </w:pPr>
    </w:p>
    <w:p>
      <w:pPr>
        <w:numPr>
          <w:ilvl w:val="4"/>
          <w:numId w:val="1065"/>
        </w:numPr>
        <w:pStyle w:val="Compact"/>
      </w:pPr>
      <w:r>
        <w:t xml:space="preserve">nietypowy —</w:t>
      </w:r>
      <w:r>
        <w:t xml:space="preserve"> </w:t>
      </w:r>
      <w:r>
        <w:rPr>
          <w:bCs/>
          <w:b/>
        </w:rPr>
        <w:t xml:space="preserve">XII</w:t>
      </w:r>
      <w:r>
        <w:t xml:space="preserve">: 353;</w:t>
      </w:r>
      <w:r>
        <w:t xml:space="preserve"> </w:t>
      </w:r>
      <w:r>
        <w:rPr>
          <w:bCs/>
          <w:b/>
        </w:rPr>
        <w:t xml:space="preserve">XIII</w:t>
      </w:r>
      <w:r>
        <w:t xml:space="preserve">: 966</w:t>
      </w:r>
    </w:p>
    <w:p>
      <w:pPr>
        <w:numPr>
          <w:ilvl w:val="0"/>
          <w:numId w:val="1052"/>
        </w:numPr>
        <w:pStyle w:val="Compact"/>
      </w:pPr>
    </w:p>
    <w:p>
      <w:pPr>
        <w:numPr>
          <w:ilvl w:val="1"/>
          <w:numId w:val="1066"/>
        </w:numPr>
        <w:pStyle w:val="Compact"/>
      </w:pPr>
    </w:p>
    <w:p>
      <w:pPr>
        <w:numPr>
          <w:ilvl w:val="2"/>
          <w:numId w:val="1067"/>
        </w:numPr>
        <w:pStyle w:val="Compact"/>
      </w:pPr>
    </w:p>
    <w:p>
      <w:pPr>
        <w:numPr>
          <w:ilvl w:val="3"/>
          <w:numId w:val="1068"/>
        </w:numPr>
        <w:pStyle w:val="Compact"/>
      </w:pPr>
    </w:p>
    <w:p>
      <w:pPr>
        <w:numPr>
          <w:ilvl w:val="4"/>
          <w:numId w:val="1069"/>
        </w:numPr>
        <w:pStyle w:val="Compact"/>
      </w:pPr>
      <w:r>
        <w:t xml:space="preserve">nietypowy —</w:t>
      </w:r>
      <w:r>
        <w:t xml:space="preserve"> </w:t>
      </w:r>
      <w:r>
        <w:rPr>
          <w:bCs/>
          <w:b/>
        </w:rPr>
        <w:t xml:space="preserve">XV</w:t>
      </w:r>
      <w:r>
        <w:t xml:space="preserve">: 664</w:t>
      </w:r>
    </w:p>
    <w:p>
      <w:pPr>
        <w:numPr>
          <w:ilvl w:val="0"/>
          <w:numId w:val="1052"/>
        </w:numPr>
        <w:pStyle w:val="Compact"/>
      </w:pPr>
    </w:p>
    <w:p>
      <w:pPr>
        <w:numPr>
          <w:ilvl w:val="1"/>
          <w:numId w:val="1070"/>
        </w:numPr>
        <w:pStyle w:val="Compact"/>
      </w:pPr>
    </w:p>
    <w:p>
      <w:pPr>
        <w:numPr>
          <w:ilvl w:val="2"/>
          <w:numId w:val="1071"/>
        </w:numPr>
        <w:pStyle w:val="Compact"/>
      </w:pPr>
      <w:r>
        <w:t xml:space="preserve">2 nietypowe —</w:t>
      </w:r>
      <w:r>
        <w:t xml:space="preserve"> </w:t>
      </w:r>
      <w:r>
        <w:rPr>
          <w:bCs/>
          <w:b/>
        </w:rPr>
        <w:t xml:space="preserve">XII</w:t>
      </w:r>
      <w:r>
        <w:t xml:space="preserve">: 2632;</w:t>
      </w:r>
      <w:r>
        <w:t xml:space="preserve"> </w:t>
      </w:r>
      <w:r>
        <w:rPr>
          <w:bCs/>
          <w:b/>
        </w:rPr>
        <w:t xml:space="preserve">XV</w:t>
      </w:r>
      <w:r>
        <w:t xml:space="preserve">: 56;</w:t>
      </w:r>
      <w:r>
        <w:t xml:space="preserve"> </w:t>
      </w:r>
      <w:r>
        <w:rPr>
          <w:bCs/>
          <w:b/>
        </w:rPr>
        <w:t xml:space="preserve">XVI</w:t>
      </w:r>
      <w:r>
        <w:t xml:space="preserve">: 61</w:t>
      </w:r>
    </w:p>
    <w:p>
      <w:pPr>
        <w:numPr>
          <w:ilvl w:val="0"/>
          <w:numId w:val="1052"/>
        </w:numPr>
        <w:pStyle w:val="Compact"/>
      </w:pPr>
    </w:p>
    <w:p>
      <w:pPr>
        <w:numPr>
          <w:ilvl w:val="1"/>
          <w:numId w:val="1072"/>
        </w:numPr>
        <w:pStyle w:val="Compact"/>
      </w:pPr>
      <w:r>
        <w:t xml:space="preserve">3 nietypowe —</w:t>
      </w:r>
      <w:r>
        <w:t xml:space="preserve"> </w:t>
      </w:r>
      <w:r>
        <w:rPr>
          <w:bCs/>
          <w:b/>
        </w:rPr>
        <w:t xml:space="preserve">XV</w:t>
      </w:r>
      <w:r>
        <w:t xml:space="preserve">: 58</w:t>
      </w:r>
    </w:p>
    <w:p>
      <w:pPr>
        <w:pStyle w:val="FirstParagraph"/>
      </w:pPr>
      <w:r>
        <w:t xml:space="preserve">= 10 manuskryptów.</w:t>
      </w:r>
    </w:p>
    <w:p>
      <w:pPr>
        <w:pStyle w:val="BodyText"/>
      </w:pPr>
      <w:r>
        <w:rPr>
          <w:bCs/>
          <w:b/>
        </w:rPr>
        <w:t xml:space="preserve">Komentarz</w:t>
      </w:r>
      <w:r>
        <w:t xml:space="preserve">: b) i c) różnią się od a) jedynie podobnie brzmiącą samogłoską, natomiast warianty 8 i 14 obejmują jedną literę. Istnieje mała podgrupa (o rozmytych krawędziach) oparta na wariantach 17, 20 i 29. Istnieje większa, bardziej rozmyta grupa, której swego rodzaju podstawę tworzą warianty 1, 16, 17, 28 i 29, z 9 i 19 na obrzeżach, a następnie dalszym zróżnicowaniem. Istnieje 40-50 manuskryptów, w których do podstawy</w:t>
      </w:r>
      <w:r>
        <w:t xml:space="preserve"> </w:t>
      </w:r>
      <w:r>
        <w:rPr>
          <w:bCs/>
          <w:b/>
        </w:rPr>
        <w:t xml:space="preserve">M</w:t>
      </w:r>
      <w:r>
        <w:rPr>
          <w:vertAlign w:val="superscript"/>
          <w:bCs/>
          <w:b/>
        </w:rPr>
        <w:t xml:space="preserve">7</w:t>
      </w:r>
      <w:r>
        <w:t xml:space="preserve"> </w:t>
      </w:r>
      <w:r>
        <w:t xml:space="preserve">dodano różne ilości domieszki (dodając je do jednoznacznych i dzieląc przez 1650, otrzymujemy około 18%). W rzeczywistości uważam, że</w:t>
      </w:r>
      <w:r>
        <w:t xml:space="preserve"> </w:t>
      </w:r>
      <w:r>
        <w:rPr>
          <w:bCs/>
          <w:b/>
        </w:rPr>
        <w:t xml:space="preserve">M</w:t>
      </w:r>
      <w:r>
        <w:rPr>
          <w:vertAlign w:val="superscript"/>
          <w:bCs/>
          <w:b/>
        </w:rPr>
        <w:t xml:space="preserve">7</w:t>
      </w:r>
      <w:r>
        <w:t xml:space="preserve"> </w:t>
      </w:r>
      <w:r>
        <w:t xml:space="preserve">była podstawą, od której odeszli twórcy</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(oraz wszystkich innych grup).</w:t>
      </w:r>
    </w:p>
    <w:p>
      <w:pPr>
        <w:pStyle w:val="BodyText"/>
      </w:pPr>
      <w:r>
        <w:rPr>
          <w:bCs/>
          <w:b/>
        </w:rPr>
        <w:t xml:space="preserve">Komentarz interpretacyjny</w:t>
      </w:r>
      <w:r>
        <w:t xml:space="preserve">: Postępujące „oczyszczanie” strumienia przekazu na przestrzeni stuleci (z perspektywy pierwszeństwa tekstu bizantyjskiego) było uznawane przez wszystkich i każdego, a ich próby wyjaśnienia tego zjawiska zazwyczaj odzwierciedlały ich założenia wstępne. Z mojego punktu widzenia oczywiste wyjaśnienie jest następujące: wszystkie obozy uznają, że najcięższe ataki na czystość Tekstu miały miejsce w II wieku. Jednak „serce Kościoła”, obszar egejski, zdecydowanie najlepiej pod każdym względem przygotowany do czuwania nad wiernym przekazem, po prostu odmawiało kopiowania form aberracyjnych. Manuskryptów zawierających takie formy nie używano (ani nie kopiowano), dlatego wiele z nich przetrwało fizycznie ponad tysiąclecie. Mniej złych form używano (kopie były trudno dostępne), lecz stopniowo przestawano je kopiować. Dlatego zachowane uncjały z IX wieku są dostateczne, w ponad 80% bizantyjskie, lecz nie dość dobre, by je kopiować i ponownie wykorzystywać (gdy lepsze manuskrypty przekształcano w formę minuskułową). Aż do pojawienia się tekstu drukowanego manuskrypty sporządzano po to, by ich używać. Stopniowo używano tylko najlepszych, które wskutek tego zużywano i kopiowano. Proces ten osiągnął kulminację w XIV wieku, gdy osmański cień posuwał się nad Azją Mniejszą, lecz Cesarstwo Bizantyjskie nadal istniało.</w:t>
      </w:r>
    </w:p>
    <w:p>
      <w:pPr>
        <w:pStyle w:val="BodyText"/>
      </w:pPr>
      <w:r>
        <w:t xml:space="preserve">Proszę zauważyć słowa „z perspektywy pierwszeństwa tekstu bizantyjskiego”.</w:t>
      </w:r>
      <w:r>
        <w:t xml:space="preserve"> </w:t>
      </w:r>
      <w:r>
        <w:rPr>
          <w:bCs/>
          <w:b/>
        </w:rPr>
        <w:t xml:space="preserve">Rodzinę 35 wiernie kopiowano od początku do końca</w:t>
      </w:r>
      <w:r>
        <w:t xml:space="preserve">. Dla siedemnastu ksiąg sam mam jedną doskonałą kopię sporządzoną w XV wieku (oprócz rozmaitych kopii doskonałych dla jednej lub większej liczby ksiąg, z XIV, XIII, XII i XI wieku). Aby kopia sporządzona w XV wieku była doskonała, wszyscy jej „przodkowie”</w:t>
      </w:r>
      <w:r>
        <w:t xml:space="preserve"> </w:t>
      </w:r>
      <w:r>
        <w:rPr>
          <w:u w:val="single"/>
        </w:rPr>
        <w:t xml:space="preserve">również musieli być doskonali. Proszę zauważyć, że doskonała kopia czyni wszystkie</w:t>
      </w:r>
      <w:r>
        <w:t xml:space="preserve"> </w:t>
      </w:r>
      <w:r>
        <w:t xml:space="preserve">„kanony” krytyki tekstu nieistotnymi dla każdego punktu późniejszego od powstania archetypu. Jak jednak możemy wiedzieć, że dana kopia jest „doskonała”? Profil archetypalny można ustalić empirycznie przez porównanie wszystkich zachowanych przedstawicieli rodziny (odnoszę się wyłącznie do</w:t>
      </w:r>
      <w:r>
        <w:t xml:space="preserve"> </w:t>
      </w:r>
      <w:r>
        <w:rPr>
          <w:bCs/>
          <w:b/>
        </w:rPr>
        <w:t xml:space="preserve">f</w:t>
      </w:r>
      <w:r>
        <w:rPr>
          <w:vertAlign w:val="superscript"/>
          <w:bCs/>
          <w:b/>
        </w:rPr>
        <w:t xml:space="preserve">35</w:t>
      </w:r>
      <w:r>
        <w:t xml:space="preserve">). Kopia, która doskonale odpowiada archetypowi, jest z konieczności kopią doskonałą. Doskonałe kopie mówią nam jednak coś ważnego o postawie kopistów. To, że wykonywali pracę z taką starannością, przypuszczalnie wskazuje przynajmniej na szacunek, jeśli nie cześć dla tego, co kopiowali — wierzyli, że kopiują Słowo Boże.</w:t>
      </w:r>
      <w:r>
        <w:t xml:space="preserve"> </w:t>
      </w:r>
      <w:r>
        <w:rPr>
          <w:bCs/>
          <w:b/>
        </w:rPr>
        <w:t xml:space="preserve">Ponieważ manuskrypty wszystkich innych linii przekazu kopiowano z mniejszą starannością, kopiści przypuszczalnie dokonywali w swoich umysłach rozróżnienia, najwyraźniej uważając f</w:t>
      </w:r>
      <w:r>
        <w:rPr>
          <w:vertAlign w:val="superscript"/>
          <w:bCs/>
          <w:b/>
        </w:rPr>
        <w:t xml:space="preserve">35</w:t>
      </w:r>
      <w:r>
        <w:rPr>
          <w:bCs/>
          <w:b/>
        </w:rPr>
        <w:t xml:space="preserve"> </w:t>
      </w:r>
      <w:r>
        <w:rPr>
          <w:bCs/>
          <w:b/>
        </w:rPr>
        <w:t xml:space="preserve">za najlepszą linię.</w:t>
      </w:r>
    </w:p>
    <w:bookmarkEnd w:id="353"/>
    <w:bookmarkEnd w:id="354"/>
    <w:bookmarkStart w:id="377" w:name="kiedy-mamy-do-czynienia-z-recenzją"/>
    <w:p>
      <w:pPr>
        <w:pStyle w:val="Heading2"/>
      </w:pPr>
      <w:r>
        <w:t xml:space="preserve">Kiedy mamy do czynienia z „recenzją”?</w:t>
      </w:r>
    </w:p>
    <w:p>
      <w:pPr>
        <w:pStyle w:val="FirstParagraph"/>
      </w:pPr>
      <w:r>
        <w:t xml:space="preserve">„Tekst syryjski musi być w istocie wynikiem «recenzji» we właściwym znaczeniu tego słowa, dziełem zamierzonej krytyki, przeprowadzonej celowo przez redaktorów, a nie jedynie przez skrybów”.</w:t>
      </w:r>
      <w:r>
        <w:rPr>
          <w:rStyle w:val="FootnoteReference"/>
        </w:rPr>
        <w:footnoteReference w:id="355"/>
      </w:r>
      <w:r>
        <w:t xml:space="preserve"> </w:t>
      </w:r>
      <w:r>
        <w:t xml:space="preserve">Nie mam zwyczaju odwoływać się do Fentona Johna Anthony’ego Horta, lecz jego rozumienie „recenzji” jest przypuszczalnie poprawne. Recenzję tworzy określona osoba (lub grupa) w określonym czasie i miejscu. Jeśli ktoś chce postulować lub twierdzić, że dokonano recenzji, i robić to odpowiedzialnie, musi wskazać źródło oraz przedstawić pewne dowody.</w:t>
      </w:r>
      <w:r>
        <w:rPr>
          <w:rStyle w:val="FootnoteReference"/>
        </w:rPr>
        <w:footnoteReference w:id="356"/>
      </w:r>
    </w:p>
    <w:p>
      <w:pPr>
        <w:pStyle w:val="BodyText"/>
      </w:pPr>
      <w:r>
        <w:t xml:space="preserve">Czy wśród manuskryptów zawierających Listy Ogólne istnieją jakieś recenzje? Odpowiedź oprę na kolacjonowaniach przedstawionych w</w:t>
      </w:r>
      <w:r>
        <w:t xml:space="preserve"> </w:t>
      </w:r>
      <w:r>
        <w:rPr>
          <w:iCs/>
          <w:i/>
        </w:rPr>
        <w:t xml:space="preserve">Text und Textwert</w:t>
      </w:r>
      <w:r>
        <w:t xml:space="preserve"> </w:t>
      </w:r>
      <w:r>
        <w:t xml:space="preserve">(</w:t>
      </w:r>
      <w:r>
        <w:rPr>
          <w:iCs/>
          <w:i/>
        </w:rPr>
        <w:t xml:space="preserve">TuT</w:t>
      </w:r>
      <w:r>
        <w:t xml:space="preserve">).</w:t>
      </w:r>
      <w:r>
        <w:rPr>
          <w:rStyle w:val="FootnoteReference"/>
        </w:rPr>
        <w:footnoteReference w:id="357"/>
      </w:r>
      <w:r>
        <w:t xml:space="preserve"> </w:t>
      </w:r>
      <w:r>
        <w:t xml:space="preserve">Skolacjonowano w nich około 555 manuskryptów, z których około 30 jest fragmentarycznych, stanowi to około 85% ogółu zachowanych manuskryptów. Posłużę się wymogiem Colwella dotyczącym 70% zgodności, aby manuskrypty mogły zostać zaklasyfikowane do tego samego typu tekstu (chociaż sam wymagam co najmniej 80%). Ponieważ</w:t>
      </w:r>
      <w:r>
        <w:t xml:space="preserve"> </w:t>
      </w:r>
      <w:r>
        <w:rPr>
          <w:iCs/>
          <w:i/>
        </w:rPr>
        <w:t xml:space="preserve">TuT</w:t>
      </w:r>
      <w:r>
        <w:t xml:space="preserve"> </w:t>
      </w:r>
      <w:r>
        <w:t xml:space="preserve">przedstawia 98 zestawów wariantów rozłożonych w siedmiu Listach, mamy korpus, który przypuszczalnie jest dość reprezentatywny. Chociaż o ile mi wiadomo,</w:t>
      </w:r>
      <w:r>
        <w:t xml:space="preserve"> </w:t>
      </w:r>
      <w:r>
        <w:rPr>
          <w:iCs/>
          <w:i/>
        </w:rPr>
        <w:t xml:space="preserve">Institut</w:t>
      </w:r>
      <w:r>
        <w:t xml:space="preserve"> </w:t>
      </w:r>
      <w:r>
        <w:t xml:space="preserve">nigdy nie ujawnił kryteriów, według których wybrano zestawy, wybrane zestawy są znaczące (nie błahe).</w:t>
      </w:r>
    </w:p>
    <w:bookmarkStart w:id="358" w:name="recenzja-aleksandryjska"/>
    <w:p>
      <w:pPr>
        <w:pStyle w:val="Heading3"/>
      </w:pPr>
      <w:r>
        <w:t xml:space="preserve">Recenzja aleksandryjska?</w:t>
      </w:r>
    </w:p>
    <w:p>
      <w:pPr>
        <w:pStyle w:val="FirstParagraph"/>
      </w:pPr>
      <w:r>
        <w:t xml:space="preserve">Czy istnieje recenzja lub typ tekstu egipski bądź aleksandryjski?</w:t>
      </w:r>
      <w:r>
        <w:t xml:space="preserve"> </w:t>
      </w:r>
      <w:r>
        <w:rPr>
          <w:iCs/>
          <w:i/>
        </w:rPr>
        <w:t xml:space="preserve">TuT</w:t>
      </w:r>
      <w:r>
        <w:t xml:space="preserve"> </w:t>
      </w:r>
      <w:r>
        <w:t xml:space="preserve">podąża za tekstem „standardowym”, który nazywa LESART 2. Żaden manuskrypt nie ma tego profilu. Najbliższy jest Kodeks B, który odbiega od niego 13 razy na 98, przy czym trzy to podwarianty, a cztery to odczyty singularne (łącznie z dwoma podwariantami) — zgodność wynosi 86,7% (po pominięciu podwariantów wynosi 89,8%). Następny jest rękopis kursywny 1739, który odbiega 29 razy na 98, przy czym cztery to podwarianty, a żaden nie jest odczytem singularnym — zgodność wynosi 70,4% (po pominięciu podwariantów wynosi 74,5%). Następny jest P</w:t>
      </w:r>
      <w:r>
        <w:rPr>
          <w:vertAlign w:val="superscript"/>
        </w:rPr>
        <w:t xml:space="preserve">74</w:t>
      </w:r>
      <w:r>
        <w:t xml:space="preserve"> </w:t>
      </w:r>
      <w:r>
        <w:t xml:space="preserve">(VII wiek), który odbiega 3 razy na 10, przy czym jeden to podwariant, a jeden to odczyt singularny — zgodność wynosi 70% (po pominięciu podwariantu wynosi 80%). Następny jest Kodeks A, który odbiega 34 razy na 98, przy czym cztery to podwarianty, a żaden nie jest odczytem singularnym — zgodność wynosi 65,3% (po pominięciu podwariantów wynosi 69,4%). Następny jest Kodeks C, który odbiega 24 razy na 66, przy czym jeden to podwariant, a cztery to odczyty singularne — zgodność wynosi 63,6% (po pominięciu podwariantu wynosi 65,2%). Następny jest rękopis kursywny 1852, który odbiega 36 razy na 95, przy czym dwa to podwarianty, a żaden nie jest odczytem singularnym — zgodność wynosi 62,1% (po pominięciu podwariantów wynosi 64,2%). Następny jest Kodeks ℵ, który odbiega 40 razy na 98, przy czym siedem to podwarianty, a dziewięć to odczyty singularne (łącznie z czterema podwariantami) — zgodność wynosi 59,2% (po pominięciu podwariantów wynosi 66,3%). Następny jest Kodeks 044 (około 800 roku), który odbiega 40 razy na 97, przy czym cztery to podwarianty, a siedem to odczyty singularne (łącznie z trzema podwariantami) — zgodność wynosi 59% (po pominięciu podwariantów wynosi 62,9%). Następny jest Kodeks 048 (V wiek), który odbiega 8 razy na 18, przy czym jeden to podwariant, a żaden nie jest odczytem singularnym — zgodność wynosi 55,6% (po pominięciu podwariantu wynosi 61,1%). Nie następnym jest P</w:t>
      </w:r>
      <w:r>
        <w:rPr>
          <w:vertAlign w:val="superscript"/>
        </w:rPr>
        <w:t xml:space="preserve">72</w:t>
      </w:r>
      <w:r>
        <w:t xml:space="preserve">, który odbiega 18 razy na 38, przy czym sześć to podwarianty, a dziewięć to odczyty singularne (łącznie z trzema podwariantami) — zgodność wynosi 52,6% (po pominięciu podwariantów wynosi 68,4%). Kodeks B jest wyraźnie najważniejszym manuskryptem w schemacie Alanda, a tekst „standardowy” jest kompozycją.</w:t>
      </w:r>
    </w:p>
    <w:p>
      <w:pPr>
        <w:pStyle w:val="BodyText"/>
      </w:pPr>
      <w:r>
        <w:t xml:space="preserve">Czy istnieje tutaj jednak egipski typ tekstu? Otóż</w:t>
      </w:r>
      <w:r>
        <w:t xml:space="preserve"> </w:t>
      </w:r>
      <w:r>
        <w:rPr>
          <w:bCs/>
          <w:b/>
        </w:rPr>
        <w:t xml:space="preserve">B</w:t>
      </w:r>
      <w:r>
        <w:t xml:space="preserve"> </w:t>
      </w:r>
      <w:r>
        <w:t xml:space="preserve">i ℵ różnią się w 44 spośród 98 zestawów, ich zgodność wynosi więc 55,1%.</w:t>
      </w:r>
      <w:r>
        <w:t xml:space="preserve"> </w:t>
      </w:r>
      <w:r>
        <w:rPr>
          <w:bCs/>
          <w:b/>
        </w:rPr>
        <w:t xml:space="preserve">B</w:t>
      </w:r>
      <w:r>
        <w:t xml:space="preserve"> </w:t>
      </w:r>
      <w:r>
        <w:t xml:space="preserve">i</w:t>
      </w:r>
      <w:r>
        <w:t xml:space="preserve"> </w:t>
      </w:r>
      <w:r>
        <w:rPr>
          <w:bCs/>
          <w:b/>
        </w:rPr>
        <w:t xml:space="preserve">A</w:t>
      </w:r>
      <w:r>
        <w:t xml:space="preserve"> </w:t>
      </w:r>
      <w:r>
        <w:t xml:space="preserve">różnią się w 43 spośród 98 zestawów, ich zgodność wynosi więc 56,1%.</w:t>
      </w:r>
      <w:r>
        <w:t xml:space="preserve"> </w:t>
      </w:r>
      <w:r>
        <w:rPr>
          <w:bCs/>
          <w:b/>
        </w:rPr>
        <w:t xml:space="preserve">B</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19 spośród 38 zestawów, ich zgodność wynosi więc 50%.</w:t>
      </w:r>
      <w:r>
        <w:t xml:space="preserve"> </w:t>
      </w:r>
      <w:r>
        <w:rPr>
          <w:bCs/>
          <w:b/>
        </w:rPr>
        <w:t xml:space="preserve">B</w:t>
      </w:r>
      <w:r>
        <w:t xml:space="preserve"> </w:t>
      </w:r>
      <w:r>
        <w:t xml:space="preserve">i</w:t>
      </w:r>
      <w:r>
        <w:t xml:space="preserve"> </w:t>
      </w:r>
      <w:r>
        <w:rPr>
          <w:bCs/>
          <w:b/>
        </w:rPr>
        <w:t xml:space="preserve">C</w:t>
      </w:r>
      <w:r>
        <w:t xml:space="preserve"> </w:t>
      </w:r>
      <w:r>
        <w:t xml:space="preserve">różnią się w 27 spośród 66 zestawów, ich zgodność wynosi więc 59,1%.</w:t>
      </w:r>
      <w:r>
        <w:t xml:space="preserve"> </w:t>
      </w:r>
      <w:r>
        <w:rPr>
          <w:bCs/>
          <w:b/>
        </w:rPr>
        <w:t xml:space="preserve">B</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5 spośród 10 zestawów, ich zgodność wynosi więc 50%.</w:t>
      </w:r>
      <w:r>
        <w:t xml:space="preserve"> </w:t>
      </w:r>
      <w:r>
        <w:rPr>
          <w:bCs/>
          <w:b/>
        </w:rPr>
        <w:t xml:space="preserve">B</w:t>
      </w:r>
      <w:r>
        <w:t xml:space="preserve"> </w:t>
      </w:r>
      <w:r>
        <w:t xml:space="preserve">i</w:t>
      </w:r>
      <w:r>
        <w:t xml:space="preserve"> </w:t>
      </w:r>
      <w:r>
        <w:rPr>
          <w:bCs/>
          <w:b/>
        </w:rPr>
        <w:t xml:space="preserve">1739</w:t>
      </w:r>
      <w:r>
        <w:t xml:space="preserve"> </w:t>
      </w:r>
      <w:r>
        <w:t xml:space="preserve">różnią się w 37 spośród 98 zestawów, ich zgodność wynosi więc 62,2%.</w:t>
      </w:r>
      <w:r>
        <w:t xml:space="preserve"> </w:t>
      </w:r>
      <w:r>
        <w:rPr>
          <w:bCs/>
          <w:b/>
        </w:rPr>
        <w:t xml:space="preserve">A</w:t>
      </w:r>
      <w:r>
        <w:t xml:space="preserve"> </w:t>
      </w:r>
      <w:r>
        <w:t xml:space="preserve">i ℵ różnią się w 35 spośród 98 zestawów, ich zgodność wynosi więc 64,3%.</w:t>
      </w:r>
      <w:r>
        <w:t xml:space="preserve"> </w:t>
      </w:r>
      <w:r>
        <w:rPr>
          <w:bCs/>
          <w:b/>
        </w:rPr>
        <w:t xml:space="preserve">A</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24 spośród 38 zestawów, ich zgodność wynosi więc 36,8%.</w:t>
      </w:r>
      <w:r>
        <w:t xml:space="preserve"> </w:t>
      </w:r>
      <w:r>
        <w:rPr>
          <w:bCs/>
          <w:b/>
        </w:rPr>
        <w:t xml:space="preserve">A</w:t>
      </w:r>
      <w:r>
        <w:t xml:space="preserve"> </w:t>
      </w:r>
      <w:r>
        <w:t xml:space="preserve">i</w:t>
      </w:r>
      <w:r>
        <w:t xml:space="preserve"> </w:t>
      </w:r>
      <w:r>
        <w:rPr>
          <w:bCs/>
          <w:b/>
        </w:rPr>
        <w:t xml:space="preserve">C</w:t>
      </w:r>
      <w:r>
        <w:t xml:space="preserve"> </w:t>
      </w:r>
      <w:r>
        <w:t xml:space="preserve">różnią się w 26 spośród 66 zestawów, ich zgodność wynosi więc 60,6%.</w:t>
      </w:r>
      <w:r>
        <w:t xml:space="preserve"> </w:t>
      </w:r>
      <w:r>
        <w:rPr>
          <w:bCs/>
          <w:b/>
        </w:rPr>
        <w:t xml:space="preserve">A</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4 spośród 10 zestawów, ich zgodność wynosi więc 60%.</w:t>
      </w:r>
      <w:r>
        <w:t xml:space="preserve"> </w:t>
      </w:r>
      <w:r>
        <w:rPr>
          <w:bCs/>
          <w:b/>
        </w:rPr>
        <w:t xml:space="preserve">A</w:t>
      </w:r>
      <w:r>
        <w:t xml:space="preserve"> </w:t>
      </w:r>
      <w:r>
        <w:t xml:space="preserve">i</w:t>
      </w:r>
      <w:r>
        <w:t xml:space="preserve"> </w:t>
      </w:r>
      <w:r>
        <w:rPr>
          <w:bCs/>
          <w:b/>
        </w:rPr>
        <w:t xml:space="preserve">1739</w:t>
      </w:r>
      <w:r>
        <w:t xml:space="preserve"> </w:t>
      </w:r>
      <w:r>
        <w:t xml:space="preserve">różnią się w 36 spośród 98 zestawów, ich zgodność wynosi więc 63,3%. ℵ i</w:t>
      </w:r>
      <w:r>
        <w:t xml:space="preserve"> </w:t>
      </w:r>
      <w:r>
        <w:rPr>
          <w:bCs/>
          <w:b/>
        </w:rPr>
        <w:t xml:space="preserve">P</w:t>
      </w:r>
      <w:r>
        <w:rPr>
          <w:vertAlign w:val="superscript"/>
          <w:bCs/>
          <w:b/>
        </w:rPr>
        <w:t xml:space="preserve">72</w:t>
      </w:r>
      <w:r>
        <w:t xml:space="preserve"> </w:t>
      </w:r>
      <w:r>
        <w:t xml:space="preserve">różnią się w 26 spośród 38 zestawów, ich zgodność wynosi więc 31,6%. ℵ i</w:t>
      </w:r>
      <w:r>
        <w:t xml:space="preserve"> </w:t>
      </w:r>
      <w:r>
        <w:rPr>
          <w:bCs/>
          <w:b/>
        </w:rPr>
        <w:t xml:space="preserve">C</w:t>
      </w:r>
      <w:r>
        <w:t xml:space="preserve"> </w:t>
      </w:r>
      <w:r>
        <w:t xml:space="preserve">różnią się w 30 spośród 66 zestawów, ich zgodność wynosi więc 54,5%. ℵ i</w:t>
      </w:r>
      <w:r>
        <w:t xml:space="preserve"> </w:t>
      </w:r>
      <w:r>
        <w:rPr>
          <w:bCs/>
          <w:b/>
        </w:rPr>
        <w:t xml:space="preserve">P</w:t>
      </w:r>
      <w:r>
        <w:rPr>
          <w:vertAlign w:val="superscript"/>
          <w:bCs/>
          <w:b/>
        </w:rPr>
        <w:t xml:space="preserve">74</w:t>
      </w:r>
      <w:r>
        <w:t xml:space="preserve"> </w:t>
      </w:r>
      <w:r>
        <w:t xml:space="preserve">różnią się w 5 spośród 10 zestawów, ich zgodność wynosi więc 50%. ℵ i</w:t>
      </w:r>
      <w:r>
        <w:t xml:space="preserve"> </w:t>
      </w:r>
      <w:r>
        <w:rPr>
          <w:bCs/>
          <w:b/>
        </w:rPr>
        <w:t xml:space="preserve">1739</w:t>
      </w:r>
      <w:r>
        <w:t xml:space="preserve"> </w:t>
      </w:r>
      <w:r>
        <w:t xml:space="preserve">różnią się w 46 spośród 98 zestawów, ich zgodność wynosi więc 53,1%.</w:t>
      </w:r>
      <w:r>
        <w:t xml:space="preserve"> </w:t>
      </w:r>
      <w:r>
        <w:rPr>
          <w:bCs/>
          <w:b/>
        </w:rPr>
        <w:t xml:space="preserve">C</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18 spośród 31 zestawów, ich zgodność wynosi więc 41,9%.</w:t>
      </w:r>
      <w:r>
        <w:t xml:space="preserve"> </w:t>
      </w:r>
      <w:r>
        <w:rPr>
          <w:bCs/>
          <w:b/>
        </w:rPr>
        <w:t xml:space="preserve">C</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3 spośród 7 zestawów, ich zgodność wynosi więc 57,1%.</w:t>
      </w:r>
      <w:r>
        <w:t xml:space="preserve"> </w:t>
      </w:r>
      <w:r>
        <w:rPr>
          <w:bCs/>
          <w:b/>
        </w:rPr>
        <w:t xml:space="preserve">C</w:t>
      </w:r>
      <w:r>
        <w:t xml:space="preserve"> </w:t>
      </w:r>
      <w:r>
        <w:t xml:space="preserve">i</w:t>
      </w:r>
      <w:r>
        <w:t xml:space="preserve"> </w:t>
      </w:r>
      <w:r>
        <w:rPr>
          <w:bCs/>
          <w:b/>
        </w:rPr>
        <w:t xml:space="preserve">1739</w:t>
      </w:r>
      <w:r>
        <w:t xml:space="preserve"> </w:t>
      </w:r>
      <w:r>
        <w:t xml:space="preserve">różnią się w 23 spośród 66 zestawów, ich zgodność wynosi więc 65,2%.</w:t>
      </w:r>
      <w:r>
        <w:t xml:space="preserve"> </w:t>
      </w:r>
      <w:r>
        <w:rPr>
          <w:bCs/>
          <w:b/>
        </w:rPr>
        <w:t xml:space="preserve">1739</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22 spośród 38 zestawów, ich zgodność wynosi więc 42,1%.</w:t>
      </w:r>
      <w:r>
        <w:t xml:space="preserve"> </w:t>
      </w:r>
      <w:r>
        <w:rPr>
          <w:bCs/>
          <w:b/>
        </w:rPr>
        <w:t xml:space="preserve">1739</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3 spośród 7 zestawów, ich zgodność wynosi więc 57,1%. Na podstawie tych dowodów Colwell nie pozwoliłby nam twierdzić, że istnieje typ tekstu. Wczesne manuskrypty najwyraźniej uległy wspólnemu wpływowi, lecz każdy zboczył na prywatną ścieżkę. Żadne dwa zestawy nie mają takiego samego wykazu rozbieżności. Każdy z nich jest z pewnością niezależny w swoim pokoleniu. Wspólny wpływ dostrzegalny we wczesnych manuskryptach musiał mieć źródło, lecz źródło to jest naprawdę zbyt niewyraźne, by kwalifikować się jako recenzja.</w:t>
      </w:r>
    </w:p>
    <w:bookmarkEnd w:id="358"/>
    <w:bookmarkStart w:id="374" w:name="recenzja-bizantyjska"/>
    <w:p>
      <w:pPr>
        <w:pStyle w:val="Heading3"/>
      </w:pPr>
      <w:r>
        <w:t xml:space="preserve">Recenzja bizantyjska?</w:t>
      </w:r>
    </w:p>
    <w:p>
      <w:pPr>
        <w:pStyle w:val="FirstParagraph"/>
      </w:pPr>
      <w:r>
        <w:t xml:space="preserve">LESART 1 jest tekstem większościowym w najściślejszym znaczeniu. Aland podążał za odczytem większościowym w każdym przypadku z wyjątkiem dwóch zestawów wariantów, w których nie ma wariantu większościowego, i tam podążał za większością względną (zestaw 32, 1 List Piotra 3,16 — καταλαλωσιν ma 49,8% wobec καταλαλουσιν z 44,6%) (zestaw 34, 1 List Piotra 4,3 — ημιν ma 47,1% wobec υμιν z 41,7%). Ubocznym skutkiem tej procedury jest to, że żaden manuskrypt nie ma dokładnie tego profilu — znalazłem cztery manuskrypty różniące się zaledwie dwoma wariantami (607, 639, 1730, 2423) i pięć różniących się trzema. Podstawowy profil</w:t>
      </w:r>
      <w:r>
        <w:t xml:space="preserve"> </w:t>
      </w:r>
      <w:r>
        <w:rPr>
          <w:bCs/>
          <w:b/>
        </w:rPr>
        <w:t xml:space="preserve">f</w:t>
      </w:r>
      <w:r>
        <w:rPr>
          <w:vertAlign w:val="superscript"/>
          <w:bCs/>
          <w:b/>
        </w:rPr>
        <w:t xml:space="preserve">35</w:t>
      </w:r>
      <w:r>
        <w:t xml:space="preserve"> </w:t>
      </w:r>
      <w:r>
        <w:t xml:space="preserve">odbiega pięcioma.</w:t>
      </w:r>
    </w:p>
    <w:p>
      <w:pPr>
        <w:pStyle w:val="BodyText"/>
      </w:pPr>
      <w:r>
        <w:t xml:space="preserve">Po przeanalizowaniu profili około 555 manuskryptów, poza</w:t>
      </w:r>
      <w:r>
        <w:t xml:space="preserve"> </w:t>
      </w:r>
      <w:r>
        <w:rPr>
          <w:bCs/>
          <w:b/>
        </w:rPr>
        <w:t xml:space="preserve">f</w:t>
      </w:r>
      <w:r>
        <w:rPr>
          <w:vertAlign w:val="superscript"/>
          <w:bCs/>
          <w:b/>
        </w:rPr>
        <w:t xml:space="preserve">35</w:t>
      </w:r>
      <w:r>
        <w:t xml:space="preserve"> </w:t>
      </w:r>
      <w:r>
        <w:t xml:space="preserve">znalazłem dokładnie jeden zespół czterech manuskryptów (82, 699, 1668, 2484) z kilkoma przyłączonymi oraz jeden zespół trzech manuskryptów (390, 912, 1594), również z kilkoma przyłączonymi, a także dziewięć par — wszystkie pozostałe mają prywatne profile (łącznie z „przyłączonymi”).</w:t>
      </w:r>
    </w:p>
    <w:p>
      <w:pPr>
        <w:pStyle w:val="BodyText"/>
      </w:pPr>
      <w:r>
        <w:t xml:space="preserve">W obrębie</w:t>
      </w:r>
      <w:r>
        <w:t xml:space="preserve"> </w:t>
      </w:r>
      <w:r>
        <w:rPr>
          <w:bCs/>
          <w:b/>
        </w:rPr>
        <w:t xml:space="preserve">f</w:t>
      </w:r>
      <w:r>
        <w:rPr>
          <w:vertAlign w:val="superscript"/>
          <w:bCs/>
          <w:b/>
        </w:rPr>
        <w:t xml:space="preserve">35</w:t>
      </w:r>
      <w:r>
        <w:t xml:space="preserve"> </w:t>
      </w:r>
      <w:r>
        <w:t xml:space="preserve">31 manuskryptów ma profil podstawowy, istnieje podgrupa 6 manuskryptów, kolejna 4, kolejna 3 oraz dwie pary — tych 17 manuskryptów oraz kolejnych 10 różni się od profilu podstawowego tylko jednym wariantem. Istnieje 15 manuskryptów różniących się dwoma i 7 różniących się trzema, co daje łącznie 80 manuskryptów (z których 32 mają prywatne profile), a ponadto kilka innych na obrzeżach.</w:t>
      </w:r>
    </w:p>
    <w:p>
      <w:pPr>
        <w:pStyle w:val="BodyText"/>
      </w:pPr>
      <w:r>
        <w:t xml:space="preserve">Odkładając na bok wszystkie manuskrypty o wspólnym profilu oraz około 30 mających mniej niż 11% całości, pozostaje nam około 450 manuskryptów o prywatnym profilu (na podstawie 98 zestawów wariantów), z których zdecydowana większość jest bizantyjska. Patrzymy na normalny przekaz, nie na masową produkcję jednego egzemplarza.</w:t>
      </w:r>
    </w:p>
    <w:p>
      <w:pPr>
        <w:pStyle w:val="BodyText"/>
      </w:pPr>
      <w:r>
        <w:t xml:space="preserve">Odkładając na bok manuskrypty fragmentaryczne, około 40 znajduje się poniżej progu Colwella wynoszącego 70%, wszystkie pozostałe (około 485) kwalifikowałyby się jako członkowie jednego typu tekstu, który możemy nazwać bizantyjskim. Przy moim progu 80% tracimy kolejnych 17 manuskryptów, pozostaje około 470. Naprawdę wolałbym jednak 90%, a przy tym progu tracimy kolejnych 46 — nazwijmy to około 420 manuskryptami. Odkładając na bok 30 fragmentarycznych, dzieląc 420 przez 525, otrzymujemy 80% manuskryptów, które są silnie bizantyjskie</w:t>
      </w:r>
      <w:r>
        <w:rPr>
          <w:rStyle w:val="FootnoteReference"/>
        </w:rPr>
        <w:footnoteReference w:id="359"/>
      </w:r>
      <w:r>
        <w:t xml:space="preserve"> </w:t>
      </w:r>
      <w:r>
        <w:t xml:space="preserve">(przy progu 80% otrzymujemy prawie 90%) (przy progu 70% otrzymujemy 92%). 345 spośród 420 ma prywatne profile — z możliwym wyjątkiem</w:t>
      </w:r>
      <w:r>
        <w:t xml:space="preserve"> </w:t>
      </w:r>
      <w:r>
        <w:rPr>
          <w:bCs/>
          <w:b/>
        </w:rPr>
        <w:t xml:space="preserve">f</w:t>
      </w:r>
      <w:r>
        <w:rPr>
          <w:vertAlign w:val="superscript"/>
          <w:bCs/>
          <w:b/>
        </w:rPr>
        <w:t xml:space="preserve">35</w:t>
      </w:r>
      <w:r>
        <w:t xml:space="preserve"> </w:t>
      </w:r>
      <w:r>
        <w:t xml:space="preserve">nie było „upychania urny wyborczej”.</w:t>
      </w:r>
    </w:p>
    <w:p>
      <w:pPr>
        <w:pStyle w:val="BodyText"/>
      </w:pPr>
      <w:r>
        <w:t xml:space="preserve">Chociaż</w:t>
      </w:r>
      <w:r>
        <w:t xml:space="preserve"> </w:t>
      </w:r>
      <w:r>
        <w:rPr>
          <w:bCs/>
          <w:b/>
        </w:rPr>
        <w:t xml:space="preserve">f</w:t>
      </w:r>
      <w:r>
        <w:rPr>
          <w:vertAlign w:val="superscript"/>
          <w:bCs/>
          <w:b/>
        </w:rPr>
        <w:t xml:space="preserve">35</w:t>
      </w:r>
      <w:r>
        <w:t xml:space="preserve"> </w:t>
      </w:r>
      <w:r>
        <w:t xml:space="preserve">wyraźnie mieści się w strumieniu bizantyjskim, wyłączę ją i potraktuję oddzielnie. 420 minus 80 równa się 340 silnie bizantyjskim manuskryptom, z których tylko 25 ma wspólny profil. Oczywiście mamy typ tekstu, lecz czy jest to recenzja? Aby postulować recenzję, potrzebujemy źródła — kto jej dokonał, kiedy i gdzie? I przy użyciu czego? Czy tylko zredagował istniejące materiały, czy wymyślił niektóre warianty? Jeśli je wymyślił, czy istnieje dostrzegalny wzorzec wyjaśniający jego postawę?</w:t>
      </w:r>
    </w:p>
    <w:p>
      <w:pPr>
        <w:pStyle w:val="BodyText"/>
      </w:pPr>
      <w:r>
        <w:t xml:space="preserve">Mamy 315 silnie bizantyjskich manuskryptów (bez</w:t>
      </w:r>
      <w:r>
        <w:t xml:space="preserve"> </w:t>
      </w:r>
      <w:r>
        <w:rPr>
          <w:bCs/>
          <w:b/>
        </w:rPr>
        <w:t xml:space="preserve">f</w:t>
      </w:r>
      <w:r>
        <w:rPr>
          <w:vertAlign w:val="superscript"/>
          <w:bCs/>
          <w:b/>
        </w:rPr>
        <w:t xml:space="preserve">35</w:t>
      </w:r>
      <w:r>
        <w:t xml:space="preserve">) o prywatnych profilach — są one niezależne w swoim pokoleniu, przypuszczalnie reprezentują tyle samo egzemplarzy, również przypuszczalnie niezależnych w swoim pokoleniu itd. Przynajmniej częściowo z tego powodu uczeni od Horta po Alanda uznawali, że żadna „recenzja” bizantyjska nie mogła powstać później niż w IV wieku.</w:t>
      </w:r>
    </w:p>
    <w:p>
      <w:pPr>
        <w:pStyle w:val="BodyText"/>
      </w:pPr>
      <w:r>
        <w:t xml:space="preserve">Przed podjęciem kwestii</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jako możliwej recenzji chcę rozważyć inne aspekty ogólnych dowodów przedstawionych w</w:t>
      </w:r>
      <w:r>
        <w:t xml:space="preserve"> </w:t>
      </w:r>
      <w:r>
        <w:rPr>
          <w:iCs/>
          <w:i/>
        </w:rPr>
        <w:t xml:space="preserve">TuT</w:t>
      </w:r>
      <w:r>
        <w:t xml:space="preserve">. Spośród skolacjonowanych manuskryptów 78 jest datowanych. Istnieje dziewięć par manuskryptów z tą samą datą (lecz nie więcej niż dwa manuskrypty na rok — 60 ma więc prywatny rok), w ośmiu z nich te dwa manuskrypty mają zupełnie odmienne profile, w dziewiątej parze oba manuskrypty są</w:t>
      </w:r>
      <w:r>
        <w:t xml:space="preserve"> </w:t>
      </w:r>
      <w:r>
        <w:rPr>
          <w:bCs/>
          <w:b/>
        </w:rPr>
        <w:t xml:space="preserve">f</w:t>
      </w:r>
      <w:r>
        <w:rPr>
          <w:vertAlign w:val="superscript"/>
          <w:bCs/>
          <w:b/>
        </w:rPr>
        <w:t xml:space="preserve">35</w:t>
      </w:r>
      <w:r>
        <w:t xml:space="preserve">, lecz różnią się jednym wariantem. Oba znajdują się na górze Athos, lecz w różnych klasztorach — jest wysoce nieprawdopodobne, by miały ten sam egzemplarz. Nie ma tutaj dowodów masowej produkcji. Dlaczego jednak mnich na górze Athos miałby sporządzić kopię w 1280 roku po Chr.? Jeśli</w:t>
      </w:r>
      <w:r>
        <w:t xml:space="preserve"> </w:t>
      </w:r>
      <w:r>
        <w:rPr>
          <w:u w:val="single"/>
        </w:rPr>
        <w:t xml:space="preserve">kopia nadal tam jest, nie sporządzono jej, aby zrealizować zamówienie z miasta. Dlaczego więc</w:t>
      </w:r>
      <w:r>
        <w:t xml:space="preserve"> </w:t>
      </w:r>
      <w:r>
        <w:t xml:space="preserve">to uczynił — jako religijne ćwiczenie czy obowiązek? Co jednak kopiował? Najbardziej prawdopodobne wydaje mi się, że kopiował stary egzemplarz wykazujący oznaki zużycia, aby zachować jego tekst. Wykażę niżej, że manuskrypty sporządzone w jednym klasztorze opierały się na odrębnych egzemplarzach (jak wskazali Lake, Blake i New około 85 lat temu).</w:t>
      </w:r>
      <w:r>
        <w:rPr>
          <w:rStyle w:val="FootnoteReference"/>
        </w:rPr>
        <w:footnoteReference w:id="360"/>
      </w:r>
    </w:p>
    <w:bookmarkStart w:id="363" w:name="góra-athos"/>
    <w:p>
      <w:pPr>
        <w:pStyle w:val="Heading4"/>
      </w:pPr>
      <w:r>
        <w:rPr>
          <w:iCs/>
          <w:i/>
        </w:rPr>
        <w:t xml:space="preserve">Góra Athos</w:t>
      </w:r>
    </w:p>
    <w:p>
      <w:pPr>
        <w:pStyle w:val="FirstParagraph"/>
      </w:pPr>
      <w:r>
        <w:t xml:space="preserve">Słyszałem twierdzenie, że manuskrypty z góry Athos są podejrzane o masową produkcję i dostosowywanie do arbitralnego standardu. Podejrzewam, że mówiący nie wiedział, iż na tym obszarze istnieje wiele odrębnych klasztorów.</w:t>
      </w:r>
      <w:r>
        <w:t xml:space="preserve"> </w:t>
      </w:r>
      <w:r>
        <w:rPr>
          <w:iCs/>
          <w:i/>
        </w:rPr>
        <w:t xml:space="preserve">TuT</w:t>
      </w:r>
      <w:r>
        <w:t xml:space="preserve"> </w:t>
      </w:r>
      <w:r>
        <w:t xml:space="preserve">wymienia zaledwie dwadzieścia.</w:t>
      </w:r>
      <w:r>
        <w:rPr>
          <w:rStyle w:val="FootnoteReference"/>
        </w:rPr>
        <w:footnoteReference w:id="361"/>
      </w:r>
      <w:r>
        <w:t xml:space="preserve"> </w:t>
      </w:r>
      <w:r>
        <w:t xml:space="preserve">Przypomnijmy, że klasztory te reprezentowały różne patriarchaty, zakony, kraje, a nawet języki. Przeciętne małe miasto w USA prawdopodobnie będzie miało zbór Zborów Bożych, kościół baptystyczny, kościół biblijny, kościół kongregacjonalny, kościół episkopalny, kościół metodystyczny, kościół prezbiteriański, jakiś kościół neopentekostalny i inne. Jak odnoszą się do siebie? W jakim stopniu łączą siły? Nawet ogólnomiejska kampania ewangelizacyjna nie zgromadzi ich wszystkich. Czy mnisi w Cesarstwie Bizantyjskim różnili się od pastorów w USA? Czy natura ludzka się zmieniła? Chodzi mi o to, że między klasztorami prawdopodobnie bardzo rzadko porównywano notatki w sprawie takiej jak kopiowanie manuskryptów.</w:t>
      </w:r>
    </w:p>
    <w:p>
      <w:pPr>
        <w:pStyle w:val="BodyText"/>
      </w:pPr>
      <w:r>
        <w:t xml:space="preserve">Rozważmy: Grigoriu, Pavlu i Protatu wymieniono z jednym manuskryptem każdy (dla Listów Ogólnych),</w:t>
      </w:r>
      <w:r>
        <w:rPr>
          <w:rStyle w:val="FootnoteReference"/>
        </w:rPr>
        <w:footnoteReference w:id="362"/>
      </w:r>
      <w:r>
        <w:t xml:space="preserve"> </w:t>
      </w:r>
      <w:r>
        <w:t xml:space="preserve">z których żaden nie należy do</w:t>
      </w:r>
      <w:r>
        <w:t xml:space="preserve"> </w:t>
      </w:r>
      <w:r>
        <w:rPr>
          <w:bCs/>
          <w:b/>
        </w:rPr>
        <w:t xml:space="preserve">f</w:t>
      </w:r>
      <w:r>
        <w:rPr>
          <w:vertAlign w:val="superscript"/>
          <w:bCs/>
          <w:b/>
        </w:rPr>
        <w:t xml:space="preserve">35</w:t>
      </w:r>
      <w:r>
        <w:t xml:space="preserve">. Karakallu i Kavsokalyvion wymieniono z jednym manuskryptem</w:t>
      </w:r>
      <w:r>
        <w:t xml:space="preserve"> </w:t>
      </w:r>
      <w:r>
        <w:rPr>
          <w:bCs/>
          <w:b/>
        </w:rPr>
        <w:t xml:space="preserve">f</w:t>
      </w:r>
      <w:r>
        <w:rPr>
          <w:vertAlign w:val="superscript"/>
          <w:bCs/>
          <w:b/>
        </w:rPr>
        <w:t xml:space="preserve">35</w:t>
      </w:r>
      <w:r>
        <w:t xml:space="preserve"> </w:t>
      </w:r>
      <w:r>
        <w:t xml:space="preserve">każdy. Konstamonitu, Filotheu i Stavronikita wymieniono z dwoma manuskryptami, jednym należącym do</w:t>
      </w:r>
      <w:r>
        <w:t xml:space="preserve"> </w:t>
      </w:r>
      <w:r>
        <w:rPr>
          <w:bCs/>
          <w:b/>
        </w:rPr>
        <w:t xml:space="preserve">f</w:t>
      </w:r>
      <w:r>
        <w:rPr>
          <w:vertAlign w:val="superscript"/>
          <w:bCs/>
          <w:b/>
        </w:rPr>
        <w:t xml:space="preserve">35</w:t>
      </w:r>
      <w:r>
        <w:t xml:space="preserve">, a drugim nie. Xiropotamu ma dwa manuskrypty, z których żaden nie należy do</w:t>
      </w:r>
      <w:r>
        <w:t xml:space="preserve"> </w:t>
      </w:r>
      <w:r>
        <w:rPr>
          <w:bCs/>
          <w:b/>
        </w:rPr>
        <w:t xml:space="preserve">f</w:t>
      </w:r>
      <w:r>
        <w:rPr>
          <w:vertAlign w:val="superscript"/>
          <w:bCs/>
          <w:b/>
        </w:rPr>
        <w:t xml:space="preserve">35</w:t>
      </w:r>
      <w:r>
        <w:t xml:space="preserve">. Pantokratoros ma trzy, z których jeden należy do</w:t>
      </w:r>
      <w:r>
        <w:t xml:space="preserve"> </w:t>
      </w:r>
      <w:r>
        <w:rPr>
          <w:bCs/>
          <w:b/>
        </w:rPr>
        <w:t xml:space="preserve">f</w:t>
      </w:r>
      <w:r>
        <w:rPr>
          <w:vertAlign w:val="superscript"/>
          <w:bCs/>
          <w:b/>
        </w:rPr>
        <w:t xml:space="preserve">35</w:t>
      </w:r>
      <w:r>
        <w:t xml:space="preserve">. Dochiariu ma pięć manuskryptów, z których żaden nie należy do</w:t>
      </w:r>
      <w:r>
        <w:t xml:space="preserve"> </w:t>
      </w:r>
      <w:r>
        <w:rPr>
          <w:bCs/>
          <w:b/>
        </w:rPr>
        <w:t xml:space="preserve">f</w:t>
      </w:r>
      <w:r>
        <w:rPr>
          <w:vertAlign w:val="superscript"/>
          <w:bCs/>
          <w:b/>
        </w:rPr>
        <w:t xml:space="preserve">35</w:t>
      </w:r>
      <w:r>
        <w:t xml:space="preserve">. Esfigmenu również ma pięć, z których jeden należy do</w:t>
      </w:r>
      <w:r>
        <w:t xml:space="preserve"> </w:t>
      </w:r>
      <w:r>
        <w:rPr>
          <w:bCs/>
          <w:b/>
        </w:rPr>
        <w:t xml:space="preserve">f</w:t>
      </w:r>
      <w:r>
        <w:rPr>
          <w:vertAlign w:val="superscript"/>
          <w:bCs/>
          <w:b/>
        </w:rPr>
        <w:t xml:space="preserve">35</w:t>
      </w:r>
      <w:r>
        <w:t xml:space="preserve">. Panteleimonos wymieniono z siedmioma manuskryptami, z których dwa należą do</w:t>
      </w:r>
      <w:r>
        <w:t xml:space="preserve"> </w:t>
      </w:r>
      <w:r>
        <w:rPr>
          <w:bCs/>
          <w:b/>
        </w:rPr>
        <w:t xml:space="preserve">f</w:t>
      </w:r>
      <w:r>
        <w:rPr>
          <w:vertAlign w:val="superscript"/>
          <w:bCs/>
          <w:b/>
        </w:rPr>
        <w:t xml:space="preserve">35</w:t>
      </w:r>
      <w:r>
        <w:t xml:space="preserve">. Dionysiu wymieniono z dziewięcioma manuskryptami, z których trzy należą do</w:t>
      </w:r>
      <w:r>
        <w:t xml:space="preserve"> </w:t>
      </w:r>
      <w:r>
        <w:rPr>
          <w:bCs/>
          <w:b/>
        </w:rPr>
        <w:t xml:space="preserve">f</w:t>
      </w:r>
      <w:r>
        <w:rPr>
          <w:vertAlign w:val="superscript"/>
          <w:bCs/>
          <w:b/>
        </w:rPr>
        <w:t xml:space="preserve">35</w:t>
      </w:r>
      <w:r>
        <w:t xml:space="preserve">. Kutlumusiu wymieniono z dziesięcioma manuskryptami, z których dwa należą do</w:t>
      </w:r>
      <w:r>
        <w:t xml:space="preserve"> </w:t>
      </w:r>
      <w:r>
        <w:rPr>
          <w:bCs/>
          <w:b/>
        </w:rPr>
        <w:t xml:space="preserve">f</w:t>
      </w:r>
      <w:r>
        <w:rPr>
          <w:vertAlign w:val="superscript"/>
          <w:bCs/>
          <w:b/>
        </w:rPr>
        <w:t xml:space="preserve">35</w:t>
      </w:r>
      <w:r>
        <w:t xml:space="preserve">. Iviron wymieniono z dwunastoma manuskryptami, z których pięć należy do</w:t>
      </w:r>
      <w:r>
        <w:t xml:space="preserve"> </w:t>
      </w:r>
      <w:r>
        <w:rPr>
          <w:bCs/>
          <w:b/>
        </w:rPr>
        <w:t xml:space="preserve">f</w:t>
      </w:r>
      <w:r>
        <w:rPr>
          <w:vertAlign w:val="superscript"/>
          <w:bCs/>
          <w:b/>
        </w:rPr>
        <w:t xml:space="preserve">35</w:t>
      </w:r>
      <w:r>
        <w:t xml:space="preserve">. Vatopediu wymieniono z 28 manuskryptami, z których pięć należy do</w:t>
      </w:r>
      <w:r>
        <w:t xml:space="preserve"> </w:t>
      </w:r>
      <w:r>
        <w:rPr>
          <w:bCs/>
          <w:b/>
        </w:rPr>
        <w:t xml:space="preserve">f</w:t>
      </w:r>
      <w:r>
        <w:rPr>
          <w:vertAlign w:val="superscript"/>
          <w:bCs/>
          <w:b/>
        </w:rPr>
        <w:t xml:space="preserve">35</w:t>
      </w:r>
      <w:r>
        <w:t xml:space="preserve">. M. Lavras wymieniono z 52 manuskryptami, z których 22 należą do</w:t>
      </w:r>
      <w:r>
        <w:t xml:space="preserve"> </w:t>
      </w:r>
      <w:r>
        <w:rPr>
          <w:bCs/>
          <w:b/>
        </w:rPr>
        <w:t xml:space="preserve">f</w:t>
      </w:r>
      <w:r>
        <w:rPr>
          <w:vertAlign w:val="superscript"/>
          <w:bCs/>
          <w:b/>
        </w:rPr>
        <w:t xml:space="preserve">35</w:t>
      </w:r>
      <w:r>
        <w:t xml:space="preserve">. Z możliwym wyjątkiem M. Lavras najwyraźniej nie działał żaden „walec”</w:t>
      </w:r>
      <w:r>
        <w:t xml:space="preserve"> </w:t>
      </w:r>
      <w:r>
        <w:rPr>
          <w:bCs/>
          <w:b/>
        </w:rPr>
        <w:t xml:space="preserve">f</w:t>
      </w:r>
      <w:r>
        <w:rPr>
          <w:vertAlign w:val="superscript"/>
          <w:bCs/>
          <w:b/>
        </w:rPr>
        <w:t xml:space="preserve">35</w:t>
      </w:r>
      <w:r>
        <w:t xml:space="preserve">.</w:t>
      </w:r>
    </w:p>
    <w:p>
      <w:pPr>
        <w:pStyle w:val="BodyText"/>
      </w:pPr>
      <w:r>
        <w:t xml:space="preserve">Co jednak z sytuacją wewnątrz jednego klasztoru? Chociaż manuskrypty znajdujące się obecnie w miejscach takich jak Londyn czy Paryż przypuszczalnie sporządzono gdzie indziej, te znajdujące się w miejscach takich jak góra Athos, Patmos, Jerozolima i Synaj prawdopodobnie sporządzono właśnie tam. Klasztor na górze Synaj jest na tyle odizolowany, że moglibyśmy oczekiwać znacznego „chowu wsobnego”. Przyjrzyjmy się więc manuskryptom z Synaju wymienionym przez</w:t>
      </w:r>
      <w:r>
        <w:t xml:space="preserve"> </w:t>
      </w:r>
      <w:r>
        <w:rPr>
          <w:iCs/>
          <w:i/>
        </w:rPr>
        <w:t xml:space="preserve">TuT</w:t>
      </w:r>
      <w:r>
        <w:t xml:space="preserve">.</w:t>
      </w:r>
    </w:p>
    <w:bookmarkEnd w:id="363"/>
    <w:bookmarkStart w:id="371" w:name="góra-synaj"/>
    <w:p>
      <w:pPr>
        <w:pStyle w:val="Heading4"/>
      </w:pPr>
      <w:r>
        <w:rPr>
          <w:iCs/>
          <w:i/>
        </w:rPr>
        <w:t xml:space="preserve">Góra Synaj</w:t>
      </w:r>
    </w:p>
    <w:p>
      <w:pPr>
        <w:pStyle w:val="FirstParagraph"/>
      </w:pPr>
      <w:r>
        <w:t xml:space="preserve">Wymienię manuskrypty w malejącym porządku „aleksandryjskości”,</w:t>
      </w:r>
      <w:r>
        <w:rPr>
          <w:rStyle w:val="FootnoteReference"/>
        </w:rPr>
        <w:footnoteReference w:id="364"/>
      </w:r>
      <w:r>
        <w:t xml:space="preserve"> </w:t>
      </w:r>
      <w:r>
        <w:t xml:space="preserve">z zastrzeżeniem, że porządek taki jest istotny tylko dla pierwszych siedmiu lub ośmiu:</w:t>
      </w:r>
      <w:r>
        <w:rPr>
          <w:rStyle w:val="FootnoteReference"/>
        </w:rPr>
        <w:footnoteReference w:id="365"/>
      </w:r>
    </w:p>
    <w:p>
      <w:pPr>
        <w:numPr>
          <w:ilvl w:val="0"/>
          <w:numId w:val="1073"/>
        </w:numPr>
      </w:pPr>
      <w:r>
        <w:t xml:space="preserve">ℵ, 01</w:t>
      </w:r>
      <w:r>
        <w:rPr>
          <w:rStyle w:val="FootnoteReference"/>
        </w:rPr>
        <w:footnoteReference w:id="366"/>
      </w:r>
      <w:r>
        <w:t xml:space="preserve"> </w:t>
      </w:r>
      <w:r>
        <w:t xml:space="preserve">— IV, eapr (2 = 57 [2 podw.], 1/2 = 5 [1 podw.], 1 = 19 [3 podw.], sing = 9, nietyp. = 8) = 98 wariantów.</w:t>
      </w:r>
    </w:p>
    <w:p>
      <w:pPr>
        <w:numPr>
          <w:ilvl w:val="0"/>
          <w:numId w:val="1073"/>
        </w:numPr>
      </w:pPr>
      <w:r>
        <w:t xml:space="preserve">1243 — XI, eap (2 = 51, 1/2 = 6, 1 = 22 [5 podw.], sing = 2, nietyp. = 16) = 97.</w:t>
      </w:r>
    </w:p>
    <w:p>
      <w:pPr>
        <w:numPr>
          <w:ilvl w:val="0"/>
          <w:numId w:val="1073"/>
        </w:numPr>
      </w:pPr>
      <w:r>
        <w:t xml:space="preserve">1241 — XII, eap (2 = 47 [5 podw.], 1/2 = 4, 1 = 17 [2 podw.], sing = 5, nietyp. = 18) = 91.</w:t>
      </w:r>
    </w:p>
    <w:p>
      <w:pPr>
        <w:numPr>
          <w:ilvl w:val="0"/>
          <w:numId w:val="1073"/>
        </w:numPr>
      </w:pPr>
      <w:r>
        <w:t xml:space="preserve">1881 — XIV, ap (2 = 42 [3 podw.], 1/2 = 3 [1 podw.], 1 = 16 [1 podw.], sing = 1, nietyp. = 11) = 73.</w:t>
      </w:r>
    </w:p>
    <w:p>
      <w:pPr>
        <w:numPr>
          <w:ilvl w:val="0"/>
          <w:numId w:val="1073"/>
        </w:numPr>
      </w:pPr>
      <w:r>
        <w:t xml:space="preserve">2495 — XIV, eapr (2 = 37 [2 podw.], 1/2 = 4, 1 = 37 [4 podw.], sing = 2, nietyp. = 17) = 97.</w:t>
      </w:r>
    </w:p>
    <w:p>
      <w:pPr>
        <w:numPr>
          <w:ilvl w:val="0"/>
          <w:numId w:val="1073"/>
        </w:numPr>
      </w:pPr>
      <w:r>
        <w:t xml:space="preserve">2492 — XIII, eap (2 = 17 [2 podw.], 1/2 = 8, 1 = 58 [2 podw.], sing = 1, nietyp. = 9) = 93.</w:t>
      </w:r>
    </w:p>
    <w:p>
      <w:pPr>
        <w:numPr>
          <w:ilvl w:val="0"/>
          <w:numId w:val="1073"/>
        </w:numPr>
      </w:pPr>
      <w:r>
        <w:t xml:space="preserve">2494 — 1316, eapr (2 = 11, 1/2 = 4, 1 = 73 [2 podw.], nietyp. = 10) = 98. Od tego miejsca w dół wszystkie manuskrypty mieszczą się w strumieniu bizantyjskim.</w:t>
      </w:r>
    </w:p>
    <w:p>
      <w:pPr>
        <w:numPr>
          <w:ilvl w:val="0"/>
          <w:numId w:val="1073"/>
        </w:numPr>
      </w:pPr>
      <w:r>
        <w:t xml:space="preserve">1874 — X, ap (2 = 4, 1/2 = 9, 1 = 78 [2 podw.], sing = 1, nietyp. = 6) = 98.</w:t>
      </w:r>
    </w:p>
    <w:p>
      <w:pPr>
        <w:numPr>
          <w:ilvl w:val="0"/>
          <w:numId w:val="1073"/>
        </w:numPr>
      </w:pPr>
      <w:r>
        <w:t xml:space="preserve">1877 — XIV, ap (2 = 2, 1/2 = 9, 1 = 81 [5 podw.], sing = 2, nietyp. = 4) = 98.</w:t>
      </w:r>
    </w:p>
    <w:p>
      <w:pPr>
        <w:numPr>
          <w:ilvl w:val="0"/>
          <w:numId w:val="1073"/>
        </w:numPr>
      </w:pPr>
      <w:r>
        <w:t xml:space="preserve">2086 — XIV, ap (2 = 2, 1/2 = 8, 1 = 82 [2 podw.], sing = 1, nietyp. = 5) = 98.</w:t>
      </w:r>
    </w:p>
    <w:p>
      <w:pPr>
        <w:numPr>
          <w:ilvl w:val="0"/>
          <w:numId w:val="1073"/>
        </w:numPr>
      </w:pPr>
      <w:r>
        <w:t xml:space="preserve">1251 — XIII, eap (2 = 2, 1/2 = 9, 1 = 82 [3 podw.], nietyp. = 4) = 97.</w:t>
      </w:r>
    </w:p>
    <w:p>
      <w:pPr>
        <w:numPr>
          <w:ilvl w:val="0"/>
          <w:numId w:val="1073"/>
        </w:numPr>
      </w:pPr>
      <w:r>
        <w:t xml:space="preserve">1245 — XII, ap (2 = 3, 1/2 = 10 [1 podw.], 1 = 83 [6 podw.], nietyp. = 2) = 98.</w:t>
      </w:r>
    </w:p>
    <w:p>
      <w:pPr>
        <w:numPr>
          <w:ilvl w:val="0"/>
          <w:numId w:val="1073"/>
        </w:numPr>
      </w:pPr>
      <w:r>
        <w:t xml:space="preserve">1240 — XII, eap (2 = 1, 1/2 = 7, 1 = 82 [7 podw.], nietyp. = 4) = 94.</w:t>
      </w:r>
    </w:p>
    <w:p>
      <w:pPr>
        <w:numPr>
          <w:ilvl w:val="0"/>
          <w:numId w:val="1073"/>
        </w:numPr>
      </w:pPr>
      <w:r>
        <w:t xml:space="preserve">2356 — XIV, eap (2 = 1, 1/2 = 9, 1 = 76 [2 podw.], nietyp. = 4) = 90.</w:t>
      </w:r>
    </w:p>
    <w:p>
      <w:pPr>
        <w:numPr>
          <w:ilvl w:val="0"/>
          <w:numId w:val="1073"/>
        </w:numPr>
      </w:pPr>
      <w:r>
        <w:t xml:space="preserve">1880 — X, ap (2 = 2, 1/2 = 10, 1 = 84 [5 podw.], nietyp. = 2) = 98.</w:t>
      </w:r>
    </w:p>
    <w:p>
      <w:pPr>
        <w:numPr>
          <w:ilvl w:val="0"/>
          <w:numId w:val="1073"/>
        </w:numPr>
      </w:pPr>
      <w:r>
        <w:t xml:space="preserve">2502 — 1242, eap (2 = 1, 1/2 = 9, 1 = 73 [6 podw.], nietyp. = 2) = 85.</w:t>
      </w:r>
    </w:p>
    <w:p>
      <w:pPr>
        <w:numPr>
          <w:ilvl w:val="0"/>
          <w:numId w:val="1073"/>
        </w:numPr>
      </w:pPr>
      <w:r>
        <w:t xml:space="preserve">1242 — XIII, eap (2 = 1, 1/2 = 9, 1 = 86 [4 podw.], nietyp. = 2) = 98.</w:t>
      </w:r>
    </w:p>
    <w:p>
      <w:pPr>
        <w:numPr>
          <w:ilvl w:val="0"/>
          <w:numId w:val="1073"/>
        </w:numPr>
      </w:pPr>
      <w:r>
        <w:t xml:space="preserve">1250 — XV, eap (2 = 1, 1/2 = 10, 1 = 77 [3 podw.], nietyp. = 3) = 91 (</w:t>
      </w:r>
      <w:r>
        <w:rPr>
          <w:bCs/>
          <w:b/>
        </w:rPr>
        <w:t xml:space="preserve">f</w:t>
      </w:r>
      <w:r>
        <w:rPr>
          <w:vertAlign w:val="superscript"/>
          <w:bCs/>
          <w:b/>
        </w:rPr>
        <w:t xml:space="preserve">35</w:t>
      </w:r>
      <w:r>
        <w:t xml:space="preserve"> </w:t>
      </w:r>
      <w:r>
        <w:t xml:space="preserve">± 2).</w:t>
      </w:r>
    </w:p>
    <w:p>
      <w:pPr>
        <w:numPr>
          <w:ilvl w:val="0"/>
          <w:numId w:val="1073"/>
        </w:numPr>
      </w:pPr>
      <w:r>
        <w:t xml:space="preserve">1247 — XV, eap (2 = 1, 1/2 = 10, 1 = 81 [3 podw.], nietyp. = 3) = 95 (</w:t>
      </w:r>
      <w:r>
        <w:rPr>
          <w:bCs/>
          <w:b/>
        </w:rPr>
        <w:t xml:space="preserve">f</w:t>
      </w:r>
      <w:r>
        <w:rPr>
          <w:vertAlign w:val="superscript"/>
          <w:bCs/>
          <w:b/>
        </w:rPr>
        <w:t xml:space="preserve">35</w:t>
      </w:r>
      <w:r>
        <w:t xml:space="preserve"> </w:t>
      </w:r>
      <w:r>
        <w:t xml:space="preserve">± 2).</w:t>
      </w:r>
    </w:p>
    <w:p>
      <w:pPr>
        <w:numPr>
          <w:ilvl w:val="0"/>
          <w:numId w:val="1073"/>
        </w:numPr>
      </w:pPr>
      <w:r>
        <w:t xml:space="preserve">1876 — XV, apr (2 = 1, 1/2 = 11, 1 = 83 [3 podw.], nietyp. = 3) = 98 (</w:t>
      </w:r>
      <w:r>
        <w:rPr>
          <w:bCs/>
          <w:b/>
        </w:rPr>
        <w:t xml:space="preserve">f</w:t>
      </w:r>
      <w:r>
        <w:rPr>
          <w:vertAlign w:val="superscript"/>
          <w:bCs/>
          <w:b/>
        </w:rPr>
        <w:t xml:space="preserve">35</w:t>
      </w:r>
      <w:r>
        <w:t xml:space="preserve"> </w:t>
      </w:r>
      <w:r>
        <w:t xml:space="preserve">± 2).</w:t>
      </w:r>
    </w:p>
    <w:p>
      <w:pPr>
        <w:numPr>
          <w:ilvl w:val="0"/>
          <w:numId w:val="1073"/>
        </w:numPr>
      </w:pPr>
      <w:r>
        <w:t xml:space="preserve">1249 — 1324, ap (2 = 1, 1/2 = 10, 1 = 84 [3 podw.], nietyp. = 2) = 97 (</w:t>
      </w:r>
      <w:r>
        <w:rPr>
          <w:bCs/>
          <w:b/>
        </w:rPr>
        <w:t xml:space="preserve">f</w:t>
      </w:r>
      <w:r>
        <w:rPr>
          <w:vertAlign w:val="superscript"/>
          <w:bCs/>
          <w:b/>
        </w:rPr>
        <w:t xml:space="preserve">35</w:t>
      </w:r>
      <w:r>
        <w:t xml:space="preserve"> </w:t>
      </w:r>
      <w:r>
        <w:t xml:space="preserve">± 1).</w:t>
      </w:r>
    </w:p>
    <w:p>
      <w:pPr>
        <w:numPr>
          <w:ilvl w:val="0"/>
          <w:numId w:val="1073"/>
        </w:numPr>
      </w:pPr>
      <w:r>
        <w:t xml:space="preserve">1248 — XIV, eap (2 = 1, 1/2 = 11, 1 = 84 [3 podw.], sing = 1, nietyp. = 1) = 98 (</w:t>
      </w:r>
      <w:r>
        <w:rPr>
          <w:bCs/>
          <w:b/>
        </w:rPr>
        <w:t xml:space="preserve">f</w:t>
      </w:r>
      <w:r>
        <w:rPr>
          <w:vertAlign w:val="superscript"/>
          <w:bCs/>
          <w:b/>
        </w:rPr>
        <w:t xml:space="preserve">35</w:t>
      </w:r>
      <w:r>
        <w:t xml:space="preserve"> </w:t>
      </w:r>
      <w:r>
        <w:t xml:space="preserve">± 1).</w:t>
      </w:r>
    </w:p>
    <w:p>
      <w:pPr>
        <w:numPr>
          <w:ilvl w:val="0"/>
          <w:numId w:val="1073"/>
        </w:numPr>
      </w:pPr>
      <w:r>
        <w:t xml:space="preserve">2501 — XVI, ap (2 = 1, 1/2 = 11, 1 = 83 [5 podw.], nietyp. = 1) = 96 (</w:t>
      </w:r>
      <w:r>
        <w:rPr>
          <w:bCs/>
          <w:b/>
        </w:rPr>
        <w:t xml:space="preserve">f</w:t>
      </w:r>
      <w:r>
        <w:rPr>
          <w:vertAlign w:val="superscript"/>
          <w:bCs/>
          <w:b/>
        </w:rPr>
        <w:t xml:space="preserve">35</w:t>
      </w:r>
      <w:r>
        <w:t xml:space="preserve"> </w:t>
      </w:r>
      <w:r>
        <w:t xml:space="preserve">± 4).</w:t>
      </w:r>
    </w:p>
    <w:p>
      <w:pPr>
        <w:numPr>
          <w:ilvl w:val="0"/>
          <w:numId w:val="1073"/>
        </w:numPr>
      </w:pPr>
      <w:r>
        <w:t xml:space="preserve">2085 — 1308, ap (2 = 0, 1/2 = 11, 1 = 84 [3 podw.], sing = 1, nietyp. = 2) = 98.</w:t>
      </w:r>
    </w:p>
    <w:p>
      <w:pPr>
        <w:numPr>
          <w:ilvl w:val="0"/>
          <w:numId w:val="1073"/>
        </w:numPr>
      </w:pPr>
      <w:r>
        <w:t xml:space="preserve">1244 — XI, ap (2 = 0, 1/2 = 10, 1 = 85 [3 podw.], nietyp. = 2) = 97.</w:t>
      </w:r>
    </w:p>
    <w:p>
      <w:pPr>
        <w:numPr>
          <w:ilvl w:val="0"/>
          <w:numId w:val="1073"/>
        </w:numPr>
      </w:pPr>
      <w:r>
        <w:t xml:space="preserve">2799 — XIV, ap (2 = 0, 1/2 = 3, 1 = 28 [2 podw.], sing = 1, nietyp. = 1) = 33.</w:t>
      </w:r>
      <w:r>
        <w:rPr>
          <w:rStyle w:val="FootnoteReference"/>
        </w:rPr>
        <w:footnoteReference w:id="367"/>
      </w:r>
    </w:p>
    <w:p>
      <w:pPr>
        <w:pStyle w:val="FirstParagraph"/>
      </w:pPr>
      <w:r>
        <w:t xml:space="preserve">Absolutnie żadne dwa manuskrypty nie są identyczne, nawet sześć manuskryptów</w:t>
      </w:r>
      <w:r>
        <w:t xml:space="preserve"> </w:t>
      </w:r>
      <w:r>
        <w:rPr>
          <w:bCs/>
          <w:b/>
        </w:rPr>
        <w:t xml:space="preserve">f</w:t>
      </w:r>
      <w:r>
        <w:rPr>
          <w:vertAlign w:val="superscript"/>
          <w:bCs/>
          <w:b/>
        </w:rPr>
        <w:t xml:space="preserve">35</w:t>
      </w:r>
      <w:r>
        <w:t xml:space="preserve"> </w:t>
      </w:r>
      <w:r>
        <w:t xml:space="preserve">różni się co najmniej jednym wariantem. Pozostałe manuskrypty bizantyjskie są wszystkie odmienne, niektóre naprawdę znacznie,</w:t>
      </w:r>
      <w:r>
        <w:rPr>
          <w:rStyle w:val="FootnoteReference"/>
        </w:rPr>
        <w:footnoteReference w:id="368"/>
      </w:r>
      <w:r>
        <w:t xml:space="preserve"> </w:t>
      </w:r>
      <w:r>
        <w:t xml:space="preserve">a jednak wszystkie wyraźnie mieszczą się w tradycji bizantyjskiej.</w:t>
      </w:r>
      <w:r>
        <w:rPr>
          <w:rStyle w:val="FootnoteReference"/>
        </w:rPr>
        <w:footnoteReference w:id="369"/>
      </w:r>
      <w:r>
        <w:t xml:space="preserve"> </w:t>
      </w:r>
      <w:r>
        <w:t xml:space="preserve">Tych 26 manuskryptów reprezentuje tyle samo egzemplarzy, nie było „chowu wsobnego” ani upychania urny wyborczej, każdy kopista próbował odtworzyć to, co miał przed sobą, niezależnie od rodzaju tekstu. Ponieważ manuskrypty nadal znajdowały się tam w 1800 roku, nie sporządzono ich, aby zrealizować zamówienie z innego miejsca. Ze względu na izolację niektórzy przodkowie 26 zachowanych manuskryptów równie dobrze mogli zostać przyniesieni do klasztoru przed podbojem islamskim.</w:t>
      </w:r>
    </w:p>
    <w:p>
      <w:pPr>
        <w:pStyle w:val="BodyText"/>
      </w:pPr>
      <w:r>
        <w:t xml:space="preserve">Profile pięciu pierwszych manuskryptów na powyższej liście są</w:t>
      </w:r>
      <w:r>
        <w:t xml:space="preserve"> </w:t>
      </w:r>
      <w:r>
        <w:rPr>
          <w:bCs/>
          <w:b/>
        </w:rPr>
        <w:t xml:space="preserve">bardzo</w:t>
      </w:r>
      <w:r>
        <w:t xml:space="preserve"> </w:t>
      </w:r>
      <w:r>
        <w:t xml:space="preserve">odmienne, różne od siebie nawzajem, żaden nie jest kopią ℵ, co uważam za osobliwe. Najwyraźniej ℵ nie był kopiowany — dlaczego?</w:t>
      </w:r>
      <w:r>
        <w:rPr>
          <w:rStyle w:val="FootnoteReference"/>
        </w:rPr>
        <w:footnoteReference w:id="370"/>
      </w:r>
    </w:p>
    <w:bookmarkEnd w:id="371"/>
    <w:bookmarkStart w:id="373" w:name="megistis-lavras"/>
    <w:p>
      <w:pPr>
        <w:pStyle w:val="Heading4"/>
      </w:pPr>
      <w:r>
        <w:rPr>
          <w:iCs/>
          <w:i/>
        </w:rPr>
        <w:t xml:space="preserve">Megistis Lavras</w:t>
      </w:r>
    </w:p>
    <w:p>
      <w:pPr>
        <w:pStyle w:val="FirstParagraph"/>
      </w:pPr>
      <w:r>
        <w:t xml:space="preserve">Dobrze, ale co z M. Lavras? Czy nieproporcjonalnie wysoki odsetek manuskryptów</w:t>
      </w:r>
      <w:r>
        <w:t xml:space="preserve"> </w:t>
      </w:r>
      <w:r>
        <w:rPr>
          <w:bCs/>
          <w:b/>
        </w:rPr>
        <w:t xml:space="preserve">f</w:t>
      </w:r>
      <w:r>
        <w:rPr>
          <w:vertAlign w:val="superscript"/>
          <w:bCs/>
          <w:b/>
        </w:rPr>
        <w:t xml:space="preserve">35</w:t>
      </w:r>
      <w:r>
        <w:t xml:space="preserve"> </w:t>
      </w:r>
      <w:r>
        <w:t xml:space="preserve">nie jest podejrzany? Aby się tego dowiedzieć, musimy zrobić dla M. Lavras to, co zrobiliśmy dla Synaju, co będzie oznaczało dwa razy więcej pracy (52 × 26). Ponownie wymienię manuskrypty w malejącym porządku „aleksandryjskości”, z zastrzeżeniem, że porządek taki jest istotny tylko dla pierwszych dziewięciu lub dziesięciu:</w:t>
      </w:r>
    </w:p>
    <w:p>
      <w:pPr>
        <w:numPr>
          <w:ilvl w:val="0"/>
          <w:numId w:val="1074"/>
        </w:numPr>
      </w:pPr>
      <w:r>
        <w:t xml:space="preserve">1739 — X, ap (2 = 66 [4 podw.], 1/2 = 7, 1 = 12 [2 podw.], nietyp. = 13) = 98.</w:t>
      </w:r>
    </w:p>
    <w:p>
      <w:pPr>
        <w:numPr>
          <w:ilvl w:val="0"/>
          <w:numId w:val="1074"/>
        </w:numPr>
      </w:pPr>
      <w:r>
        <w:t xml:space="preserve">044 — VIII, ap (2 = 52 [1 podw.], 1/2 = 7, 1 = 20, sing = 7, nietyp. = 11) = 97.</w:t>
      </w:r>
    </w:p>
    <w:p>
      <w:pPr>
        <w:numPr>
          <w:ilvl w:val="0"/>
          <w:numId w:val="1074"/>
        </w:numPr>
      </w:pPr>
      <w:r>
        <w:t xml:space="preserve">1735 — XI, ap (2 = 43 [2 podw.], 1/2 = 7 [1 podw.], 1 = 35 [2 podw.], sing = 1, nietyp. = 12) = 98.</w:t>
      </w:r>
    </w:p>
    <w:p>
      <w:pPr>
        <w:numPr>
          <w:ilvl w:val="0"/>
          <w:numId w:val="1074"/>
        </w:numPr>
      </w:pPr>
      <w:r>
        <w:t xml:space="preserve">1505 — XII, eap (2 = 41 [3 podw.], 1/2 = 4, 1 = 35 [3 podw.], nietyp. = 18) = 98.</w:t>
      </w:r>
    </w:p>
    <w:p>
      <w:pPr>
        <w:numPr>
          <w:ilvl w:val="0"/>
          <w:numId w:val="1074"/>
        </w:numPr>
      </w:pPr>
      <w:r>
        <w:t xml:space="preserve">1448 — XI, eap (2 = 23, 1/2 = 7 [1 podw.], 1 = 58 [2 podw.], sing = 1, nietyp. = 8) = 97.</w:t>
      </w:r>
    </w:p>
    <w:p>
      <w:pPr>
        <w:numPr>
          <w:ilvl w:val="0"/>
          <w:numId w:val="1074"/>
        </w:numPr>
      </w:pPr>
      <w:r>
        <w:t xml:space="preserve">1490 — XII, eap (2 = 13, 1/2 = 7 [1 podw.], 1 = 69 [4 podw.], nietyp. = 9) = 98.</w:t>
      </w:r>
    </w:p>
    <w:p>
      <w:pPr>
        <w:numPr>
          <w:ilvl w:val="0"/>
          <w:numId w:val="1074"/>
        </w:numPr>
      </w:pPr>
      <w:r>
        <w:t xml:space="preserve">1751 — 1479, ap (2 = 7 [1 podw.], 1/2 = 11 [1 podw.], 1 = 69 [3 podw.], sing = 5, nietyp. = 6) = 98.</w:t>
      </w:r>
    </w:p>
    <w:p>
      <w:pPr>
        <w:numPr>
          <w:ilvl w:val="0"/>
          <w:numId w:val="1074"/>
        </w:numPr>
      </w:pPr>
      <w:r>
        <w:t xml:space="preserve">1501 — XIII, eap (2 = 8 [1 podw.], 1/2 = 8, 1 = 73 [1 podw.], sing = 1, nietyp. = 8) = 98.</w:t>
      </w:r>
    </w:p>
    <w:p>
      <w:pPr>
        <w:numPr>
          <w:ilvl w:val="0"/>
          <w:numId w:val="1074"/>
        </w:numPr>
      </w:pPr>
      <w:r>
        <w:t xml:space="preserve">1661 — XV, eap (2 = 6, 1/2 = 9 [1 podw.], 1 = 73 [5 podw.], sing = 3, nietyp. = 7) = 98.</w:t>
      </w:r>
    </w:p>
    <w:p>
      <w:pPr>
        <w:pStyle w:val="FirstParagraph"/>
      </w:pPr>
      <w:r>
        <w:t xml:space="preserve">Od tego miejsca w dół wszystkie manuskrypty mieszczą się w strumieniu bizantyjskim.</w:t>
      </w:r>
    </w:p>
    <w:p>
      <w:pPr>
        <w:numPr>
          <w:ilvl w:val="0"/>
          <w:numId w:val="1075"/>
        </w:numPr>
      </w:pPr>
      <w:r>
        <w:t xml:space="preserve">1609 — XIV, eap (2 = 9 [1 podw.], 1/2 = 9, 1 = 76 [4 podw.], nietyp. = 3) = 97.</w:t>
      </w:r>
    </w:p>
    <w:p>
      <w:pPr>
        <w:numPr>
          <w:ilvl w:val="0"/>
          <w:numId w:val="1075"/>
        </w:numPr>
      </w:pPr>
      <w:r>
        <w:t xml:space="preserve">1646 — 1172, eap (2 = 3, 1/2 = 10, 1 = 77 [6 podw.], sing = 5, nietyp. = 3) = 98.</w:t>
      </w:r>
    </w:p>
    <w:p>
      <w:pPr>
        <w:numPr>
          <w:ilvl w:val="0"/>
          <w:numId w:val="1075"/>
        </w:numPr>
      </w:pPr>
      <w:r>
        <w:t xml:space="preserve">1509 — XIII, eap (2 = 3, 1/2 = 9, 1 = 77 [5 podw.], sing = 3, nietyp. = 5) = 97.</w:t>
      </w:r>
    </w:p>
    <w:p>
      <w:pPr>
        <w:numPr>
          <w:ilvl w:val="0"/>
          <w:numId w:val="1075"/>
        </w:numPr>
      </w:pPr>
      <w:r>
        <w:t xml:space="preserve">1744 — XIV, ap (2 = 2, 1/2 = 8, 1 = 81 [2 podw.], sing = 2, nietyp. = 5) = 98.</w:t>
      </w:r>
    </w:p>
    <w:p>
      <w:pPr>
        <w:numPr>
          <w:ilvl w:val="0"/>
          <w:numId w:val="1075"/>
        </w:numPr>
      </w:pPr>
      <w:r>
        <w:t xml:space="preserve">1643 — XIV, eap (2 = 3, 1/2 = 7, 1 = 82 [3 podw.], nietyp. = 6) = 98.</w:t>
      </w:r>
    </w:p>
    <w:p>
      <w:pPr>
        <w:numPr>
          <w:ilvl w:val="0"/>
          <w:numId w:val="1075"/>
        </w:numPr>
      </w:pPr>
      <w:r>
        <w:t xml:space="preserve">1626 — XV, eapr (2 = 2, 1/2 = 9, 1 = 81 [6 podw.], sing = 1, nietyp. = 5) = 98.</w:t>
      </w:r>
    </w:p>
    <w:p>
      <w:pPr>
        <w:numPr>
          <w:ilvl w:val="0"/>
          <w:numId w:val="1075"/>
        </w:numPr>
      </w:pPr>
      <w:r>
        <w:t xml:space="preserve">1743 — XII, ap (2 = 1, 1/2 = 7 [1 podw.], 1 = 83 [2 podw.], nietyp. = 7) = 98.</w:t>
      </w:r>
    </w:p>
    <w:p>
      <w:pPr>
        <w:numPr>
          <w:ilvl w:val="0"/>
          <w:numId w:val="1075"/>
        </w:numPr>
      </w:pPr>
      <w:r>
        <w:t xml:space="preserve">1622 — XIV, eap (2 = 4, 1/2 = 10, 1 = 81 [4 podw.], nietyp. = 3) = 98.</w:t>
      </w:r>
    </w:p>
    <w:p>
      <w:pPr>
        <w:numPr>
          <w:ilvl w:val="0"/>
          <w:numId w:val="1075"/>
        </w:numPr>
      </w:pPr>
      <w:r>
        <w:t xml:space="preserve">2194 — 1118, ap (2 = 2, 1/2 = 8, 1 = 83 [2 podw.], nietyp. = 5) = 98.</w:t>
      </w:r>
    </w:p>
    <w:p>
      <w:pPr>
        <w:numPr>
          <w:ilvl w:val="0"/>
          <w:numId w:val="1075"/>
        </w:numPr>
      </w:pPr>
      <w:r>
        <w:t xml:space="preserve">1495 — XIV, eap (2 = 4, 1/2 = 10, 1 = 82 [5 podw.], nietyp. = 2) = 98.</w:t>
      </w:r>
    </w:p>
    <w:p>
      <w:pPr>
        <w:numPr>
          <w:ilvl w:val="0"/>
          <w:numId w:val="1075"/>
        </w:numPr>
      </w:pPr>
      <w:r>
        <w:t xml:space="preserve">1642 — 1278, eap (2 = 1, 1/2 = 10, 1 = 82 [6 podw.], sing = 1, nietyp. = 3) = 97.</w:t>
      </w:r>
    </w:p>
    <w:p>
      <w:pPr>
        <w:numPr>
          <w:ilvl w:val="0"/>
          <w:numId w:val="1075"/>
        </w:numPr>
      </w:pPr>
      <w:r>
        <w:t xml:space="preserve">1738 — XI, ap (2 = 2, 1/2 = 10, 1 = 82 [8 podw.], nietyp. = 3) = 97.</w:t>
      </w:r>
    </w:p>
    <w:p>
      <w:pPr>
        <w:numPr>
          <w:ilvl w:val="0"/>
          <w:numId w:val="1075"/>
        </w:numPr>
      </w:pPr>
      <w:r>
        <w:t xml:space="preserve">1649 — XV, eap (2 = 2, 1/2 = 9, 1 = 84 [5 podw.], nietyp. = 3) = 98.</w:t>
      </w:r>
    </w:p>
    <w:p>
      <w:pPr>
        <w:numPr>
          <w:ilvl w:val="0"/>
          <w:numId w:val="1075"/>
        </w:numPr>
      </w:pPr>
      <w:r>
        <w:t xml:space="preserve">1734 — 1015, apr (2 = 1, 1/2 = 9, 1 = 82 [1 podw.], nietyp. = 4) = 96.</w:t>
      </w:r>
    </w:p>
    <w:p>
      <w:pPr>
        <w:numPr>
          <w:ilvl w:val="0"/>
          <w:numId w:val="1075"/>
        </w:numPr>
      </w:pPr>
      <w:r>
        <w:t xml:space="preserve">049 — IX, ap (2 = 1 [1 podw.], 1/2 = 9, 1 = 84 [4 podw.], nietyp. = 3) = 97.</w:t>
      </w:r>
    </w:p>
    <w:p>
      <w:pPr>
        <w:numPr>
          <w:ilvl w:val="0"/>
          <w:numId w:val="1075"/>
        </w:numPr>
      </w:pPr>
      <w:r>
        <w:t xml:space="preserve">1741 — XIV, ap (2 = 0, 1/2 = 7 [1 podw.], 1 = 87 [4 podw.], nietyp. = 4) = 98.</w:t>
      </w:r>
    </w:p>
    <w:p>
      <w:pPr>
        <w:numPr>
          <w:ilvl w:val="0"/>
          <w:numId w:val="1075"/>
        </w:numPr>
      </w:pPr>
      <w:r>
        <w:t xml:space="preserve">1456 — XIII, eap (2 = 0, 1/2 = 8 [1 podw.], 1 = 69 [2 podw.], nietyp. = 4) = 81.</w:t>
      </w:r>
    </w:p>
    <w:p>
      <w:pPr>
        <w:numPr>
          <w:ilvl w:val="0"/>
          <w:numId w:val="1075"/>
        </w:numPr>
      </w:pPr>
      <w:r>
        <w:t xml:space="preserve">1747 — XIV, ap (2 = 1, 1/2 = 9, 1 = 84 [6 podw.], nietyp. = 2) = 96.</w:t>
      </w:r>
    </w:p>
    <w:p>
      <w:pPr>
        <w:numPr>
          <w:ilvl w:val="0"/>
          <w:numId w:val="1075"/>
        </w:numPr>
      </w:pPr>
      <w:r>
        <w:t xml:space="preserve">1736 — XIII, ap (2 = 1, 1/2 = 10, 1 = 83 [4 podw.], nietyp. = 2) = 96.</w:t>
      </w:r>
    </w:p>
    <w:p>
      <w:pPr>
        <w:numPr>
          <w:ilvl w:val="0"/>
          <w:numId w:val="1075"/>
        </w:numPr>
      </w:pPr>
      <w:r>
        <w:t xml:space="preserve">2511 — XIV, eap (2 = 1, 1/2 = 10 [1 podw.], 1 = 76 [1 podw.], nietyp. = 2) = 89.</w:t>
      </w:r>
    </w:p>
    <w:p>
      <w:pPr>
        <w:numPr>
          <w:ilvl w:val="0"/>
          <w:numId w:val="1075"/>
        </w:numPr>
      </w:pPr>
      <w:r>
        <w:t xml:space="preserve">1750 — XV, ap (2 = 0, 1/2 = 9, 1 = 87 [3 podw.], nietyp. = 2) = 98.</w:t>
      </w:r>
    </w:p>
    <w:p>
      <w:pPr>
        <w:numPr>
          <w:ilvl w:val="0"/>
          <w:numId w:val="1075"/>
        </w:numPr>
      </w:pPr>
      <w:r>
        <w:t xml:space="preserve">1733 — XIV, apr (2 = 1, 1/2 = 11, 1 = 83 [3 podw.], nietyp. = 3) = 98 (</w:t>
      </w:r>
      <w:r>
        <w:rPr>
          <w:bCs/>
          <w:b/>
        </w:rPr>
        <w:t xml:space="preserve">f</w:t>
      </w:r>
      <w:r>
        <w:rPr>
          <w:vertAlign w:val="superscript"/>
          <w:bCs/>
          <w:b/>
        </w:rPr>
        <w:t xml:space="preserve">35</w:t>
      </w:r>
      <w:r>
        <w:t xml:space="preserve"> </w:t>
      </w:r>
      <w:r>
        <w:t xml:space="preserve">± 2) (16, 91).</w:t>
      </w:r>
    </w:p>
    <w:p>
      <w:pPr>
        <w:numPr>
          <w:ilvl w:val="0"/>
          <w:numId w:val="1075"/>
        </w:numPr>
      </w:pPr>
      <w:r>
        <w:t xml:space="preserve">1732 — 1384, apr (2 = 2, 1/2 = 11 [1 podw.], 1 = 83 [3 podw.], nietyp. = 1) = 97 (</w:t>
      </w:r>
      <w:r>
        <w:rPr>
          <w:bCs/>
          <w:b/>
        </w:rPr>
        <w:t xml:space="preserve">f</w:t>
      </w:r>
      <w:r>
        <w:rPr>
          <w:vertAlign w:val="superscript"/>
          <w:bCs/>
          <w:b/>
        </w:rPr>
        <w:t xml:space="preserve">35</w:t>
      </w:r>
      <w:r>
        <w:t xml:space="preserve"> </w:t>
      </w:r>
      <w:r>
        <w:t xml:space="preserve">± 2) (1, 72).</w:t>
      </w:r>
    </w:p>
    <w:p>
      <w:pPr>
        <w:numPr>
          <w:ilvl w:val="0"/>
          <w:numId w:val="1075"/>
        </w:numPr>
      </w:pPr>
      <w:r>
        <w:t xml:space="preserve">1508 — XV, eap (2 = 1, 1/2 = 10, 1 = 85 [4 podw.], nietyp. = 2) = 98 (</w:t>
      </w:r>
      <w:r>
        <w:rPr>
          <w:bCs/>
          <w:b/>
        </w:rPr>
        <w:t xml:space="preserve">f</w:t>
      </w:r>
      <w:r>
        <w:rPr>
          <w:vertAlign w:val="superscript"/>
          <w:bCs/>
          <w:b/>
        </w:rPr>
        <w:t xml:space="preserve">35</w:t>
      </w:r>
      <w:r>
        <w:t xml:space="preserve"> </w:t>
      </w:r>
      <w:r>
        <w:t xml:space="preserve">± 2) (21, 65).</w:t>
      </w:r>
    </w:p>
    <w:p>
      <w:pPr>
        <w:numPr>
          <w:ilvl w:val="0"/>
          <w:numId w:val="1075"/>
        </w:numPr>
      </w:pPr>
      <w:r>
        <w:t xml:space="preserve">1482 — 1304, eap (2 = 1, 1/2 = 10, 1 = 85 [2 podw.], nietyp. = 2) = 98 (</w:t>
      </w:r>
      <w:r>
        <w:rPr>
          <w:bCs/>
          <w:b/>
        </w:rPr>
        <w:t xml:space="preserve">f</w:t>
      </w:r>
      <w:r>
        <w:rPr>
          <w:vertAlign w:val="superscript"/>
          <w:bCs/>
          <w:b/>
        </w:rPr>
        <w:t xml:space="preserve">35</w:t>
      </w:r>
      <w:r>
        <w:t xml:space="preserve"> </w:t>
      </w:r>
      <w:r>
        <w:t xml:space="preserve">± 2) (45, 65).</w:t>
      </w:r>
    </w:p>
    <w:p>
      <w:pPr>
        <w:numPr>
          <w:ilvl w:val="0"/>
          <w:numId w:val="1075"/>
        </w:numPr>
      </w:pPr>
      <w:r>
        <w:t xml:space="preserve">1656 — XV, eap (2 = 1, 1/2 = 11, 1 = 84 [2 podw.], nietyp. = 2) = 98 (</w:t>
      </w:r>
      <w:r>
        <w:rPr>
          <w:bCs/>
          <w:b/>
        </w:rPr>
        <w:t xml:space="preserve">f</w:t>
      </w:r>
      <w:r>
        <w:rPr>
          <w:vertAlign w:val="superscript"/>
          <w:bCs/>
          <w:b/>
        </w:rPr>
        <w:t xml:space="preserve">35</w:t>
      </w:r>
      <w:r>
        <w:t xml:space="preserve"> </w:t>
      </w:r>
      <w:r>
        <w:t xml:space="preserve">± 2) (8, 45).</w:t>
      </w:r>
    </w:p>
    <w:p>
      <w:pPr>
        <w:numPr>
          <w:ilvl w:val="0"/>
          <w:numId w:val="1075"/>
        </w:numPr>
      </w:pPr>
      <w:r>
        <w:t xml:space="preserve">1748 — 1662, ap (2 = 1, 1/2 = 11, 1 = 85 [4 podw.], nietyp. = 1) = 98 (</w:t>
      </w:r>
      <w:r>
        <w:rPr>
          <w:bCs/>
          <w:b/>
        </w:rPr>
        <w:t xml:space="preserve">f</w:t>
      </w:r>
      <w:r>
        <w:rPr>
          <w:vertAlign w:val="superscript"/>
          <w:bCs/>
          <w:b/>
        </w:rPr>
        <w:t xml:space="preserve">35</w:t>
      </w:r>
      <w:r>
        <w:t xml:space="preserve"> </w:t>
      </w:r>
      <w:r>
        <w:t xml:space="preserve">± 2) (32, 62).</w:t>
      </w:r>
    </w:p>
    <w:p>
      <w:pPr>
        <w:numPr>
          <w:ilvl w:val="0"/>
          <w:numId w:val="1075"/>
        </w:numPr>
      </w:pPr>
      <w:r>
        <w:t xml:space="preserve">1737 — XII, ap (2 = 1, 1/2 = 11, 1 = 85 [3 podw.], nietyp. = 1) = 98 (</w:t>
      </w:r>
      <w:r>
        <w:rPr>
          <w:bCs/>
          <w:b/>
        </w:rPr>
        <w:t xml:space="preserve">f</w:t>
      </w:r>
      <w:r>
        <w:rPr>
          <w:vertAlign w:val="superscript"/>
          <w:bCs/>
          <w:b/>
        </w:rPr>
        <w:t xml:space="preserve">35</w:t>
      </w:r>
      <w:r>
        <w:t xml:space="preserve"> </w:t>
      </w:r>
      <w:r>
        <w:t xml:space="preserve">± 2) (32, 77).</w:t>
      </w:r>
    </w:p>
    <w:p>
      <w:pPr>
        <w:numPr>
          <w:ilvl w:val="0"/>
          <w:numId w:val="1075"/>
        </w:numPr>
      </w:pPr>
      <w:r>
        <w:t xml:space="preserve">1749 — XVI, ap (2 = 2, 1/2 = 11, 1 = 78 [3 podw.], nietyp. = 1) = 92 (</w:t>
      </w:r>
      <w:r>
        <w:rPr>
          <w:bCs/>
          <w:b/>
        </w:rPr>
        <w:t xml:space="preserve">f</w:t>
      </w:r>
      <w:r>
        <w:rPr>
          <w:vertAlign w:val="superscript"/>
          <w:bCs/>
          <w:b/>
        </w:rPr>
        <w:t xml:space="preserve">35</w:t>
      </w:r>
      <w:r>
        <w:t xml:space="preserve"> </w:t>
      </w:r>
      <w:r>
        <w:t xml:space="preserve">± 1) (29).</w:t>
      </w:r>
    </w:p>
    <w:p>
      <w:pPr>
        <w:numPr>
          <w:ilvl w:val="0"/>
          <w:numId w:val="1075"/>
        </w:numPr>
      </w:pPr>
      <w:r>
        <w:t xml:space="preserve">1637 — 1328, eapr (2 = 2, 1/2 = 11, 1 = 84 [3 podw.], nietyp. = 1) = 98 (</w:t>
      </w:r>
      <w:r>
        <w:rPr>
          <w:bCs/>
          <w:b/>
        </w:rPr>
        <w:t xml:space="preserve">f</w:t>
      </w:r>
      <w:r>
        <w:rPr>
          <w:vertAlign w:val="superscript"/>
          <w:bCs/>
          <w:b/>
        </w:rPr>
        <w:t xml:space="preserve">35</w:t>
      </w:r>
      <w:r>
        <w:t xml:space="preserve"> </w:t>
      </w:r>
      <w:r>
        <w:t xml:space="preserve">± 1) (17).</w:t>
      </w:r>
    </w:p>
    <w:p>
      <w:pPr>
        <w:numPr>
          <w:ilvl w:val="0"/>
          <w:numId w:val="1075"/>
        </w:numPr>
      </w:pPr>
      <w:r>
        <w:t xml:space="preserve">1740 — XIII, apr (2 = 1, 1/2 = 11, 1 = 85 [4 podw.], nietyp. = 1) = 98 (</w:t>
      </w:r>
      <w:r>
        <w:rPr>
          <w:bCs/>
          <w:b/>
        </w:rPr>
        <w:t xml:space="preserve">f</w:t>
      </w:r>
      <w:r>
        <w:rPr>
          <w:vertAlign w:val="superscript"/>
          <w:bCs/>
          <w:b/>
        </w:rPr>
        <w:t xml:space="preserve">35</w:t>
      </w:r>
      <w:r>
        <w:t xml:space="preserve"> </w:t>
      </w:r>
      <w:r>
        <w:t xml:space="preserve">± 1) (39).</w:t>
      </w:r>
    </w:p>
    <w:p>
      <w:pPr>
        <w:numPr>
          <w:ilvl w:val="0"/>
          <w:numId w:val="1075"/>
        </w:numPr>
      </w:pPr>
      <w:r>
        <w:t xml:space="preserve">1617 — XV, eapr (2 = 1, 1/2 = 11, 1 = 85 [4 podw.], nietyp. = 1) = 98 (</w:t>
      </w:r>
      <w:r>
        <w:rPr>
          <w:bCs/>
          <w:b/>
        </w:rPr>
        <w:t xml:space="preserve">f</w:t>
      </w:r>
      <w:r>
        <w:rPr>
          <w:vertAlign w:val="superscript"/>
          <w:bCs/>
          <w:b/>
        </w:rPr>
        <w:t xml:space="preserve">35</w:t>
      </w:r>
      <w:r>
        <w:t xml:space="preserve"> </w:t>
      </w:r>
      <w:r>
        <w:t xml:space="preserve">± 1) (21).</w:t>
      </w:r>
    </w:p>
    <w:p>
      <w:pPr>
        <w:numPr>
          <w:ilvl w:val="0"/>
          <w:numId w:val="1075"/>
        </w:numPr>
      </w:pPr>
      <w:r>
        <w:t xml:space="preserve">1618 — 1568, eap (2 = 1, 1/2 = 11, 1 = 85 [2 podw.], nietyp. = 1) = 98 (</w:t>
      </w:r>
      <w:r>
        <w:rPr>
          <w:bCs/>
          <w:b/>
        </w:rPr>
        <w:t xml:space="preserve">f</w:t>
      </w:r>
      <w:r>
        <w:rPr>
          <w:vertAlign w:val="superscript"/>
          <w:bCs/>
          <w:b/>
        </w:rPr>
        <w:t xml:space="preserve">35</w:t>
      </w:r>
      <w:r>
        <w:t xml:space="preserve"> </w:t>
      </w:r>
      <w:r>
        <w:t xml:space="preserve">± 1) (32).</w:t>
      </w:r>
    </w:p>
    <w:p>
      <w:pPr>
        <w:numPr>
          <w:ilvl w:val="0"/>
          <w:numId w:val="1075"/>
        </w:numPr>
      </w:pPr>
      <w:r>
        <w:t xml:space="preserve">1072 — XIII,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1075 — XIV,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1503 — 1317,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1619 — XIV,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1628 — 1400,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1636 — XV,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1745 — XV, 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1746 — XIV, 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1652 — XVI, eap (2 = 1, 1/2 = 3, 1 = 21) = 25 (</w:t>
      </w:r>
      <w:r>
        <w:rPr>
          <w:bCs/>
          <w:b/>
        </w:rPr>
        <w:t xml:space="preserve">f</w:t>
      </w:r>
      <w:r>
        <w:rPr>
          <w:vertAlign w:val="superscript"/>
          <w:bCs/>
          <w:b/>
        </w:rPr>
        <w:t xml:space="preserve">35</w:t>
      </w:r>
      <w:r>
        <w:t xml:space="preserve"> </w:t>
      </w:r>
      <w:r>
        <w:t xml:space="preserve">fragm.).</w:t>
      </w:r>
    </w:p>
    <w:p>
      <w:pPr>
        <w:numPr>
          <w:ilvl w:val="0"/>
          <w:numId w:val="1075"/>
        </w:numPr>
      </w:pPr>
      <w:r>
        <w:t xml:space="preserve">1742 — XIII, ap (2 = 1, 1/2 = 11, 1 = 85 [3 podw.]) = 97 (</w:t>
      </w:r>
      <w:r>
        <w:rPr>
          <w:bCs/>
          <w:b/>
        </w:rPr>
        <w:t xml:space="preserve">f</w:t>
      </w:r>
      <w:r>
        <w:rPr>
          <w:vertAlign w:val="superscript"/>
          <w:bCs/>
          <w:b/>
        </w:rPr>
        <w:t xml:space="preserve">35</w:t>
      </w:r>
      <w:r>
        <w:t xml:space="preserve"> </w:t>
      </w:r>
      <w:r>
        <w:t xml:space="preserve">± 5).</w:t>
      </w:r>
    </w:p>
    <w:p>
      <w:pPr>
        <w:pStyle w:val="FirstParagraph"/>
      </w:pPr>
      <w:r>
        <w:t xml:space="preserve">Ponownie, odkładając na razie na bok manuskrypty</w:t>
      </w:r>
      <w:r>
        <w:t xml:space="preserve"> </w:t>
      </w:r>
      <w:r>
        <w:rPr>
          <w:bCs/>
          <w:b/>
        </w:rPr>
        <w:t xml:space="preserve">f</w:t>
      </w:r>
      <w:r>
        <w:rPr>
          <w:vertAlign w:val="superscript"/>
          <w:bCs/>
          <w:b/>
        </w:rPr>
        <w:t xml:space="preserve">35</w:t>
      </w:r>
      <w:r>
        <w:t xml:space="preserve">, absolutnie żadne dwa manuskrypty nie są identyczne. Pozostałe manuskrypty bizantyjskie są wszystkie odmienne, niektóre naprawdę znacznie, a jednak wszystkie wyraźnie mieszczą się w tradycji bizantyjskiej. Tych 30 manuskryptów reprezentuje tyle samo egzemplarzy, nie było „chowu wsobnego” ani upychania urny wyborczej, każdy kopista próbował odtworzyć to, co miał przed sobą, niezależnie od jakości tekstu. Ponieważ manuskrypty nadal znajdowały się tam w 1800 roku, nie sporządzono ich, aby zrealizować zamówienie z innego miejsca.</w:t>
      </w:r>
    </w:p>
    <w:p>
      <w:pPr>
        <w:pStyle w:val="BodyText"/>
      </w:pPr>
      <w:r>
        <w:t xml:space="preserve">Ponadto skąd klasztory brały pergamin do ciągłego sporządzania manuskryptów? Czy miały pieniądze, by wychodzić i kupować go w garbarniach? Bardziej prawdopodobne wydaje mi się, że wytwarzały go same ze skór owiec i kóz, które jadły. W takim przypadku zdobycie ilości wystarczającej na jeden Nowy Testament mogło bez trudu zająć kilka lat. Problem znalezienia wystarczającej ilości pergaminu przemawia przeciwko masowej produkcji kopii w jakimkolwiek okresie epoki welinu. Trzy datowane manuskrypty na Synaju są oddalone od siebie o osiem lat (1308, 1316, 1324) — czy zgromadzenie wystarczającej ilości welinu mogło trwać aż tak długo?</w:t>
      </w:r>
    </w:p>
    <w:p>
      <w:pPr>
        <w:pStyle w:val="BodyText"/>
      </w:pPr>
      <w:r>
        <w:t xml:space="preserve">Rozważmy teraz grupę</w:t>
      </w:r>
      <w:r>
        <w:t xml:space="preserve"> </w:t>
      </w:r>
      <w:r>
        <w:rPr>
          <w:bCs/>
          <w:b/>
        </w:rPr>
        <w:t xml:space="preserve">f</w:t>
      </w:r>
      <w:r>
        <w:rPr>
          <w:vertAlign w:val="superscript"/>
          <w:bCs/>
          <w:b/>
        </w:rPr>
        <w:t xml:space="preserve">35</w:t>
      </w:r>
      <w:r>
        <w:t xml:space="preserve">. Siedem to</w:t>
      </w:r>
      <w:r>
        <w:t xml:space="preserve"> </w:t>
      </w:r>
      <w:r>
        <w:rPr>
          <w:bCs/>
          <w:b/>
        </w:rPr>
        <w:t xml:space="preserve">f</w:t>
      </w:r>
      <w:r>
        <w:rPr>
          <w:vertAlign w:val="superscript"/>
          <w:bCs/>
          <w:b/>
        </w:rPr>
        <w:t xml:space="preserve">35</w:t>
      </w:r>
      <w:r>
        <w:t xml:space="preserve"> </w:t>
      </w:r>
      <w:r>
        <w:t xml:space="preserve">± 2, lecz żadne dwa nie mają identycznego profilu — odmienne warianty umieściłem w nawiasach okrągłych na końcu wiersza, aby czytelnik mógł to sprawdzić jednym spojrzeniem. Pięć to</w:t>
      </w:r>
      <w:r>
        <w:t xml:space="preserve"> </w:t>
      </w:r>
      <w:r>
        <w:rPr>
          <w:bCs/>
          <w:b/>
        </w:rPr>
        <w:t xml:space="preserve">f</w:t>
      </w:r>
      <w:r>
        <w:rPr>
          <w:vertAlign w:val="superscript"/>
          <w:bCs/>
          <w:b/>
        </w:rPr>
        <w:t xml:space="preserve">35</w:t>
      </w:r>
      <w:r>
        <w:t xml:space="preserve"> </w:t>
      </w:r>
      <w:r>
        <w:t xml:space="preserve">± 1, lecz również żadne dwa nie mają identycznego profilu, jak czytelnik może zobaczyć jednym spojrzeniem. Te dwanaście manuskryptów także musiało więc zostać skopiowanych z tylu samo egzemplarzy — mamy teraz 44 manuskrypty skopiowane z odrębnych egzemplarzy. Ach, ale istnieje osiem manuskryptów o doskonałym profilu</w:t>
      </w:r>
      <w:r>
        <w:t xml:space="preserve"> </w:t>
      </w:r>
      <w:r>
        <w:rPr>
          <w:bCs/>
          <w:b/>
        </w:rPr>
        <w:t xml:space="preserve">f</w:t>
      </w:r>
      <w:r>
        <w:rPr>
          <w:vertAlign w:val="superscript"/>
          <w:bCs/>
          <w:b/>
        </w:rPr>
        <w:t xml:space="preserve">35</w:t>
      </w:r>
      <w:r>
        <w:t xml:space="preserve">, co z nimi? Cóż, zacznijmy od zawartości: trzy zawierają</w:t>
      </w:r>
      <w:r>
        <w:t xml:space="preserve"> </w:t>
      </w:r>
      <w:r>
        <w:rPr>
          <w:bCs/>
          <w:b/>
        </w:rPr>
        <w:t xml:space="preserve">eapr</w:t>
      </w:r>
      <w:r>
        <w:t xml:space="preserve">, trzy</w:t>
      </w:r>
      <w:r>
        <w:t xml:space="preserve"> </w:t>
      </w:r>
      <w:r>
        <w:rPr>
          <w:bCs/>
          <w:b/>
        </w:rPr>
        <w:t xml:space="preserve">eap</w:t>
      </w:r>
      <w:r>
        <w:t xml:space="preserve">, dwa</w:t>
      </w:r>
      <w:r>
        <w:t xml:space="preserve"> </w:t>
      </w:r>
      <w:r>
        <w:rPr>
          <w:bCs/>
          <w:b/>
        </w:rPr>
        <w:t xml:space="preserve">apr</w:t>
      </w:r>
      <w:r>
        <w:t xml:space="preserve"> </w:t>
      </w:r>
      <w:r>
        <w:t xml:space="preserve">— przynajmniej te trzy grupy muszą reprezentować odrębne egzemplarze. Pozostaje nam więc najwyżej pięć manuskryptów, które mogły nie reprezentować odrębnego egzemplarza. Odkładając na bok z góry przyjęte poglądy, jaką obiektywną podstawę mógłby mieć ktokolwiek, by twierdzić, że tych pięciu nie skopiowano według tej samej zasady co pozostałe, mianowicie w celu zachowania tekstu egzemplarza? Wydaje mi się sprawiedliwe rozumienie, że 52 zachowane manuskrypty z M. Lavras reprezentują tyle samo odrębnych egzemplarzy.</w:t>
      </w:r>
      <w:r>
        <w:rPr>
          <w:rStyle w:val="FootnoteReference"/>
        </w:rPr>
        <w:footnoteReference w:id="372"/>
      </w:r>
    </w:p>
    <w:bookmarkEnd w:id="373"/>
    <w:bookmarkEnd w:id="374"/>
    <w:bookmarkStart w:id="376" w:name="recenzja-f35-kr"/>
    <w:p>
      <w:pPr>
        <w:pStyle w:val="Heading3"/>
      </w:pPr>
      <w:r>
        <w:t xml:space="preserve">Recenzja</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w:t>
      </w:r>
    </w:p>
    <w:p>
      <w:pPr>
        <w:pStyle w:val="FirstParagraph"/>
      </w:pPr>
      <w:r>
        <w:t xml:space="preserve">Ponieważ</w:t>
      </w:r>
      <w:r>
        <w:t xml:space="preserve"> </w:t>
      </w:r>
      <w:r>
        <w:rPr>
          <w:bCs/>
          <w:b/>
        </w:rPr>
        <w:t xml:space="preserve">f</w:t>
      </w:r>
      <w:r>
        <w:rPr>
          <w:vertAlign w:val="superscript"/>
          <w:bCs/>
          <w:b/>
        </w:rPr>
        <w:t xml:space="preserve">35</w:t>
      </w:r>
      <w:r>
        <w:t xml:space="preserve"> </w:t>
      </w:r>
      <w:r>
        <w:t xml:space="preserve">jest jedyną znaczącą grupą o znacznej liczbie manuskryptów i profilu określonym empirycznie, możemy z pewnością ustalić jej tekst archetypalny — mamy najbardziej spójny ze wszystkich typów tekstu. Czy jest jednak „recenzją”? Von Soden twierdził, że tak, przypisując ją do XII wieku, nie wiem, czy wskazał źródło, ale jeśli to zrobił, mylił się. Minuskuł 35 wraz z innymi manuskryptami z XI wieku należy do tej grupy — ich egzemplarze pochodziły przypuszczalnie z X wieku lub były wcześniejsze. W innym miejscu wykazałem</w:t>
      </w:r>
      <w:r>
        <w:rPr>
          <w:rStyle w:val="FootnoteReference"/>
        </w:rPr>
        <w:footnoteReference w:id="375"/>
      </w:r>
      <w:r>
        <w:t xml:space="preserve">, że</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jest niezależna od</w:t>
      </w:r>
      <w:r>
        <w:t xml:space="preserve"> </w:t>
      </w:r>
      <w:r>
        <w:rPr>
          <w:bCs/>
          <w:b/>
        </w:rPr>
        <w:t xml:space="preserve">K</w:t>
      </w:r>
      <w:r>
        <w:rPr>
          <w:vertAlign w:val="superscript"/>
          <w:bCs/>
          <w:b/>
        </w:rPr>
        <w:t xml:space="preserve">x</w:t>
      </w:r>
      <w:r>
        <w:t xml:space="preserve"> </w:t>
      </w:r>
      <w:r>
        <w:t xml:space="preserve">w całym Nowym Testamencie — jeśli jest niezależna, nie mogła opierać się na</w:t>
      </w:r>
      <w:r>
        <w:t xml:space="preserve"> </w:t>
      </w:r>
      <w:r>
        <w:rPr>
          <w:bCs/>
          <w:b/>
        </w:rPr>
        <w:t xml:space="preserve">K</w:t>
      </w:r>
      <w:r>
        <w:rPr>
          <w:vertAlign w:val="superscript"/>
          <w:bCs/>
          <w:b/>
        </w:rPr>
        <w:t xml:space="preserve">x</w:t>
      </w:r>
      <w:r>
        <w:t xml:space="preserve">.</w:t>
      </w:r>
      <w:r>
        <w:t xml:space="preserve"> </w:t>
      </w:r>
      <w:r>
        <w:rPr>
          <w:bCs/>
          <w:b/>
        </w:rPr>
        <w:t xml:space="preserve">f</w:t>
      </w:r>
      <w:r>
        <w:rPr>
          <w:vertAlign w:val="superscript"/>
          <w:bCs/>
          <w:b/>
        </w:rPr>
        <w:t xml:space="preserve">35</w:t>
      </w:r>
      <w:r>
        <w:t xml:space="preserve"> </w:t>
      </w:r>
      <w:r>
        <w:t xml:space="preserve">wielokrotnie ma jawne wczesne poświadczenie przeciwko</w:t>
      </w:r>
      <w:r>
        <w:t xml:space="preserve"> </w:t>
      </w:r>
      <w:r>
        <w:rPr>
          <w:bCs/>
          <w:b/>
        </w:rPr>
        <w:t xml:space="preserve">K</w:t>
      </w:r>
      <w:r>
        <w:rPr>
          <w:vertAlign w:val="superscript"/>
          <w:bCs/>
          <w:b/>
        </w:rPr>
        <w:t xml:space="preserve">x</w:t>
      </w:r>
      <w:r>
        <w:t xml:space="preserve">, lecz nie ma wzorca zgodności, są przypadkowe. Jest poświadczona (przeciwko</w:t>
      </w:r>
      <w:r>
        <w:t xml:space="preserve"> </w:t>
      </w:r>
      <w:r>
        <w:rPr>
          <w:bCs/>
          <w:b/>
        </w:rPr>
        <w:t xml:space="preserve">K</w:t>
      </w:r>
      <w:r>
        <w:rPr>
          <w:vertAlign w:val="superscript"/>
          <w:bCs/>
          <w:b/>
        </w:rPr>
        <w:t xml:space="preserve">x</w:t>
      </w:r>
      <w:r>
        <w:t xml:space="preserve">) przez P</w:t>
      </w:r>
      <w:r>
        <w:rPr>
          <w:vertAlign w:val="superscript"/>
        </w:rPr>
        <w:t xml:space="preserve">45,46,47,66,75</w:t>
      </w:r>
      <w:r>
        <w:t xml:space="preserve">, ℵ, A, B, C, D, W, lat, syr, cop — czasem tylko przez jednego, czasem przez dwóch, trzech, czterech lub więcej spośród nich, lecz w nieustannie zmieniających się wzorcach. Jeśli nie ma wzorca, nie ma zależności,</w:t>
      </w:r>
      <w:r>
        <w:t xml:space="preserve"> </w:t>
      </w:r>
      <w:r>
        <w:rPr>
          <w:bCs/>
          <w:b/>
        </w:rPr>
        <w:t xml:space="preserve">f</w:t>
      </w:r>
      <w:r>
        <w:rPr>
          <w:vertAlign w:val="superscript"/>
          <w:bCs/>
          <w:b/>
        </w:rPr>
        <w:t xml:space="preserve">35</w:t>
      </w:r>
      <w:r>
        <w:t xml:space="preserve"> </w:t>
      </w:r>
      <w:r>
        <w:t xml:space="preserve">ma starożytne odczyty, ponieważ sama jest starożytna.</w:t>
      </w:r>
    </w:p>
    <w:p>
      <w:pPr>
        <w:pStyle w:val="BodyText"/>
      </w:pPr>
      <w:r>
        <w:t xml:space="preserve">Wracając do</w:t>
      </w:r>
      <w:r>
        <w:t xml:space="preserve"> </w:t>
      </w:r>
      <w:r>
        <w:rPr>
          <w:iCs/>
          <w:i/>
        </w:rPr>
        <w:t xml:space="preserve">TuT</w:t>
      </w:r>
      <w:r>
        <w:t xml:space="preserve"> </w:t>
      </w:r>
      <w:r>
        <w:t xml:space="preserve">i Listów Ogólnych, wymienię obecne miejsca przechowywania manuskryptów</w:t>
      </w:r>
      <w:r>
        <w:t xml:space="preserve"> </w:t>
      </w:r>
      <w:r>
        <w:rPr>
          <w:bCs/>
          <w:b/>
        </w:rPr>
        <w:t xml:space="preserve">f</w:t>
      </w:r>
      <w:r>
        <w:rPr>
          <w:vertAlign w:val="superscript"/>
          <w:bCs/>
          <w:b/>
        </w:rPr>
        <w:t xml:space="preserve">35</w:t>
      </w:r>
      <w:r>
        <w:t xml:space="preserve"> </w:t>
      </w:r>
      <w:r>
        <w:t xml:space="preserve">według stulecia:</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Stulecie</w:t>
            </w:r>
          </w:p>
        </w:tc>
        <w:tc>
          <w:tcPr/>
          <w:p>
            <w:pPr>
              <w:pStyle w:val="Compact"/>
              <w:jc w:val="left"/>
            </w:pPr>
            <w:r>
              <w:t xml:space="preserve">Miejsca</w:t>
            </w:r>
          </w:p>
        </w:tc>
      </w:tr>
      <w:tr>
        <w:tc>
          <w:tcPr/>
          <w:p>
            <w:pPr>
              <w:pStyle w:val="Compact"/>
              <w:jc w:val="center"/>
            </w:pPr>
            <w:r>
              <w:t xml:space="preserve">XI</w:t>
            </w:r>
          </w:p>
        </w:tc>
        <w:tc>
          <w:tcPr/>
          <w:p>
            <w:pPr>
              <w:pStyle w:val="Compact"/>
              <w:jc w:val="left"/>
            </w:pPr>
            <w:r>
              <w:t xml:space="preserve">Paryż, Trikala, Watykan</w:t>
            </w:r>
          </w:p>
        </w:tc>
      </w:tr>
      <w:tr>
        <w:tc>
          <w:tcPr/>
          <w:p>
            <w:pPr>
              <w:pStyle w:val="Compact"/>
              <w:jc w:val="center"/>
            </w:pPr>
            <w:r>
              <w:t xml:space="preserve">XII</w:t>
            </w:r>
          </w:p>
        </w:tc>
        <w:tc>
          <w:tcPr/>
          <w:p>
            <w:pPr>
              <w:pStyle w:val="Compact"/>
              <w:jc w:val="left"/>
            </w:pPr>
            <w:r>
              <w:t xml:space="preserve">Athos (Kutlumusiu, M. Lavras, Panteleimonos, Stavronikita, Vatopediu), Jerozolima</w:t>
            </w:r>
          </w:p>
        </w:tc>
      </w:tr>
      <w:tr>
        <w:tc>
          <w:tcPr/>
          <w:p>
            <w:pPr>
              <w:pStyle w:val="Compact"/>
              <w:jc w:val="center"/>
            </w:pPr>
            <w:r>
              <w:t xml:space="preserve">XIII</w:t>
            </w:r>
          </w:p>
        </w:tc>
        <w:tc>
          <w:tcPr/>
          <w:p>
            <w:pPr>
              <w:pStyle w:val="Compact"/>
              <w:jc w:val="left"/>
            </w:pPr>
            <w:r>
              <w:t xml:space="preserve">Ateny, Athos (Iviron, Konstamonitu, M. Lavras, Pantokratoros, Filotheu), Bolonia, Kalawrita, Lejda, Watykan</w:t>
            </w:r>
          </w:p>
        </w:tc>
      </w:tr>
      <w:tr>
        <w:tc>
          <w:tcPr/>
          <w:p>
            <w:pPr>
              <w:pStyle w:val="Compact"/>
              <w:jc w:val="center"/>
            </w:pPr>
            <w:r>
              <w:t xml:space="preserve">XIV</w:t>
            </w:r>
          </w:p>
        </w:tc>
        <w:tc>
          <w:tcPr/>
          <w:p>
            <w:pPr>
              <w:pStyle w:val="Compact"/>
              <w:jc w:val="left"/>
            </w:pPr>
            <w:r>
              <w:t xml:space="preserve">Ateny, Athos (Dionysiu, Esfigmenu, Iviron, Karakallu, Kavsokalyvion, M. Lavras, Vatopediu), Grottaferrata, Jerozolima, Karditsa, Londyn, Ochryda, Paryż, Patmos, Rzym, Synaj, Watykan</w:t>
            </w:r>
          </w:p>
        </w:tc>
      </w:tr>
      <w:tr>
        <w:tc>
          <w:tcPr/>
          <w:p>
            <w:pPr>
              <w:pStyle w:val="Compact"/>
              <w:jc w:val="center"/>
            </w:pPr>
            <w:r>
              <w:t xml:space="preserve">XV</w:t>
            </w:r>
          </w:p>
        </w:tc>
        <w:tc>
          <w:tcPr/>
          <w:p>
            <w:pPr>
              <w:pStyle w:val="Compact"/>
              <w:jc w:val="left"/>
            </w:pPr>
            <w:r>
              <w:t xml:space="preserve">Ateny, Athos (Iviron, M. Lavras), Bukareszt, Londyn, Meteory, Synaj, Sparta, Watykan, Wenecja, Żytawa</w:t>
            </w:r>
          </w:p>
        </w:tc>
      </w:tr>
      <w:tr>
        <w:tc>
          <w:tcPr/>
          <w:p>
            <w:pPr>
              <w:pStyle w:val="Compact"/>
              <w:jc w:val="center"/>
            </w:pPr>
            <w:r>
              <w:t xml:space="preserve">XVI</w:t>
            </w:r>
          </w:p>
        </w:tc>
        <w:tc>
          <w:tcPr/>
          <w:p>
            <w:pPr>
              <w:pStyle w:val="Compact"/>
              <w:jc w:val="left"/>
            </w:pPr>
            <w:r>
              <w:t xml:space="preserve">Ateny, Athos (Iviron, Kutlumusiu, M. Lavras), Lesbos, Synaj</w:t>
            </w:r>
          </w:p>
        </w:tc>
      </w:tr>
      <w:tr>
        <w:tc>
          <w:tcPr/>
          <w:p>
            <w:pPr>
              <w:pStyle w:val="Compact"/>
              <w:jc w:val="center"/>
            </w:pPr>
            <w:r>
              <w:t xml:space="preserve">XVII</w:t>
            </w:r>
          </w:p>
        </w:tc>
        <w:tc>
          <w:tcPr/>
          <w:p>
            <w:pPr>
              <w:pStyle w:val="Compact"/>
              <w:jc w:val="left"/>
            </w:pPr>
            <w:r>
              <w:t xml:space="preserve">Athos (Dionysiu, M. Lavras)</w:t>
            </w:r>
          </w:p>
        </w:tc>
      </w:tr>
    </w:tbl>
    <w:p>
      <w:pPr>
        <w:pStyle w:val="BodyText"/>
      </w:pPr>
      <w:r>
        <w:t xml:space="preserve">Manuskrypty w Watykanie, Grottaferracie, Jerozolimie, na Patmos, Synaju, Athos, w Trikali, Meteorach i na Lesbos przynajmniej są najprawdopodobniej oparte na linii przodków przechowywanych lokalnie, wszelki import egzemplarzy nastąpił prawdopodobnie we wczesnych wiekach. Jeśli manuskrypty</w:t>
      </w:r>
      <w:r>
        <w:t xml:space="preserve"> </w:t>
      </w:r>
      <w:r>
        <w:rPr>
          <w:bCs/>
          <w:b/>
        </w:rPr>
        <w:t xml:space="preserve">f</w:t>
      </w:r>
      <w:r>
        <w:rPr>
          <w:vertAlign w:val="superscript"/>
          <w:bCs/>
          <w:b/>
        </w:rPr>
        <w:t xml:space="preserve">35</w:t>
      </w:r>
      <w:r>
        <w:t xml:space="preserve"> </w:t>
      </w:r>
      <w:r>
        <w:t xml:space="preserve">znajdują się dziś w tych miejscach, przypuszczalnie dzieje się tak dlatego, że manuskrypty</w:t>
      </w:r>
      <w:r>
        <w:t xml:space="preserve"> </w:t>
      </w:r>
      <w:r>
        <w:rPr>
          <w:bCs/>
          <w:b/>
        </w:rPr>
        <w:t xml:space="preserve">f</w:t>
      </w:r>
      <w:r>
        <w:rPr>
          <w:vertAlign w:val="superscript"/>
          <w:bCs/>
          <w:b/>
        </w:rPr>
        <w:t xml:space="preserve">35</w:t>
      </w:r>
      <w:r>
        <w:t xml:space="preserve"> </w:t>
      </w:r>
      <w:r>
        <w:t xml:space="preserve">znajdowały się tam od początku.</w:t>
      </w:r>
    </w:p>
    <w:p>
      <w:pPr>
        <w:pStyle w:val="BodyText"/>
      </w:pPr>
      <w:r>
        <w:t xml:space="preserve">Odrzucam jako całkowicie bezpodstawny zarzut, że</w:t>
      </w:r>
      <w:r>
        <w:t xml:space="preserve"> </w:t>
      </w:r>
      <w:r>
        <w:rPr>
          <w:bCs/>
          <w:b/>
        </w:rPr>
        <w:t xml:space="preserve">f</w:t>
      </w:r>
      <w:r>
        <w:rPr>
          <w:vertAlign w:val="superscript"/>
          <w:bCs/>
          <w:b/>
        </w:rPr>
        <w:t xml:space="preserve">35</w:t>
      </w:r>
      <w:r>
        <w:t xml:space="preserve"> </w:t>
      </w:r>
      <w:r>
        <w:t xml:space="preserve">jest recenzją. Jeśli ktoś chce twierdzić, że nią jest, proszę, aby podał, kto jej dokonał, kiedy i gdzie, oraz przedstawił dowody na poparcie tego twierdzenia. Bez dowodów każde takie twierdzenie jest niepoważne i nieodpowiedzialne.</w:t>
      </w:r>
    </w:p>
    <w:bookmarkEnd w:id="376"/>
    <w:bookmarkEnd w:id="377"/>
    <w:bookmarkStart w:id="385" w:name="X654f453812fa20075156a4d644b9a1816602b98"/>
    <w:p>
      <w:pPr>
        <w:pStyle w:val="Heading2"/>
      </w:pPr>
      <w:r>
        <w:t xml:space="preserve">Archetyp w Listach Ogólnych —</w:t>
      </w:r>
      <w:r>
        <w:t xml:space="preserve"> </w:t>
      </w:r>
      <w:r>
        <w:rPr>
          <w:bCs/>
          <w:b/>
        </w:rPr>
        <w:t xml:space="preserve">f</w:t>
      </w:r>
      <w:r>
        <w:rPr>
          <w:vertAlign w:val="superscript"/>
          <w:bCs/>
          <w:b/>
        </w:rPr>
        <w:t xml:space="preserve">35</w:t>
      </w:r>
      <w:r>
        <w:t xml:space="preserve"> </w:t>
      </w:r>
      <w:r>
        <w:t xml:space="preserve">tak,</w:t>
      </w:r>
      <w:r>
        <w:t xml:space="preserve"> </w:t>
      </w:r>
      <w:r>
        <w:rPr>
          <w:bCs/>
          <w:b/>
        </w:rPr>
        <w:t xml:space="preserve">K</w:t>
      </w:r>
      <w:r>
        <w:rPr>
          <w:vertAlign w:val="superscript"/>
          <w:bCs/>
          <w:b/>
        </w:rPr>
        <w:t xml:space="preserve">x</w:t>
      </w:r>
      <w:r>
        <w:t xml:space="preserve"> </w:t>
      </w:r>
      <w:r>
        <w:t xml:space="preserve">nie</w:t>
      </w:r>
    </w:p>
    <w:p>
      <w:pPr>
        <w:pStyle w:val="FirstParagraph"/>
      </w:pPr>
      <w:r>
        <w:t xml:space="preserve">Jeśli chcesz być kandydatem na najlepszego hydraulika w mieście, musisz być hydraulikiem, na najlepszego prawnika — musisz być prawnikiem, na najlepszego onkologa — musisz być onkologiem, i tak dalej. Podobnie, jeśli chcesz być kandydatem na archetyp Autografu, musisz być archetypem, rzeczywistym, najzupełniej prawdziwym, obiektywnie weryfikowalnym archetypem. Niniejsza część podejmuje następujące pytanie: czy w Listach Ogólnych istnieją jakieś obiektywnie rozpoznawalne archetypy?</w:t>
      </w:r>
    </w:p>
    <w:p>
      <w:pPr>
        <w:pStyle w:val="BodyText"/>
      </w:pPr>
      <w:r>
        <w:t xml:space="preserve">Zwracam uwagę na poniższe dowody zaczerpnięte z mojego aparatu krytycznego do tych ksiąg. Będę rozpatrywał księgi pojedynczo. Odczyt</w:t>
      </w:r>
      <w:r>
        <w:t xml:space="preserve"> </w:t>
      </w:r>
      <w:r>
        <w:rPr>
          <w:bCs/>
          <w:b/>
        </w:rPr>
        <w:t xml:space="preserve">f</w:t>
      </w:r>
      <w:r>
        <w:rPr>
          <w:vertAlign w:val="superscript"/>
          <w:bCs/>
          <w:b/>
        </w:rPr>
        <w:t xml:space="preserve">35</w:t>
      </w:r>
      <w:r>
        <w:t xml:space="preserve"> </w:t>
      </w:r>
      <w:r>
        <w:t xml:space="preserve">zawsze będzie pierwszy, a pełny wykaz określa archetyp tej rodziny.</w:t>
      </w:r>
      <w:r>
        <w:rPr>
          <w:rStyle w:val="FootnoteReference"/>
        </w:rPr>
        <w:footnoteReference w:id="378"/>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List Jakuba</w:t>
            </w:r>
          </w:p>
        </w:tc>
        <w:tc>
          <w:tcPr/>
          <w:p>
            <w:pPr>
              <w:pStyle w:val="Compact"/>
            </w:pPr>
          </w:p>
        </w:tc>
      </w:tr>
      <w:tr>
        <w:tc>
          <w:tcPr/>
          <w:p>
            <w:pPr>
              <w:pStyle w:val="Compact"/>
              <w:jc w:val="center"/>
            </w:pPr>
            <w:r>
              <w:t xml:space="preserve">1,05</w:t>
            </w:r>
          </w:p>
        </w:tc>
        <w:tc>
          <w:tcPr/>
          <w:p>
            <w:pPr>
              <w:pStyle w:val="Compact"/>
              <w:jc w:val="left"/>
            </w:pPr>
            <w:r>
              <w:t xml:space="preserve">ουκ</w:t>
            </w:r>
            <w:r>
              <w:t xml:space="preserve"> </w:t>
            </w:r>
            <w:r>
              <w:rPr>
                <w:bCs/>
                <w:b/>
              </w:rPr>
              <w:t xml:space="preserve">f</w:t>
            </w:r>
            <w:r>
              <w:rPr>
                <w:vertAlign w:val="superscript"/>
                <w:bCs/>
                <w:b/>
              </w:rPr>
              <w:t xml:space="preserve">35</w:t>
            </w:r>
            <w:r>
              <w:t xml:space="preserve"> </w:t>
            </w:r>
            <w:r>
              <w:t xml:space="preserve">(70,3%) || μη ℵA,B,C (29,7%);</w:t>
            </w:r>
          </w:p>
        </w:tc>
        <w:tc>
          <w:tcPr/>
          <w:p>
            <w:pPr>
              <w:pStyle w:val="Compact"/>
              <w:jc w:val="left"/>
            </w:pPr>
            <w:r>
              <w:t xml:space="preserve">?(bez</w:t>
            </w:r>
            <w:r>
              <w:t xml:space="preserve"> </w:t>
            </w:r>
            <w:r>
              <w:rPr>
                <w:bCs/>
                <w:b/>
              </w:rPr>
              <w:t xml:space="preserve">K</w:t>
            </w:r>
            <w:r>
              <w:rPr>
                <w:vertAlign w:val="superscript"/>
                <w:bCs/>
                <w:b/>
              </w:rPr>
              <w:t xml:space="preserve">x</w:t>
            </w:r>
            <w:r>
              <w:t xml:space="preserve">)</w:t>
            </w:r>
            <w:r>
              <w:rPr>
                <w:rStyle w:val="FootnoteReference"/>
              </w:rPr>
              <w:footnoteReference w:id="379"/>
            </w:r>
          </w:p>
        </w:tc>
      </w:tr>
      <w:tr>
        <w:tc>
          <w:tcPr/>
          <w:p>
            <w:pPr>
              <w:pStyle w:val="Compact"/>
              <w:jc w:val="center"/>
            </w:pPr>
            <w:r>
              <w:t xml:space="preserve">1,23</w:t>
            </w:r>
          </w:p>
        </w:tc>
        <w:tc>
          <w:tcPr/>
          <w:p>
            <w:pPr>
              <w:pStyle w:val="Compact"/>
              <w:jc w:val="left"/>
            </w:pPr>
            <w:r>
              <w:t xml:space="preserve">νομου</w:t>
            </w:r>
            <w:r>
              <w:t xml:space="preserve"> </w:t>
            </w:r>
            <w:r>
              <w:rPr>
                <w:bCs/>
                <w:b/>
              </w:rPr>
              <w:t xml:space="preserve">f</w:t>
            </w:r>
            <w:r>
              <w:rPr>
                <w:vertAlign w:val="superscript"/>
                <w:bCs/>
                <w:b/>
              </w:rPr>
              <w:t xml:space="preserve">35</w:t>
            </w:r>
            <w:r>
              <w:t xml:space="preserve"> </w:t>
            </w:r>
            <w:r>
              <w:t xml:space="preserve">(30%) || λογου ℵA,B,C (69%) || λογων (1%);</w:t>
            </w:r>
          </w:p>
        </w:tc>
        <w:tc>
          <w:tcPr/>
          <w:p>
            <w:pPr>
              <w:pStyle w:val="Compact"/>
            </w:pPr>
          </w:p>
        </w:tc>
      </w:tr>
      <w:tr>
        <w:tc>
          <w:tcPr/>
          <w:p>
            <w:pPr>
              <w:pStyle w:val="Compact"/>
              <w:jc w:val="center"/>
            </w:pPr>
            <w:r>
              <w:t xml:space="preserve">1,26</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(35%) || αλλα ℵA,B,C,0173 (65%);</w:t>
            </w:r>
          </w:p>
        </w:tc>
        <w:tc>
          <w:tcPr/>
          <w:p>
            <w:pPr>
              <w:pStyle w:val="Compact"/>
            </w:pPr>
          </w:p>
        </w:tc>
      </w:tr>
      <w:tr>
        <w:tc>
          <w:tcPr/>
          <w:p>
            <w:pPr>
              <w:pStyle w:val="Compact"/>
              <w:jc w:val="center"/>
            </w:pPr>
            <w:r>
              <w:t xml:space="preserve">2,03</w:t>
            </w:r>
          </w:p>
        </w:tc>
        <w:tc>
          <w:tcPr/>
          <w:p>
            <w:pPr>
              <w:pStyle w:val="Compact"/>
              <w:jc w:val="left"/>
            </w:pPr>
            <w:r>
              <w:t xml:space="preserve">λαμπραν εσθητα</w:t>
            </w:r>
            <w:r>
              <w:t xml:space="preserve"> </w:t>
            </w:r>
            <w:r>
              <w:rPr>
                <w:bCs/>
                <w:b/>
              </w:rPr>
              <w:t xml:space="preserve">f</w:t>
            </w:r>
            <w:r>
              <w:rPr>
                <w:vertAlign w:val="superscript"/>
                <w:bCs/>
                <w:b/>
              </w:rPr>
              <w:t xml:space="preserve">35</w:t>
            </w:r>
            <w:r>
              <w:t xml:space="preserve"> </w:t>
            </w:r>
            <w:r>
              <w:t xml:space="preserve">(30%) || εσθητα την λαμπραν ℵA,B,C (70%);</w:t>
            </w:r>
          </w:p>
        </w:tc>
        <w:tc>
          <w:tcPr/>
          <w:p>
            <w:pPr>
              <w:pStyle w:val="Compact"/>
            </w:pPr>
          </w:p>
        </w:tc>
      </w:tr>
      <w:tr>
        <w:tc>
          <w:tcPr/>
          <w:p>
            <w:pPr>
              <w:pStyle w:val="Compact"/>
              <w:jc w:val="center"/>
            </w:pPr>
            <w:r>
              <w:t xml:space="preserve">2,04</w:t>
            </w:r>
          </w:p>
        </w:tc>
        <w:tc>
          <w:tcPr/>
          <w:p>
            <w:pPr>
              <w:pStyle w:val="Compact"/>
              <w:jc w:val="left"/>
            </w:pPr>
            <w:r>
              <w:t xml:space="preserve">ου</w:t>
            </w:r>
            <w:r>
              <w:t xml:space="preserve"> </w:t>
            </w:r>
            <w:r>
              <w:rPr>
                <w:bCs/>
                <w:b/>
              </w:rPr>
              <w:t xml:space="preserve">f</w:t>
            </w:r>
            <w:r>
              <w:rPr>
                <w:vertAlign w:val="superscript"/>
                <w:bCs/>
                <w:b/>
              </w:rPr>
              <w:t xml:space="preserve">35</w:t>
            </w:r>
            <w:r>
              <w:t xml:space="preserve"> </w:t>
            </w:r>
            <w:r>
              <w:t xml:space="preserve">ℵA,C (26,8%) || και ου (72,2%) || και (0,6%) || --- B (0,4%);</w:t>
            </w:r>
          </w:p>
        </w:tc>
        <w:tc>
          <w:tcPr/>
          <w:p>
            <w:pPr>
              <w:pStyle w:val="Compact"/>
            </w:pPr>
          </w:p>
        </w:tc>
      </w:tr>
      <w:tr>
        <w:tc>
          <w:tcPr/>
          <w:p>
            <w:pPr>
              <w:pStyle w:val="Compact"/>
              <w:jc w:val="center"/>
            </w:pPr>
            <w:r>
              <w:t xml:space="preserve">2,08</w:t>
            </w:r>
          </w:p>
        </w:tc>
        <w:tc>
          <w:tcPr/>
          <w:p>
            <w:pPr>
              <w:pStyle w:val="Compact"/>
              <w:jc w:val="left"/>
            </w:pPr>
            <w:r>
              <w:t xml:space="preserve">σεαυτον</w:t>
            </w:r>
            <w:r>
              <w:t xml:space="preserve"> </w:t>
            </w:r>
            <w:r>
              <w:rPr>
                <w:bCs/>
                <w:b/>
              </w:rPr>
              <w:t xml:space="preserve">f</w:t>
            </w:r>
            <w:r>
              <w:rPr>
                <w:vertAlign w:val="superscript"/>
                <w:bCs/>
                <w:b/>
              </w:rPr>
              <w:t xml:space="preserve">35</w:t>
            </w:r>
            <w:r>
              <w:t xml:space="preserve"> </w:t>
            </w:r>
            <w:r>
              <w:t xml:space="preserve">ℵA(B)C (50%) || εαυτον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2,13</w:t>
            </w:r>
          </w:p>
        </w:tc>
        <w:tc>
          <w:tcPr/>
          <w:p>
            <w:pPr>
              <w:pStyle w:val="Compact"/>
              <w:jc w:val="left"/>
            </w:pPr>
            <w:r>
              <w:t xml:space="preserve">ανηλεος</w:t>
            </w:r>
            <w:r>
              <w:t xml:space="preserve"> </w:t>
            </w:r>
            <w:r>
              <w:rPr>
                <w:bCs/>
                <w:b/>
              </w:rPr>
              <w:t xml:space="preserve">f</w:t>
            </w:r>
            <w:r>
              <w:rPr>
                <w:vertAlign w:val="superscript"/>
                <w:bCs/>
                <w:b/>
              </w:rPr>
              <w:t xml:space="preserve">35</w:t>
            </w:r>
            <w:r>
              <w:t xml:space="preserve"> </w:t>
            </w:r>
            <w:r>
              <w:t xml:space="preserve">(20%) || ανελεος ℵA,B,C (30%) || ανιλεως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λεγη τις</w:t>
            </w:r>
            <w:r>
              <w:t xml:space="preserve"> </w:t>
            </w:r>
            <w:r>
              <w:rPr>
                <w:bCs/>
                <w:b/>
              </w:rPr>
              <w:t xml:space="preserve">f</w:t>
            </w:r>
            <w:r>
              <w:rPr>
                <w:vertAlign w:val="superscript"/>
                <w:bCs/>
                <w:b/>
              </w:rPr>
              <w:t xml:space="preserve">35</w:t>
            </w:r>
            <w:r>
              <w:t xml:space="preserve"> </w:t>
            </w:r>
            <w:r>
              <w:t xml:space="preserve">ℵB (70%) || ~ 21 A,C (1%) || λεγει τις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εχει</w:t>
            </w:r>
            <w:r>
              <w:t xml:space="preserve"> </w:t>
            </w:r>
            <w:r>
              <w:rPr>
                <w:bCs/>
                <w:b/>
              </w:rPr>
              <w:t xml:space="preserve">f</w:t>
            </w:r>
            <w:r>
              <w:rPr>
                <w:vertAlign w:val="superscript"/>
                <w:bCs/>
                <w:b/>
              </w:rPr>
              <w:t xml:space="preserve">35</w:t>
            </w:r>
            <w:r>
              <w:t xml:space="preserve"> </w:t>
            </w:r>
            <w:r>
              <w:t xml:space="preserve">(46%) || εχη ℵA,B,C (47%) || εχειν (4,5%) || σχη (2,5%);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3,02</w:t>
            </w:r>
          </w:p>
        </w:tc>
        <w:tc>
          <w:tcPr/>
          <w:p>
            <w:pPr>
              <w:pStyle w:val="Compact"/>
              <w:jc w:val="left"/>
            </w:pPr>
            <w:r>
              <w:t xml:space="preserve">δυναμενος</w:t>
            </w:r>
            <w:r>
              <w:t xml:space="preserve"> </w:t>
            </w:r>
            <w:r>
              <w:rPr>
                <w:bCs/>
                <w:b/>
              </w:rPr>
              <w:t xml:space="preserve">f</w:t>
            </w:r>
            <w:r>
              <w:rPr>
                <w:vertAlign w:val="superscript"/>
                <w:bCs/>
                <w:b/>
              </w:rPr>
              <w:t xml:space="preserve">35</w:t>
            </w:r>
            <w:r>
              <w:t xml:space="preserve"> </w:t>
            </w:r>
            <w:r>
              <w:t xml:space="preserve">ℵ (23%) || δυνατος A,B (76,5%);</w:t>
            </w:r>
          </w:p>
        </w:tc>
        <w:tc>
          <w:tcPr/>
          <w:p>
            <w:pPr>
              <w:pStyle w:val="Compact"/>
            </w:pPr>
          </w:p>
        </w:tc>
      </w:tr>
      <w:tr>
        <w:tc>
          <w:tcPr/>
          <w:p>
            <w:pPr>
              <w:pStyle w:val="Compact"/>
              <w:jc w:val="center"/>
            </w:pPr>
            <w:r>
              <w:t xml:space="preserve">3,03</w:t>
            </w:r>
          </w:p>
        </w:tc>
        <w:tc>
          <w:tcPr/>
          <w:p>
            <w:pPr>
              <w:pStyle w:val="Compact"/>
              <w:jc w:val="left"/>
            </w:pPr>
            <w:r>
              <w:t xml:space="preserve">ιδε</w:t>
            </w:r>
            <w:r>
              <w:t xml:space="preserve"> </w:t>
            </w:r>
            <w:r>
              <w:rPr>
                <w:bCs/>
                <w:b/>
              </w:rPr>
              <w:t xml:space="preserve">f</w:t>
            </w:r>
            <w:r>
              <w:rPr>
                <w:vertAlign w:val="superscript"/>
                <w:bCs/>
                <w:b/>
              </w:rPr>
              <w:t xml:space="preserve">35</w:t>
            </w:r>
            <w:r>
              <w:t xml:space="preserve"> </w:t>
            </w:r>
            <w:r>
              <w:t xml:space="preserve">(60%) || ει δε (38,5%) || ιδου (0,5%);</w:t>
            </w:r>
            <w:r>
              <w:rPr>
                <w:rStyle w:val="FootnoteReference"/>
              </w:rPr>
              <w:footnoteReference w:id="380"/>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3,04</w:t>
            </w:r>
          </w:p>
        </w:tc>
        <w:tc>
          <w:tcPr/>
          <w:p>
            <w:pPr>
              <w:pStyle w:val="Compact"/>
              <w:jc w:val="left"/>
            </w:pPr>
            <w:r>
              <w:t xml:space="preserve">ανεμων σκληρων</w:t>
            </w:r>
            <w:r>
              <w:t xml:space="preserve"> </w:t>
            </w:r>
            <w:r>
              <w:rPr>
                <w:bCs/>
                <w:b/>
              </w:rPr>
              <w:t xml:space="preserve">f</w:t>
            </w:r>
            <w:r>
              <w:rPr>
                <w:vertAlign w:val="superscript"/>
                <w:bCs/>
                <w:b/>
              </w:rPr>
              <w:t xml:space="preserve">35</w:t>
            </w:r>
            <w:r>
              <w:t xml:space="preserve"> </w:t>
            </w:r>
            <w:r>
              <w:t xml:space="preserve">ℵB,C (44%) || ~ 21 A (56%);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3,04</w:t>
            </w:r>
          </w:p>
        </w:tc>
        <w:tc>
          <w:tcPr/>
          <w:p>
            <w:pPr>
              <w:pStyle w:val="Compact"/>
              <w:jc w:val="left"/>
            </w:pPr>
            <w:r>
              <w:t xml:space="preserve">ιθυνοντος</w:t>
            </w:r>
            <w:r>
              <w:t xml:space="preserve"> </w:t>
            </w:r>
            <w:r>
              <w:rPr>
                <w:bCs/>
                <w:b/>
              </w:rPr>
              <w:t xml:space="preserve">f</w:t>
            </w:r>
            <w:r>
              <w:rPr>
                <w:vertAlign w:val="superscript"/>
                <w:bCs/>
                <w:b/>
              </w:rPr>
              <w:t xml:space="preserve">35</w:t>
            </w:r>
            <w:r>
              <w:t xml:space="preserve"> </w:t>
            </w:r>
            <w:r>
              <w:t xml:space="preserve">(21%) || ευθυνοντος ℵA,B,C (79%);</w:t>
            </w:r>
          </w:p>
        </w:tc>
        <w:tc>
          <w:tcPr/>
          <w:p>
            <w:pPr>
              <w:pStyle w:val="Compact"/>
            </w:pPr>
          </w:p>
        </w:tc>
      </w:tr>
      <w:tr>
        <w:tc>
          <w:tcPr/>
          <w:p>
            <w:pPr>
              <w:pStyle w:val="Compact"/>
              <w:jc w:val="center"/>
            </w:pPr>
            <w:r>
              <w:t xml:space="preserve">3,18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A,B,C (56,6%) || δε της (42%) || δε ο ℵ (0,4%) || ---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4,02</w:t>
            </w:r>
          </w:p>
        </w:tc>
        <w:tc>
          <w:tcPr/>
          <w:p>
            <w:pPr>
              <w:pStyle w:val="Compact"/>
              <w:jc w:val="left"/>
            </w:pPr>
            <w:r>
              <w:t xml:space="preserve">ουκ εχετε</w:t>
            </w:r>
            <w:r>
              <w:t xml:space="preserve"> </w:t>
            </w:r>
            <w:r>
              <w:rPr>
                <w:bCs/>
                <w:b/>
              </w:rPr>
              <w:t xml:space="preserve">f</w:t>
            </w:r>
            <w:r>
              <w:rPr>
                <w:vertAlign w:val="superscript"/>
                <w:bCs/>
                <w:b/>
              </w:rPr>
              <w:t xml:space="preserve">35</w:t>
            </w:r>
            <w:r>
              <w:t xml:space="preserve"> </w:t>
            </w:r>
            <w:r>
              <w:t xml:space="preserve">P</w:t>
            </w:r>
            <w:r>
              <w:rPr>
                <w:vertAlign w:val="superscript"/>
              </w:rPr>
              <w:t xml:space="preserve">100</w:t>
            </w:r>
            <w:r>
              <w:t xml:space="preserve">A,B (64%) || και 12 ℵ (35%) || 12 δε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4,04</w:t>
            </w:r>
          </w:p>
        </w:tc>
        <w:tc>
          <w:tcPr/>
          <w:p>
            <w:pPr>
              <w:pStyle w:val="Compact"/>
              <w:jc w:val="left"/>
            </w:pPr>
            <w:r>
              <w:t xml:space="preserve">ουν</w:t>
            </w:r>
            <w:r>
              <w:t xml:space="preserve"> </w:t>
            </w:r>
            <w:r>
              <w:rPr>
                <w:bCs/>
                <w:b/>
              </w:rPr>
              <w:t xml:space="preserve">f</w:t>
            </w:r>
            <w:r>
              <w:rPr>
                <w:vertAlign w:val="superscript"/>
                <w:bCs/>
                <w:b/>
              </w:rPr>
              <w:t xml:space="preserve">35</w:t>
            </w:r>
            <w:r>
              <w:t xml:space="preserve"> </w:t>
            </w:r>
            <w:r>
              <w:t xml:space="preserve">ℵA,B (58%) || --- (42%);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4,07</w:t>
            </w:r>
          </w:p>
        </w:tc>
        <w:tc>
          <w:tcPr/>
          <w:p>
            <w:pPr>
              <w:pStyle w:val="Compact"/>
              <w:jc w:val="left"/>
            </w:pPr>
            <w:r>
              <w:t xml:space="preserve">αντιστητε</w:t>
            </w:r>
            <w:r>
              <w:t xml:space="preserve"> </w:t>
            </w:r>
            <w:r>
              <w:rPr>
                <w:bCs/>
                <w:b/>
              </w:rPr>
              <w:t xml:space="preserve">f</w:t>
            </w:r>
            <w:r>
              <w:rPr>
                <w:vertAlign w:val="superscript"/>
                <w:bCs/>
                <w:b/>
              </w:rPr>
              <w:t xml:space="preserve">35</w:t>
            </w:r>
            <w:r>
              <w:t xml:space="preserve"> </w:t>
            </w:r>
            <w:r>
              <w:t xml:space="preserve">(47,5%) || 1 δε ℵA,B (50%) || 1 ουν (2,5%);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γαρ</w:t>
            </w:r>
            <w:r>
              <w:t xml:space="preserve"> </w:t>
            </w:r>
            <w:r>
              <w:rPr>
                <w:bCs/>
                <w:b/>
              </w:rPr>
              <w:t xml:space="preserve">f</w:t>
            </w:r>
            <w:r>
              <w:rPr>
                <w:vertAlign w:val="superscript"/>
                <w:bCs/>
                <w:b/>
              </w:rPr>
              <w:t xml:space="preserve">35</w:t>
            </w:r>
            <w:r>
              <w:t xml:space="preserve"> </w:t>
            </w:r>
            <w:r>
              <w:t xml:space="preserve">(26%) || --- ℵA,B (74%);</w:t>
            </w:r>
          </w:p>
        </w:tc>
        <w:tc>
          <w:tcPr/>
          <w:p>
            <w:pPr>
              <w:pStyle w:val="Compact"/>
            </w:pPr>
          </w:p>
        </w:tc>
      </w:tr>
      <w:tr>
        <w:tc>
          <w:tcPr/>
          <w:p>
            <w:pPr>
              <w:pStyle w:val="Compact"/>
              <w:jc w:val="center"/>
            </w:pPr>
            <w:r>
              <w:t xml:space="preserve">4,12</w:t>
            </w:r>
          </w:p>
        </w:tc>
        <w:tc>
          <w:tcPr/>
          <w:p>
            <w:pPr>
              <w:pStyle w:val="Compact"/>
              <w:jc w:val="left"/>
            </w:pPr>
            <w:r>
              <w:t xml:space="preserve">και κριτης</w:t>
            </w:r>
            <w:r>
              <w:t xml:space="preserve"> </w:t>
            </w:r>
            <w:r>
              <w:rPr>
                <w:bCs/>
                <w:b/>
              </w:rPr>
              <w:t xml:space="preserve">f</w:t>
            </w:r>
            <w:r>
              <w:rPr>
                <w:vertAlign w:val="superscript"/>
                <w:bCs/>
                <w:b/>
              </w:rPr>
              <w:t xml:space="preserve">35</w:t>
            </w:r>
            <w:r>
              <w:t xml:space="preserve"> </w:t>
            </w:r>
            <w:r>
              <w:t xml:space="preserve">ℵA,B (62%) || --- (38%);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(26%) || υμων (P</w:t>
            </w:r>
            <w:r>
              <w:rPr>
                <w:vertAlign w:val="superscript"/>
              </w:rPr>
              <w:t xml:space="preserve">100</w:t>
            </w:r>
            <w:r>
              <w:t xml:space="preserve">)ℵA(B) (74%)</w:t>
            </w:r>
          </w:p>
        </w:tc>
        <w:tc>
          <w:tcPr/>
          <w:p>
            <w:pPr>
              <w:pStyle w:val="Compact"/>
            </w:pPr>
          </w:p>
        </w:tc>
      </w:tr>
      <w:tr>
        <w:tc>
          <w:tcPr/>
          <w:p>
            <w:pPr>
              <w:pStyle w:val="Compact"/>
              <w:jc w:val="center"/>
            </w:pPr>
            <w:r>
              <w:t xml:space="preserve">4,14</w:t>
            </w:r>
          </w:p>
        </w:tc>
        <w:tc>
          <w:tcPr/>
          <w:p>
            <w:pPr>
              <w:pStyle w:val="Compact"/>
              <w:jc w:val="left"/>
            </w:pPr>
            <w:r>
              <w:t xml:space="preserve">εστιν</w:t>
            </w:r>
            <w:r>
              <w:t xml:space="preserve"> </w:t>
            </w:r>
            <w:r>
              <w:rPr>
                <w:bCs/>
                <w:b/>
              </w:rPr>
              <w:t xml:space="preserve">f</w:t>
            </w:r>
            <w:r>
              <w:rPr>
                <w:vertAlign w:val="superscript"/>
                <w:bCs/>
                <w:b/>
              </w:rPr>
              <w:t xml:space="preserve">35</w:t>
            </w:r>
            <w:r>
              <w:t xml:space="preserve"> </w:t>
            </w:r>
            <w:r>
              <w:t xml:space="preserve">(52%) || εσται (A) (41%) || εστε B (7%) || --- ℵ;</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4,14</w:t>
            </w:r>
          </w:p>
        </w:tc>
        <w:tc>
          <w:tcPr/>
          <w:p>
            <w:pPr>
              <w:pStyle w:val="Compact"/>
              <w:jc w:val="left"/>
            </w:pPr>
            <w:r>
              <w:t xml:space="preserve">επειτα</w:t>
            </w:r>
            <w:r>
              <w:t xml:space="preserve"> </w:t>
            </w:r>
            <w:r>
              <w:rPr>
                <w:bCs/>
                <w:b/>
              </w:rPr>
              <w:t xml:space="preserve">f</w:t>
            </w:r>
            <w:r>
              <w:rPr>
                <w:vertAlign w:val="superscript"/>
                <w:bCs/>
                <w:b/>
              </w:rPr>
              <w:t xml:space="preserve">35</w:t>
            </w:r>
            <w:r>
              <w:t xml:space="preserve"> </w:t>
            </w:r>
            <w:r>
              <w:t xml:space="preserve">(29,5%) || 1 δε και (46%) || 1 δε (15%) || 1 και ℵA,B (9,5%);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5,07</w:t>
            </w:r>
          </w:p>
        </w:tc>
        <w:tc>
          <w:tcPr/>
          <w:p>
            <w:pPr>
              <w:pStyle w:val="Compact"/>
              <w:jc w:val="left"/>
            </w:pPr>
            <w:r>
              <w:t xml:space="preserve">αν</w:t>
            </w:r>
            <w:r>
              <w:t xml:space="preserve"> </w:t>
            </w:r>
            <w:r>
              <w:rPr>
                <w:bCs/>
                <w:b/>
              </w:rPr>
              <w:t xml:space="preserve">f</w:t>
            </w:r>
            <w:r>
              <w:rPr>
                <w:vertAlign w:val="superscript"/>
                <w:bCs/>
                <w:b/>
              </w:rPr>
              <w:t xml:space="preserve">35</w:t>
            </w:r>
            <w:r>
              <w:t xml:space="preserve"> </w:t>
            </w:r>
            <w:r>
              <w:t xml:space="preserve">ℵ (53%) || --- A,B,048 (45,5%) || ου (1,5%);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αδελφοι</w:t>
            </w:r>
            <w:r>
              <w:t xml:space="preserve"> </w:t>
            </w:r>
            <w:r>
              <w:rPr>
                <w:bCs/>
                <w:b/>
              </w:rPr>
              <w:t xml:space="preserve">f</w:t>
            </w:r>
            <w:r>
              <w:rPr>
                <w:vertAlign w:val="superscript"/>
                <w:bCs/>
                <w:b/>
              </w:rPr>
              <w:t xml:space="preserve">35</w:t>
            </w:r>
            <w:r>
              <w:t xml:space="preserve"> </w:t>
            </w:r>
            <w:r>
              <w:t xml:space="preserve">(A)B (35%) || αδελφοι μου (ℵ) (62%) || --- (3%);</w:t>
            </w:r>
          </w:p>
        </w:tc>
        <w:tc>
          <w:tcPr/>
          <w:p>
            <w:pPr>
              <w:pStyle w:val="Compact"/>
            </w:pPr>
          </w:p>
        </w:tc>
      </w:tr>
      <w:tr>
        <w:tc>
          <w:tcPr/>
          <w:p>
            <w:pPr>
              <w:pStyle w:val="Compact"/>
              <w:jc w:val="center"/>
            </w:pPr>
            <w:r>
              <w:t xml:space="preserve">5,10</w:t>
            </w:r>
          </w:p>
        </w:tc>
        <w:tc>
          <w:tcPr/>
          <w:p>
            <w:pPr>
              <w:pStyle w:val="Compact"/>
              <w:jc w:val="left"/>
            </w:pPr>
            <w:r>
              <w:t xml:space="preserve">εν τω</w:t>
            </w:r>
            <w:r>
              <w:t xml:space="preserve"> </w:t>
            </w:r>
            <w:r>
              <w:rPr>
                <w:bCs/>
                <w:b/>
              </w:rPr>
              <w:t xml:space="preserve">f</w:t>
            </w:r>
            <w:r>
              <w:rPr>
                <w:vertAlign w:val="superscript"/>
                <w:bCs/>
                <w:b/>
              </w:rPr>
              <w:t xml:space="preserve">35</w:t>
            </w:r>
            <w:r>
              <w:t xml:space="preserve"> </w:t>
            </w:r>
            <w:r>
              <w:t xml:space="preserve">B (40%) || τω A (58%) || εν ℵ (0,6%) || επι τω (1,4%);</w:t>
            </w:r>
          </w:p>
        </w:tc>
        <w:tc>
          <w:tcPr/>
          <w:p>
            <w:pPr>
              <w:pStyle w:val="Compact"/>
            </w:pPr>
          </w:p>
        </w:tc>
      </w:tr>
      <w:tr>
        <w:tc>
          <w:tcPr/>
          <w:p>
            <w:pPr>
              <w:pStyle w:val="Compact"/>
              <w:jc w:val="center"/>
            </w:pPr>
            <w:r>
              <w:t xml:space="preserve">5,11</w:t>
            </w:r>
          </w:p>
        </w:tc>
        <w:tc>
          <w:tcPr/>
          <w:p>
            <w:pPr>
              <w:pStyle w:val="Compact"/>
              <w:jc w:val="left"/>
            </w:pPr>
            <w:r>
              <w:t xml:space="preserve">ειδετε</w:t>
            </w:r>
            <w:r>
              <w:t xml:space="preserve"> </w:t>
            </w:r>
            <w:r>
              <w:rPr>
                <w:bCs/>
                <w:b/>
              </w:rPr>
              <w:t xml:space="preserve">f</w:t>
            </w:r>
            <w:r>
              <w:rPr>
                <w:vertAlign w:val="superscript"/>
                <w:bCs/>
                <w:b/>
              </w:rPr>
              <w:t xml:space="preserve">35</w:t>
            </w:r>
            <w:r>
              <w:t xml:space="preserve"> </w:t>
            </w:r>
            <w:r>
              <w:t xml:space="preserve">ℵB (53%) || ιδετε A (45%);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5,11</w:t>
            </w:r>
          </w:p>
        </w:tc>
        <w:tc>
          <w:tcPr/>
          <w:p>
            <w:pPr>
              <w:pStyle w:val="Compact"/>
              <w:jc w:val="left"/>
            </w:pPr>
            <w:r>
              <w:t xml:space="preserve">πολυσπλαγχνος</w:t>
            </w:r>
            <w:r>
              <w:t xml:space="preserve"> </w:t>
            </w:r>
            <w:r>
              <w:rPr>
                <w:bCs/>
                <w:b/>
              </w:rPr>
              <w:t xml:space="preserve">f</w:t>
            </w:r>
            <w:r>
              <w:rPr>
                <w:vertAlign w:val="superscript"/>
                <w:bCs/>
                <w:b/>
              </w:rPr>
              <w:t xml:space="preserve">35</w:t>
            </w:r>
            <w:r>
              <w:t xml:space="preserve"> </w:t>
            </w:r>
            <w:r>
              <w:t xml:space="preserve">ℵA,B (65%) || πολυευσπλαγχνος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5,19</w:t>
            </w:r>
          </w:p>
        </w:tc>
        <w:tc>
          <w:tcPr/>
          <w:p>
            <w:pPr>
              <w:pStyle w:val="Compact"/>
              <w:jc w:val="left"/>
            </w:pPr>
            <w:r>
              <w:t xml:space="preserve">αδελφοι</w:t>
            </w:r>
            <w:r>
              <w:t xml:space="preserve"> </w:t>
            </w:r>
            <w:r>
              <w:rPr>
                <w:bCs/>
                <w:b/>
              </w:rPr>
              <w:t xml:space="preserve">f</w:t>
            </w:r>
            <w:r>
              <w:rPr>
                <w:vertAlign w:val="superscript"/>
                <w:bCs/>
                <w:b/>
              </w:rPr>
              <w:t xml:space="preserve">35</w:t>
            </w:r>
            <w:r>
              <w:t xml:space="preserve"> </w:t>
            </w:r>
            <w:r>
              <w:t xml:space="preserve">(72%) || αδελφοι μου ℵA,B,048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Liście Jakuba określa powyższych 28 odczytów. Jest on wyraźny i jednoznaczny, mamy więc w Liście Jakuba co najmniej jeden obiektywnie określony archetyp. Dla kontrastu istnieje 14 +?4 zestawów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w:t>
      </w:r>
      <w:r>
        <w:rPr>
          <w:rStyle w:val="FootnoteReference"/>
        </w:rPr>
        <w:footnoteReference w:id="381"/>
      </w:r>
      <w:r>
        <w:t xml:space="preserve"> </w:t>
      </w:r>
      <w:r>
        <w:t xml:space="preserve">(Nie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Jak zauważył Colwell w odniesieniu do Ewangelii Marka, nie istnieje obiektywnie definiowalny archetyp „aleksandryjski”,</w:t>
      </w:r>
      <w:r>
        <w:rPr>
          <w:rStyle w:val="FootnoteReference"/>
        </w:rPr>
        <w:footnoteReference w:id="382"/>
      </w:r>
      <w:r>
        <w:t xml:space="preserve"> </w:t>
      </w:r>
      <w:r>
        <w:t xml:space="preserve">to samo odnosi się do każdego archetypu „zachodniego”, chyba że pójdziemy za Alandami i uznamy za taki pojedynczy manuskrypt, ich „tekst D” (który obejmuje jednak tylko Ewangelie i Dzieje Apostolskie, nie byłoby więc „tekstu D” dla Listu do Rzymian — Objawienia Jana).</w:t>
      </w:r>
      <w:r>
        <w:rPr>
          <w:rStyle w:val="FootnoteReference"/>
        </w:rPr>
        <w:footnoteReference w:id="383"/>
      </w:r>
      <w:r>
        <w:t xml:space="preserve"> </w:t>
      </w:r>
      <w:r>
        <w:t xml:space="preserve">Przejdźmy do 1 Listu Piotra.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1 List Piotra</w:t>
            </w:r>
          </w:p>
        </w:tc>
        <w:tc>
          <w:tcPr/>
          <w:p>
            <w:pPr>
              <w:pStyle w:val="Compact"/>
            </w:pPr>
          </w:p>
        </w:tc>
      </w:tr>
      <w:tr>
        <w:tc>
          <w:tcPr/>
          <w:p>
            <w:pPr>
              <w:pStyle w:val="Compact"/>
              <w:jc w:val="center"/>
            </w:pPr>
            <w:r>
              <w:t xml:space="preserve">1,03</w:t>
            </w:r>
          </w:p>
        </w:tc>
        <w:tc>
          <w:tcPr/>
          <w:p>
            <w:pPr>
              <w:pStyle w:val="Compact"/>
              <w:jc w:val="left"/>
            </w:pPr>
            <w:r>
              <w:t xml:space="preserve">ελεος αυτου</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(38%) || ~ 21 ℵA,B,C (60%) || 1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1,07</w:t>
            </w:r>
          </w:p>
        </w:tc>
        <w:tc>
          <w:tcPr/>
          <w:p>
            <w:pPr>
              <w:pStyle w:val="Compact"/>
              <w:jc w:val="left"/>
            </w:pPr>
            <w:r>
              <w:t xml:space="preserve">δοξαν και τιμην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(35%) || ~ 321 (28%) || ~ 32 εις 1 (37%);</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1,16</w:t>
            </w:r>
          </w:p>
        </w:tc>
        <w:tc>
          <w:tcPr/>
          <w:p>
            <w:pPr>
              <w:pStyle w:val="Compact"/>
              <w:jc w:val="left"/>
            </w:pPr>
            <w:r>
              <w:t xml:space="preserve">γινεσθε</w:t>
            </w:r>
            <w:r>
              <w:t xml:space="preserve"> </w:t>
            </w:r>
            <w:r>
              <w:rPr>
                <w:bCs/>
                <w:b/>
              </w:rPr>
              <w:t xml:space="preserve">f</w:t>
            </w:r>
            <w:r>
              <w:rPr>
                <w:vertAlign w:val="superscript"/>
                <w:bCs/>
                <w:b/>
              </w:rPr>
              <w:t xml:space="preserve">35</w:t>
            </w:r>
            <w:r>
              <w:t xml:space="preserve"> </w:t>
            </w:r>
            <w:r>
              <w:t xml:space="preserve">(52%) || γενεσθε (36%) || εσεσθε P</w:t>
            </w:r>
            <w:r>
              <w:rPr>
                <w:vertAlign w:val="superscript"/>
              </w:rPr>
              <w:t xml:space="preserve">72</w:t>
            </w:r>
            <w:r>
              <w:t xml:space="preserve"> </w:t>
            </w:r>
            <w:r>
              <w:t xml:space="preserve">ℵA,B,C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1,23</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C (40%) || αλλα P</w:t>
            </w:r>
            <w:r>
              <w:rPr>
                <w:vertAlign w:val="superscript"/>
              </w:rPr>
              <w:t xml:space="preserve">72</w:t>
            </w:r>
            <w:r>
              <w:t xml:space="preserve"> </w:t>
            </w:r>
            <w:r>
              <w:t xml:space="preserve">ℵA,B (60%);</w:t>
            </w:r>
          </w:p>
        </w:tc>
        <w:tc>
          <w:tcPr/>
          <w:p>
            <w:pPr>
              <w:pStyle w:val="Compact"/>
            </w:pPr>
          </w:p>
        </w:tc>
      </w:tr>
      <w:tr>
        <w:tc>
          <w:tcPr/>
          <w:p>
            <w:pPr>
              <w:pStyle w:val="Compact"/>
              <w:jc w:val="center"/>
            </w:pPr>
            <w:r>
              <w:t xml:space="preserve">2,02</w:t>
            </w:r>
          </w:p>
        </w:tc>
        <w:tc>
          <w:tcPr/>
          <w:p>
            <w:pPr>
              <w:pStyle w:val="Compact"/>
              <w:jc w:val="left"/>
            </w:pPr>
            <w:r>
              <w:t xml:space="preserve">εις σωτηριαν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)ℵA,B,C (65%) || ---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2,03</w:t>
            </w:r>
          </w:p>
        </w:tc>
        <w:tc>
          <w:tcPr/>
          <w:p>
            <w:pPr>
              <w:pStyle w:val="Compact"/>
              <w:jc w:val="left"/>
            </w:pPr>
            <w:r>
              <w:t xml:space="preserve">χρηστος</w:t>
            </w:r>
            <w:r>
              <w:t xml:space="preserve"> </w:t>
            </w:r>
            <w:r>
              <w:rPr>
                <w:bCs/>
                <w:b/>
              </w:rPr>
              <w:t xml:space="preserve">f</w:t>
            </w:r>
            <w:r>
              <w:rPr>
                <w:vertAlign w:val="superscript"/>
                <w:bCs/>
                <w:b/>
              </w:rPr>
              <w:t xml:space="preserve">35</w:t>
            </w:r>
            <w:r>
              <w:t xml:space="preserve"> </w:t>
            </w:r>
            <w:r>
              <w:t xml:space="preserve">ℵA,B,C (48%) || χριστος P</w:t>
            </w:r>
            <w:r>
              <w:rPr>
                <w:vertAlign w:val="superscript"/>
              </w:rPr>
              <w:t xml:space="preserve">72</w:t>
            </w:r>
            <w:r>
              <w:t xml:space="preserve"> </w:t>
            </w:r>
            <w:r>
              <w:t xml:space="preserve">(52%);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2,06</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C (35%) || εν τη (59%) || εν P</w:t>
            </w:r>
            <w:r>
              <w:rPr>
                <w:vertAlign w:val="superscript"/>
              </w:rPr>
              <w:t xml:space="preserve">72</w:t>
            </w:r>
            <w:r>
              <w:t xml:space="preserve"> </w:t>
            </w:r>
            <w:r>
              <w:t xml:space="preserve">ℵA,B (6%);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2,11</w:t>
            </w:r>
          </w:p>
        </w:tc>
        <w:tc>
          <w:tcPr/>
          <w:p>
            <w:pPr>
              <w:pStyle w:val="Compact"/>
              <w:jc w:val="left"/>
            </w:pPr>
            <w:r>
              <w:t xml:space="preserve">απεχεσθαι</w:t>
            </w:r>
            <w:r>
              <w:t xml:space="preserve"> </w:t>
            </w:r>
            <w:r>
              <w:rPr>
                <w:bCs/>
                <w:b/>
              </w:rPr>
              <w:t xml:space="preserve">f</w:t>
            </w:r>
            <w:r>
              <w:rPr>
                <w:vertAlign w:val="superscript"/>
                <w:bCs/>
                <w:b/>
              </w:rPr>
              <w:t xml:space="preserve">35</w:t>
            </w:r>
            <w:r>
              <w:t xml:space="preserve"> </w:t>
            </w:r>
            <w:r>
              <w:t xml:space="preserve">ℵB (65%) || απεχεσθε P</w:t>
            </w:r>
            <w:r>
              <w:rPr>
                <w:vertAlign w:val="superscript"/>
              </w:rPr>
              <w:t xml:space="preserve">72</w:t>
            </w:r>
            <w:r>
              <w:t xml:space="preserve">A,C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2,12</w:t>
            </w:r>
          </w:p>
        </w:tc>
        <w:tc>
          <w:tcPr/>
          <w:p>
            <w:pPr>
              <w:pStyle w:val="Compact"/>
              <w:jc w:val="left"/>
            </w:pPr>
            <w:r>
              <w:t xml:space="preserve">καταλαλουσιν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(52%) || καταλαλωσιν (48%);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μεν</w:t>
            </w:r>
            <w:r>
              <w:t xml:space="preserve"> </w:t>
            </w:r>
            <w:r>
              <w:rPr>
                <w:bCs/>
                <w:b/>
              </w:rPr>
              <w:t xml:space="preserve">f</w:t>
            </w:r>
            <w:r>
              <w:rPr>
                <w:vertAlign w:val="superscript"/>
                <w:bCs/>
                <w:b/>
              </w:rPr>
              <w:t xml:space="preserve">35</w:t>
            </w:r>
            <w:r>
              <w:t xml:space="preserve"> </w:t>
            </w:r>
            <w:r>
              <w:t xml:space="preserve">C (52%) || --- P</w:t>
            </w:r>
            <w:r>
              <w:rPr>
                <w:vertAlign w:val="superscript"/>
              </w:rPr>
              <w:t xml:space="preserve">72</w:t>
            </w:r>
            <w:r>
              <w:t xml:space="preserve"> </w:t>
            </w:r>
            <w:r>
              <w:t xml:space="preserve">ℵA,B (48%);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2,17</w:t>
            </w:r>
          </w:p>
        </w:tc>
        <w:tc>
          <w:tcPr/>
          <w:p>
            <w:pPr>
              <w:pStyle w:val="Compact"/>
              <w:jc w:val="left"/>
            </w:pPr>
            <w:r>
              <w:t xml:space="preserve">αγαπησατε</w:t>
            </w:r>
            <w:r>
              <w:t xml:space="preserve"> </w:t>
            </w:r>
            <w:r>
              <w:rPr>
                <w:bCs/>
                <w:b/>
              </w:rPr>
              <w:t xml:space="preserve">f</w:t>
            </w:r>
            <w:r>
              <w:rPr>
                <w:vertAlign w:val="superscript"/>
                <w:bCs/>
                <w:b/>
              </w:rPr>
              <w:t xml:space="preserve">35</w:t>
            </w:r>
            <w:r>
              <w:t xml:space="preserve"> </w:t>
            </w:r>
            <w:r>
              <w:t xml:space="preserve">(71%) || αγαπατε P</w:t>
            </w:r>
            <w:r>
              <w:rPr>
                <w:vertAlign w:val="superscript"/>
              </w:rPr>
              <w:t xml:space="preserve">72</w:t>
            </w:r>
            <w:r>
              <w:t xml:space="preserve"> </w:t>
            </w:r>
            <w:r>
              <w:t xml:space="preserve">ℵA,B,C (24%) || --- (5%);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2,20</w:t>
            </w:r>
          </w:p>
        </w:tc>
        <w:tc>
          <w:tcPr/>
          <w:p>
            <w:pPr>
              <w:pStyle w:val="Compact"/>
              <w:jc w:val="left"/>
            </w:pPr>
            <w:r>
              <w:t xml:space="preserve">τω</w:t>
            </w:r>
            <w:r>
              <w:t xml:space="preserve"> </w:t>
            </w:r>
            <w:r>
              <w:rPr>
                <w:bCs/>
                <w:b/>
              </w:rPr>
              <w:t xml:space="preserve">f</w:t>
            </w:r>
            <w:r>
              <w:rPr>
                <w:vertAlign w:val="superscript"/>
                <w:bCs/>
                <w:b/>
              </w:rPr>
              <w:t xml:space="preserve">35</w:t>
            </w:r>
            <w:r>
              <w:t xml:space="preserve"> </w:t>
            </w:r>
            <w:r>
              <w:t xml:space="preserve">A (47%) || --- P</w:t>
            </w:r>
            <w:r>
              <w:rPr>
                <w:vertAlign w:val="superscript"/>
              </w:rPr>
              <w:t xml:space="preserve">72,81v</w:t>
            </w:r>
            <w:r>
              <w:t xml:space="preserve"> </w:t>
            </w:r>
            <w:r>
              <w:t xml:space="preserve">ℵB,C (53%);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2,21</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(23%) || --- ℵA,B,C (77%);</w:t>
            </w:r>
          </w:p>
        </w:tc>
        <w:tc>
          <w:tcPr/>
          <w:p>
            <w:pPr>
              <w:pStyle w:val="Compact"/>
            </w:pPr>
          </w:p>
        </w:tc>
      </w:tr>
      <w:tr>
        <w:tc>
          <w:tcPr/>
          <w:p>
            <w:pPr>
              <w:pStyle w:val="Compact"/>
              <w:jc w:val="center"/>
            </w:pPr>
            <w:r>
              <w:t xml:space="preserve">2,24</w:t>
            </w:r>
          </w:p>
        </w:tc>
        <w:tc>
          <w:tcPr/>
          <w:p>
            <w:pPr>
              <w:pStyle w:val="Compact"/>
              <w:jc w:val="left"/>
            </w:pPr>
            <w:r>
              <w:t xml:space="preserve">αυτου</w:t>
            </w:r>
            <w:r>
              <w:t xml:space="preserve"> </w:t>
            </w:r>
            <w:r>
              <w:rPr>
                <w:bCs/>
                <w:b/>
              </w:rPr>
              <w:t xml:space="preserve">f</w:t>
            </w:r>
            <w:r>
              <w:rPr>
                <w:vertAlign w:val="superscript"/>
                <w:bCs/>
                <w:b/>
              </w:rPr>
              <w:t xml:space="preserve">35</w:t>
            </w:r>
            <w:r>
              <w:t xml:space="preserve"> </w:t>
            </w:r>
            <w:r>
              <w:t xml:space="preserve">ℵ (71%) || --- P</w:t>
            </w:r>
            <w:r>
              <w:rPr>
                <w:vertAlign w:val="superscript"/>
              </w:rPr>
              <w:t xml:space="preserve">72,81v</w:t>
            </w:r>
            <w:r>
              <w:t xml:space="preserve">A,B,C (29%);</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2,25</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(50%) || υμων P</w:t>
            </w:r>
            <w:r>
              <w:rPr>
                <w:vertAlign w:val="superscript"/>
              </w:rPr>
              <w:t xml:space="preserve">72</w:t>
            </w:r>
            <w:r>
              <w:t xml:space="preserve"> </w:t>
            </w:r>
            <w:r>
              <w:t xml:space="preserve">ℵA,B,C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3,06</w:t>
            </w:r>
          </w:p>
        </w:tc>
        <w:tc>
          <w:tcPr/>
          <w:p>
            <w:pPr>
              <w:pStyle w:val="Compact"/>
              <w:jc w:val="left"/>
            </w:pPr>
            <w:r>
              <w:t xml:space="preserve">εγενηθητε</w:t>
            </w:r>
            <w:r>
              <w:t xml:space="preserve"> </w:t>
            </w:r>
            <w:r>
              <w:rPr>
                <w:bCs/>
                <w:b/>
              </w:rPr>
              <w:t xml:space="preserve">f</w:t>
            </w:r>
            <w:r>
              <w:rPr>
                <w:vertAlign w:val="superscript"/>
                <w:bCs/>
                <w:b/>
              </w:rPr>
              <w:t xml:space="preserve">35</w:t>
            </w:r>
            <w:r>
              <w:t xml:space="preserve"> </w:t>
            </w:r>
            <w:r>
              <w:t xml:space="preserve">P</w:t>
            </w:r>
            <w:r>
              <w:rPr>
                <w:vertAlign w:val="superscript"/>
              </w:rPr>
              <w:t xml:space="preserve">81v</w:t>
            </w:r>
            <w:r>
              <w:t xml:space="preserve"> </w:t>
            </w:r>
            <w:r>
              <w:t xml:space="preserve">ℵA,B,C (63%) || εγεννηθητε P</w:t>
            </w:r>
            <w:r>
              <w:rPr>
                <w:vertAlign w:val="superscript"/>
              </w:rPr>
              <w:t xml:space="preserve">72</w:t>
            </w:r>
            <w:r>
              <w:t xml:space="preserve"> </w:t>
            </w:r>
            <w:r>
              <w:t xml:space="preserve">(35%) || εγεννηθη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3,07</w:t>
            </w:r>
          </w:p>
        </w:tc>
        <w:tc>
          <w:tcPr/>
          <w:p>
            <w:pPr>
              <w:pStyle w:val="Compact"/>
              <w:jc w:val="left"/>
            </w:pPr>
            <w:r>
              <w:t xml:space="preserve">χαριτος ζωης</w:t>
            </w:r>
            <w:r>
              <w:t xml:space="preserve"> </w:t>
            </w:r>
            <w:r>
              <w:rPr>
                <w:bCs/>
                <w:b/>
              </w:rPr>
              <w:t xml:space="preserve">f</w:t>
            </w:r>
            <w:r>
              <w:rPr>
                <w:vertAlign w:val="superscript"/>
                <w:bCs/>
                <w:b/>
              </w:rPr>
              <w:t xml:space="preserve">35</w:t>
            </w:r>
            <w:r>
              <w:t xml:space="preserve"> </w:t>
            </w:r>
            <w:r>
              <w:t xml:space="preserve">P</w:t>
            </w:r>
            <w:r>
              <w:rPr>
                <w:vertAlign w:val="superscript"/>
              </w:rPr>
              <w:t xml:space="preserve">81v</w:t>
            </w:r>
            <w:r>
              <w:t xml:space="preserve">B,C (58%) || 1 ζωσης (35%) || ποικιλης 12 ℵA (7%) || 12 αιωνιου P</w:t>
            </w:r>
            <w:r>
              <w:rPr>
                <w:vertAlign w:val="superscript"/>
              </w:rPr>
              <w:t xml:space="preserve">72</w:t>
            </w:r>
            <w:r>
              <w:t xml:space="preserve">;</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3,07</w:t>
            </w:r>
          </w:p>
        </w:tc>
        <w:tc>
          <w:tcPr/>
          <w:p>
            <w:pPr>
              <w:pStyle w:val="Compact"/>
              <w:jc w:val="left"/>
            </w:pPr>
            <w:r>
              <w:t xml:space="preserve">εγκοπτεσθαι</w:t>
            </w:r>
            <w:r>
              <w:t xml:space="preserve"> </w:t>
            </w:r>
            <w:r>
              <w:rPr>
                <w:bCs/>
                <w:b/>
              </w:rPr>
              <w:t xml:space="preserve">f</w:t>
            </w:r>
            <w:r>
              <w:rPr>
                <w:vertAlign w:val="superscript"/>
                <w:bCs/>
                <w:b/>
              </w:rPr>
              <w:t xml:space="preserve">35</w:t>
            </w:r>
            <w:r>
              <w:t xml:space="preserve"> </w:t>
            </w:r>
            <w:r>
              <w:t xml:space="preserve">P</w:t>
            </w:r>
            <w:r>
              <w:rPr>
                <w:vertAlign w:val="superscript"/>
              </w:rPr>
              <w:t xml:space="preserve">81</w:t>
            </w:r>
            <w:r>
              <w:t xml:space="preserve">(ℵ)A,B (70%) || εκκοπτεσθαι P</w:t>
            </w:r>
            <w:r>
              <w:rPr>
                <w:vertAlign w:val="superscript"/>
              </w:rPr>
              <w:t xml:space="preserve">72</w:t>
            </w:r>
            <w:r>
              <w:t xml:space="preserve">C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3,10</w:t>
            </w:r>
          </w:p>
        </w:tc>
        <w:tc>
          <w:tcPr/>
          <w:p>
            <w:pPr>
              <w:pStyle w:val="Compact"/>
              <w:jc w:val="left"/>
            </w:pPr>
            <w:r>
              <w:t xml:space="preserve">ημερας ιδειν</w:t>
            </w:r>
            <w:r>
              <w:t xml:space="preserve"> </w:t>
            </w:r>
            <w:r>
              <w:rPr>
                <w:bCs/>
                <w:b/>
              </w:rPr>
              <w:t xml:space="preserve">f</w:t>
            </w:r>
            <w:r>
              <w:rPr>
                <w:vertAlign w:val="superscript"/>
                <w:bCs/>
                <w:b/>
              </w:rPr>
              <w:t xml:space="preserve">35</w:t>
            </w:r>
            <w:r>
              <w:t xml:space="preserve"> </w:t>
            </w:r>
            <w:r>
              <w:t xml:space="preserve">C (26%) || ~ 21 P</w:t>
            </w:r>
            <w:r>
              <w:rPr>
                <w:vertAlign w:val="superscript"/>
              </w:rPr>
              <w:t xml:space="preserve">72,81v</w:t>
            </w:r>
            <w:r>
              <w:t xml:space="preserve"> </w:t>
            </w:r>
            <w:r>
              <w:t xml:space="preserve">ℵA,B (74%);</w:t>
            </w:r>
          </w:p>
        </w:tc>
        <w:tc>
          <w:tcPr/>
          <w:p>
            <w:pPr>
              <w:pStyle w:val="Compact"/>
            </w:pPr>
          </w:p>
        </w:tc>
      </w:tr>
      <w:tr>
        <w:tc>
          <w:tcPr/>
          <w:p>
            <w:pPr>
              <w:pStyle w:val="Compact"/>
              <w:jc w:val="center"/>
            </w:pPr>
            <w:r>
              <w:t xml:space="preserve">3,16</w:t>
            </w:r>
          </w:p>
        </w:tc>
        <w:tc>
          <w:tcPr/>
          <w:p>
            <w:pPr>
              <w:pStyle w:val="Compact"/>
              <w:jc w:val="left"/>
            </w:pPr>
            <w:r>
              <w:t xml:space="preserve">καταλαλουσιν</w:t>
            </w:r>
            <w:r>
              <w:t xml:space="preserve"> </w:t>
            </w:r>
            <w:r>
              <w:rPr>
                <w:bCs/>
                <w:b/>
              </w:rPr>
              <w:t xml:space="preserve">f</w:t>
            </w:r>
            <w:r>
              <w:rPr>
                <w:vertAlign w:val="superscript"/>
                <w:bCs/>
                <w:b/>
              </w:rPr>
              <w:t xml:space="preserve">35</w:t>
            </w:r>
            <w:r>
              <w:t xml:space="preserve"> </w:t>
            </w:r>
            <w:r>
              <w:t xml:space="preserve">ℵA,C (44,4%) || καταλαλωσιν (50%) || καταλαλεισθε P</w:t>
            </w:r>
            <w:r>
              <w:rPr>
                <w:vertAlign w:val="superscript"/>
              </w:rPr>
              <w:t xml:space="preserve">72</w:t>
            </w:r>
            <w:r>
              <w:t xml:space="preserve">B (5%);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3,16</w:t>
            </w:r>
          </w:p>
        </w:tc>
        <w:tc>
          <w:tcPr/>
          <w:p>
            <w:pPr>
              <w:pStyle w:val="Compact"/>
              <w:jc w:val="left"/>
            </w:pPr>
            <w:r>
              <w:t xml:space="preserve">τη αγαθη εν χριστω αναστροφη</w:t>
            </w:r>
            <w:r>
              <w:t xml:space="preserve"> </w:t>
            </w:r>
            <w:r>
              <w:rPr>
                <w:bCs/>
                <w:b/>
              </w:rPr>
              <w:t xml:space="preserve">f</w:t>
            </w:r>
            <w:r>
              <w:rPr>
                <w:vertAlign w:val="superscript"/>
                <w:bCs/>
                <w:b/>
              </w:rPr>
              <w:t xml:space="preserve">35</w:t>
            </w:r>
            <w:r>
              <w:t xml:space="preserve"> </w:t>
            </w:r>
            <w:r>
              <w:t xml:space="preserve">(20%) || την αγαθην 34 αναστροφην (ℵ)A,B (50%) || την 34 αγαθην αναστροφην P</w:t>
            </w:r>
            <w:r>
              <w:rPr>
                <w:vertAlign w:val="superscript"/>
              </w:rPr>
              <w:t xml:space="preserve">72</w:t>
            </w:r>
            <w:r>
              <w:t xml:space="preserve"> </w:t>
            </w:r>
            <w:r>
              <w:t xml:space="preserve">(24%) || την 34 αγνην αναστροφην C (1%) || την καλην 34 αναστροφην (4%) || ---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3,18</w:t>
            </w:r>
          </w:p>
        </w:tc>
        <w:tc>
          <w:tcPr/>
          <w:p>
            <w:pPr>
              <w:pStyle w:val="Compact"/>
              <w:jc w:val="left"/>
            </w:pPr>
            <w:r>
              <w:t xml:space="preserve">ημας</w:t>
            </w:r>
            <w:r>
              <w:t xml:space="preserve"> </w:t>
            </w:r>
            <w:r>
              <w:rPr>
                <w:bCs/>
                <w:b/>
              </w:rPr>
              <w:t xml:space="preserve">f</w:t>
            </w:r>
            <w:r>
              <w:rPr>
                <w:vertAlign w:val="superscript"/>
                <w:bCs/>
                <w:b/>
              </w:rPr>
              <w:t xml:space="preserve">35</w:t>
            </w:r>
            <w:r>
              <w:t xml:space="preserve"> </w:t>
            </w:r>
            <w:r>
              <w:t xml:space="preserve">A,C (64%) || υμας P</w:t>
            </w:r>
            <w:r>
              <w:rPr>
                <w:vertAlign w:val="superscript"/>
              </w:rPr>
              <w:t xml:space="preserve">72</w:t>
            </w:r>
            <w:r>
              <w:t xml:space="preserve">B (36%) || --- ℵ;</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4,02</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(22%) || --- P</w:t>
            </w:r>
            <w:r>
              <w:rPr>
                <w:vertAlign w:val="superscript"/>
              </w:rPr>
              <w:t xml:space="preserve">72</w:t>
            </w:r>
            <w:r>
              <w:t xml:space="preserve"> </w:t>
            </w:r>
            <w:r>
              <w:t xml:space="preserve">ℵA,B,C (78%);</w:t>
            </w:r>
          </w:p>
        </w:tc>
        <w:tc>
          <w:tcPr/>
          <w:p>
            <w:pPr>
              <w:pStyle w:val="Compact"/>
            </w:pPr>
          </w:p>
        </w:tc>
      </w:tr>
      <w:tr>
        <w:tc>
          <w:tcPr/>
          <w:p>
            <w:pPr>
              <w:pStyle w:val="Compact"/>
              <w:jc w:val="center"/>
            </w:pPr>
            <w:r>
              <w:t xml:space="preserve">4,03</w:t>
            </w:r>
          </w:p>
        </w:tc>
        <w:tc>
          <w:tcPr/>
          <w:p>
            <w:pPr>
              <w:pStyle w:val="Compact"/>
              <w:jc w:val="left"/>
            </w:pPr>
            <w:r>
              <w:t xml:space="preserve">υμιν</w:t>
            </w:r>
            <w:r>
              <w:t xml:space="preserve"> </w:t>
            </w:r>
            <w:r>
              <w:rPr>
                <w:bCs/>
                <w:b/>
              </w:rPr>
              <w:t xml:space="preserve">f</w:t>
            </w:r>
            <w:r>
              <w:rPr>
                <w:vertAlign w:val="superscript"/>
                <w:bCs/>
                <w:b/>
              </w:rPr>
              <w:t xml:space="preserve">35</w:t>
            </w:r>
            <w:r>
              <w:t xml:space="preserve"> </w:t>
            </w:r>
            <w:r>
              <w:t xml:space="preserve">ℵ (41,7%) || ημιν C (47,1%) || --- P</w:t>
            </w:r>
            <w:r>
              <w:rPr>
                <w:vertAlign w:val="superscript"/>
              </w:rPr>
              <w:t xml:space="preserve">72</w:t>
            </w:r>
            <w:r>
              <w:t xml:space="preserve">A,B (11,2%);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χρονος</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(26%) || χρονος του βιου (74%);</w:t>
            </w:r>
          </w:p>
        </w:tc>
        <w:tc>
          <w:tcPr/>
          <w:p>
            <w:pPr>
              <w:pStyle w:val="Compact"/>
            </w:pPr>
          </w:p>
        </w:tc>
      </w:tr>
      <w:tr>
        <w:tc>
          <w:tcPr/>
          <w:p>
            <w:pPr>
              <w:pStyle w:val="Compact"/>
              <w:jc w:val="center"/>
            </w:pPr>
            <w:r>
              <w:t xml:space="preserve">4,03</w:t>
            </w:r>
          </w:p>
        </w:tc>
        <w:tc>
          <w:tcPr/>
          <w:p>
            <w:pPr>
              <w:pStyle w:val="Compact"/>
              <w:jc w:val="left"/>
            </w:pPr>
            <w:r>
              <w:t xml:space="preserve">ειδωλολατριαις</w:t>
            </w:r>
            <w:r>
              <w:t xml:space="preserve"> </w:t>
            </w:r>
            <w:r>
              <w:rPr>
                <w:bCs/>
                <w:b/>
              </w:rPr>
              <w:t xml:space="preserve">f</w:t>
            </w:r>
            <w:r>
              <w:rPr>
                <w:vertAlign w:val="superscript"/>
                <w:bCs/>
                <w:b/>
              </w:rPr>
              <w:t xml:space="preserve">35</w:t>
            </w:r>
            <w:r>
              <w:t xml:space="preserve"> </w:t>
            </w:r>
            <w:r>
              <w:t xml:space="preserve">ℵA,C (70%) || ειδωλολατρειαις 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4,07</w:t>
            </w:r>
          </w:p>
        </w:tc>
        <w:tc>
          <w:tcPr/>
          <w:p>
            <w:pPr>
              <w:pStyle w:val="Compact"/>
              <w:jc w:val="left"/>
            </w:pPr>
            <w:r>
              <w:t xml:space="preserve">τας</w:t>
            </w:r>
            <w:r>
              <w:t xml:space="preserve"> </w:t>
            </w:r>
            <w:r>
              <w:rPr>
                <w:bCs/>
                <w:b/>
              </w:rPr>
              <w:t xml:space="preserve">f</w:t>
            </w:r>
            <w:r>
              <w:rPr>
                <w:vertAlign w:val="superscript"/>
                <w:bCs/>
                <w:b/>
              </w:rPr>
              <w:t xml:space="preserve">35</w:t>
            </w:r>
            <w:r>
              <w:t xml:space="preserve"> </w:t>
            </w:r>
            <w:r>
              <w:t xml:space="preserve">(70%) || --- P</w:t>
            </w:r>
            <w:r>
              <w:rPr>
                <w:vertAlign w:val="superscript"/>
              </w:rPr>
              <w:t xml:space="preserve">72</w:t>
            </w:r>
            <w:r>
              <w:t xml:space="preserve"> </w:t>
            </w:r>
            <w:r>
              <w:t xml:space="preserve">ℵA,B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4,08</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(49%) || --- P</w:t>
            </w:r>
            <w:r>
              <w:rPr>
                <w:vertAlign w:val="superscript"/>
              </w:rPr>
              <w:t xml:space="preserve">72</w:t>
            </w:r>
            <w:r>
              <w:t xml:space="preserve"> </w:t>
            </w:r>
            <w:r>
              <w:t xml:space="preserve">ℵA,B (51%);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4,08</w:t>
            </w:r>
          </w:p>
        </w:tc>
        <w:tc>
          <w:tcPr/>
          <w:p>
            <w:pPr>
              <w:pStyle w:val="Compact"/>
              <w:jc w:val="left"/>
            </w:pPr>
            <w:r>
              <w:t xml:space="preserve">καλυπτει</w:t>
            </w:r>
            <w:r>
              <w:t xml:space="preserve"> </w:t>
            </w:r>
            <w:r>
              <w:rPr>
                <w:bCs/>
                <w:b/>
              </w:rPr>
              <w:t xml:space="preserve">f</w:t>
            </w:r>
            <w:r>
              <w:rPr>
                <w:vertAlign w:val="superscript"/>
                <w:bCs/>
                <w:b/>
              </w:rPr>
              <w:t xml:space="preserve">35</w:t>
            </w:r>
            <w:r>
              <w:t xml:space="preserve"> </w:t>
            </w:r>
            <w:r>
              <w:t xml:space="preserve">A,B (60%) || καλυψει P</w:t>
            </w:r>
            <w:r>
              <w:rPr>
                <w:vertAlign w:val="superscript"/>
              </w:rPr>
              <w:t xml:space="preserve">72</w:t>
            </w:r>
            <w:r>
              <w:t xml:space="preserve"> </w:t>
            </w:r>
            <w:r>
              <w:t xml:space="preserve">ℵ (40%);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(69%) || ης P</w:t>
            </w:r>
            <w:r>
              <w:rPr>
                <w:vertAlign w:val="superscript"/>
              </w:rPr>
              <w:t xml:space="preserve">72</w:t>
            </w:r>
            <w:r>
              <w:t xml:space="preserve"> </w:t>
            </w:r>
            <w:r>
              <w:t xml:space="preserve">ℵA,B (28%) || --- (3%);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δοξαζηται Θεος</w:t>
            </w:r>
            <w:r>
              <w:t xml:space="preserve"> </w:t>
            </w:r>
            <w:r>
              <w:rPr>
                <w:bCs/>
                <w:b/>
              </w:rPr>
              <w:t xml:space="preserve">f</w:t>
            </w:r>
            <w:r>
              <w:rPr>
                <w:vertAlign w:val="superscript"/>
                <w:bCs/>
                <w:b/>
              </w:rPr>
              <w:t xml:space="preserve">35</w:t>
            </w:r>
            <w:r>
              <w:t xml:space="preserve"> </w:t>
            </w:r>
            <w:r>
              <w:t xml:space="preserve">(20%) || 1 ο 2 P</w:t>
            </w:r>
            <w:r>
              <w:rPr>
                <w:vertAlign w:val="superscript"/>
              </w:rPr>
              <w:t xml:space="preserve">72</w:t>
            </w:r>
            <w:r>
              <w:t xml:space="preserve"> </w:t>
            </w:r>
            <w:r>
              <w:t xml:space="preserve">ℵA,B (73%) || ~ο 21 (6%);</w:t>
            </w:r>
          </w:p>
        </w:tc>
        <w:tc>
          <w:tcPr/>
          <w:p>
            <w:pPr>
              <w:pStyle w:val="Compact"/>
            </w:pPr>
          </w:p>
        </w:tc>
      </w:tr>
      <w:tr>
        <w:tc>
          <w:tcPr/>
          <w:p>
            <w:pPr>
              <w:pStyle w:val="Compact"/>
              <w:jc w:val="center"/>
            </w:pPr>
            <w:r>
              <w:t xml:space="preserve">4,11</w:t>
            </w:r>
          </w:p>
        </w:tc>
        <w:tc>
          <w:tcPr/>
          <w:p>
            <w:pPr>
              <w:pStyle w:val="Compact"/>
              <w:jc w:val="left"/>
            </w:pPr>
            <w:r>
              <w:t xml:space="preserve">αιωνας</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(27%) || αιωνας των αιωνων ℵA,B (73%);</w:t>
            </w:r>
          </w:p>
        </w:tc>
        <w:tc>
          <w:tcPr/>
          <w:p>
            <w:pPr>
              <w:pStyle w:val="Compact"/>
            </w:pPr>
          </w:p>
        </w:tc>
      </w:tr>
      <w:tr>
        <w:tc>
          <w:tcPr/>
          <w:p>
            <w:pPr>
              <w:pStyle w:val="Compact"/>
              <w:jc w:val="center"/>
            </w:pPr>
            <w:r>
              <w:t xml:space="preserve">4,14</w:t>
            </w:r>
          </w:p>
        </w:tc>
        <w:tc>
          <w:tcPr/>
          <w:p>
            <w:pPr>
              <w:pStyle w:val="Compact"/>
              <w:jc w:val="left"/>
            </w:pPr>
            <w:r>
              <w:t xml:space="preserve">αναπεπαυται</w:t>
            </w:r>
            <w:r>
              <w:t xml:space="preserve"> </w:t>
            </w:r>
            <w:r>
              <w:rPr>
                <w:bCs/>
                <w:b/>
              </w:rPr>
              <w:t xml:space="preserve">f</w:t>
            </w:r>
            <w:r>
              <w:rPr>
                <w:vertAlign w:val="superscript"/>
                <w:bCs/>
                <w:b/>
              </w:rPr>
              <w:t xml:space="preserve">35</w:t>
            </w:r>
            <w:r>
              <w:t xml:space="preserve"> </w:t>
            </w:r>
            <w:r>
              <w:t xml:space="preserve">(39%) || επαναπαυεται A (6%) || επαναπεπαυται P</w:t>
            </w:r>
            <w:r>
              <w:rPr>
                <w:vertAlign w:val="superscript"/>
              </w:rPr>
              <w:t xml:space="preserve">72</w:t>
            </w:r>
            <w:r>
              <w:t xml:space="preserve"> </w:t>
            </w:r>
            <w:r>
              <w:t xml:space="preserve">(2%) || αναπαυεται ℵB (52%) || αναπεμπεται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5,03</w:t>
            </w:r>
          </w:p>
        </w:tc>
        <w:tc>
          <w:tcPr/>
          <w:p>
            <w:pPr>
              <w:pStyle w:val="Compact"/>
              <w:jc w:val="left"/>
            </w:pPr>
            <w:r>
              <w:t xml:space="preserve">μηδε</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(49%) || μηδ ℵA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5,07</w:t>
            </w:r>
          </w:p>
        </w:tc>
        <w:tc>
          <w:tcPr/>
          <w:p>
            <w:pPr>
              <w:pStyle w:val="Compact"/>
              <w:jc w:val="left"/>
            </w:pPr>
            <w:r>
              <w:t xml:space="preserve">υπερ</w:t>
            </w:r>
            <w:r>
              <w:t xml:space="preserve"> </w:t>
            </w:r>
            <w:r>
              <w:rPr>
                <w:bCs/>
                <w:b/>
              </w:rPr>
              <w:t xml:space="preserve">f</w:t>
            </w:r>
            <w:r>
              <w:rPr>
                <w:vertAlign w:val="superscript"/>
                <w:bCs/>
                <w:b/>
              </w:rPr>
              <w:t xml:space="preserve">35</w:t>
            </w:r>
            <w:r>
              <w:t xml:space="preserve"> </w:t>
            </w:r>
            <w:r>
              <w:t xml:space="preserve">(35%) || περι P</w:t>
            </w:r>
            <w:r>
              <w:rPr>
                <w:vertAlign w:val="superscript"/>
              </w:rPr>
              <w:t xml:space="preserve">72</w:t>
            </w:r>
            <w:r>
              <w:t xml:space="preserve"> </w:t>
            </w:r>
            <w:r>
              <w:t xml:space="preserve">ℵA,B (65%);</w:t>
            </w:r>
          </w:p>
        </w:tc>
        <w:tc>
          <w:tcPr/>
          <w:p>
            <w:pPr>
              <w:pStyle w:val="Compact"/>
            </w:pPr>
          </w:p>
        </w:tc>
      </w:tr>
      <w:tr>
        <w:tc>
          <w:tcPr/>
          <w:p>
            <w:pPr>
              <w:pStyle w:val="Compact"/>
              <w:jc w:val="center"/>
            </w:pPr>
            <w:r>
              <w:t xml:space="preserve">5,08</w:t>
            </w:r>
          </w:p>
        </w:tc>
        <w:tc>
          <w:tcPr/>
          <w:p>
            <w:pPr>
              <w:pStyle w:val="Compact"/>
              <w:jc w:val="left"/>
            </w:pPr>
            <w:r>
              <w:t xml:space="preserve">οτι</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(50%) || --- ℵA,B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5,08</w:t>
            </w:r>
          </w:p>
        </w:tc>
        <w:tc>
          <w:tcPr/>
          <w:p>
            <w:pPr>
              <w:pStyle w:val="Compact"/>
              <w:jc w:val="left"/>
            </w:pPr>
            <w:r>
              <w:t xml:space="preserve">περιερχεται</w:t>
            </w:r>
            <w:r>
              <w:t xml:space="preserve"> </w:t>
            </w:r>
            <w:r>
              <w:rPr>
                <w:bCs/>
                <w:b/>
              </w:rPr>
              <w:t xml:space="preserve">f</w:t>
            </w:r>
            <w:r>
              <w:rPr>
                <w:vertAlign w:val="superscript"/>
                <w:bCs/>
                <w:b/>
              </w:rPr>
              <w:t xml:space="preserve">35</w:t>
            </w:r>
            <w:r>
              <w:t xml:space="preserve"> </w:t>
            </w:r>
            <w:r>
              <w:t xml:space="preserve">(24%) || περιπατει P</w:t>
            </w:r>
            <w:r>
              <w:rPr>
                <w:vertAlign w:val="superscript"/>
              </w:rPr>
              <w:t xml:space="preserve">72</w:t>
            </w:r>
            <w:r>
              <w:t xml:space="preserve"> </w:t>
            </w:r>
            <w:r>
              <w:t xml:space="preserve">ℵA,B (76%);</w:t>
            </w:r>
          </w:p>
        </w:tc>
        <w:tc>
          <w:tcPr/>
          <w:p>
            <w:pPr>
              <w:pStyle w:val="Compact"/>
            </w:pPr>
          </w:p>
        </w:tc>
      </w:tr>
      <w:tr>
        <w:tc>
          <w:tcPr/>
          <w:p>
            <w:pPr>
              <w:pStyle w:val="Compact"/>
              <w:jc w:val="center"/>
            </w:pPr>
            <w:r>
              <w:t xml:space="preserve">5,08</w:t>
            </w:r>
          </w:p>
        </w:tc>
        <w:tc>
          <w:tcPr/>
          <w:p>
            <w:pPr>
              <w:pStyle w:val="Compact"/>
              <w:jc w:val="left"/>
            </w:pPr>
            <w:r>
              <w:t xml:space="preserve">καταπιειν</w:t>
            </w:r>
            <w:r>
              <w:t xml:space="preserve"> </w:t>
            </w:r>
            <w:r>
              <w:rPr>
                <w:bCs/>
                <w:b/>
              </w:rPr>
              <w:t xml:space="preserve">f</w:t>
            </w:r>
            <w:r>
              <w:rPr>
                <w:vertAlign w:val="superscript"/>
                <w:bCs/>
                <w:b/>
              </w:rPr>
              <w:t xml:space="preserve">35</w:t>
            </w:r>
            <w:r>
              <w:t xml:space="preserve"> </w:t>
            </w:r>
            <w:r>
              <w:t xml:space="preserve">(ℵ)B (53%) || καταπιει (25%) || καταπιη P</w:t>
            </w:r>
            <w:r>
              <w:rPr>
                <w:vertAlign w:val="superscript"/>
              </w:rPr>
              <w:t xml:space="preserve">72</w:t>
            </w:r>
            <w:r>
              <w:t xml:space="preserve">A (22%);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στηριξαι</w:t>
            </w:r>
            <w:r>
              <w:t xml:space="preserve"> </w:t>
            </w:r>
            <w:r>
              <w:rPr>
                <w:bCs/>
                <w:b/>
              </w:rPr>
              <w:t xml:space="preserve">f</w:t>
            </w:r>
            <w:r>
              <w:rPr>
                <w:vertAlign w:val="superscript"/>
                <w:bCs/>
                <w:b/>
              </w:rPr>
              <w:t xml:space="preserve">35</w:t>
            </w:r>
            <w:r>
              <w:t xml:space="preserve"> </w:t>
            </w:r>
            <w:r>
              <w:t xml:space="preserve">(33%) || στηριξει P</w:t>
            </w:r>
            <w:r>
              <w:rPr>
                <w:vertAlign w:val="superscript"/>
              </w:rPr>
              <w:t xml:space="preserve">72</w:t>
            </w:r>
            <w:r>
              <w:t xml:space="preserve"> </w:t>
            </w:r>
            <w:r>
              <w:t xml:space="preserve">ℵA,B (66%) || στηριξοι (1%);</w:t>
            </w:r>
          </w:p>
        </w:tc>
        <w:tc>
          <w:tcPr/>
          <w:p>
            <w:pPr>
              <w:pStyle w:val="Compact"/>
            </w:pPr>
          </w:p>
        </w:tc>
      </w:tr>
      <w:tr>
        <w:tc>
          <w:tcPr/>
          <w:p>
            <w:pPr>
              <w:pStyle w:val="Compact"/>
              <w:jc w:val="center"/>
            </w:pPr>
            <w:r>
              <w:t xml:space="preserve">5,10</w:t>
            </w:r>
          </w:p>
        </w:tc>
        <w:tc>
          <w:tcPr/>
          <w:p>
            <w:pPr>
              <w:pStyle w:val="Compact"/>
              <w:jc w:val="left"/>
            </w:pPr>
            <w:r>
              <w:t xml:space="preserve">σθενωσαι</w:t>
            </w:r>
            <w:r>
              <w:t xml:space="preserve"> </w:t>
            </w:r>
            <w:r>
              <w:rPr>
                <w:bCs/>
                <w:b/>
              </w:rPr>
              <w:t xml:space="preserve">f</w:t>
            </w:r>
            <w:r>
              <w:rPr>
                <w:vertAlign w:val="superscript"/>
                <w:bCs/>
                <w:b/>
              </w:rPr>
              <w:t xml:space="preserve">35</w:t>
            </w:r>
            <w:r>
              <w:t xml:space="preserve"> </w:t>
            </w:r>
            <w:r>
              <w:t xml:space="preserve">(30%) || σθενωσει ℵA,B (66%) || σθενωσοι (1%) || --- P</w:t>
            </w:r>
            <w:r>
              <w:rPr>
                <w:vertAlign w:val="superscript"/>
              </w:rPr>
              <w:t xml:space="preserve">72</w:t>
            </w:r>
            <w:r>
              <w:t xml:space="preserve"> </w:t>
            </w:r>
            <w:r>
              <w:t xml:space="preserve">(3%);</w:t>
            </w:r>
          </w:p>
        </w:tc>
        <w:tc>
          <w:tcPr/>
          <w:p>
            <w:pPr>
              <w:pStyle w:val="Compact"/>
            </w:pPr>
          </w:p>
        </w:tc>
      </w:tr>
      <w:tr>
        <w:tc>
          <w:tcPr/>
          <w:p>
            <w:pPr>
              <w:pStyle w:val="Compact"/>
              <w:jc w:val="center"/>
            </w:pPr>
            <w:r>
              <w:t xml:space="preserve">5,10</w:t>
            </w:r>
          </w:p>
        </w:tc>
        <w:tc>
          <w:tcPr/>
          <w:p>
            <w:pPr>
              <w:pStyle w:val="Compact"/>
              <w:jc w:val="left"/>
            </w:pPr>
            <w:r>
              <w:t xml:space="preserve">θεμελιωσαι</w:t>
            </w:r>
            <w:r>
              <w:t xml:space="preserve"> </w:t>
            </w:r>
            <w:r>
              <w:rPr>
                <w:bCs/>
                <w:b/>
              </w:rPr>
              <w:t xml:space="preserve">f</w:t>
            </w:r>
            <w:r>
              <w:rPr>
                <w:vertAlign w:val="superscript"/>
                <w:bCs/>
                <w:b/>
              </w:rPr>
              <w:t xml:space="preserve">35</w:t>
            </w:r>
            <w:r>
              <w:t xml:space="preserve"> </w:t>
            </w:r>
            <w:r>
              <w:t xml:space="preserve">(30%) || θεμελιωσει P</w:t>
            </w:r>
            <w:r>
              <w:rPr>
                <w:vertAlign w:val="superscript"/>
              </w:rPr>
              <w:t xml:space="preserve">72</w:t>
            </w:r>
            <w:r>
              <w:t xml:space="preserve"> </w:t>
            </w:r>
            <w:r>
              <w:t xml:space="preserve">ℵ (66%) || θεμελιωσοι (1%) || --- A,B (3%);</w:t>
            </w:r>
          </w:p>
        </w:tc>
        <w:tc>
          <w:tcPr/>
          <w:p>
            <w:pPr>
              <w:pStyle w:val="Compact"/>
            </w:pPr>
          </w:p>
        </w:tc>
      </w:tr>
      <w:tr>
        <w:tc>
          <w:tcPr/>
          <w:p>
            <w:pPr>
              <w:pStyle w:val="Compact"/>
              <w:jc w:val="center"/>
            </w:pPr>
            <w:r>
              <w:t xml:space="preserve">5,11</w:t>
            </w:r>
          </w:p>
        </w:tc>
        <w:tc>
          <w:tcPr/>
          <w:p>
            <w:pPr>
              <w:pStyle w:val="Compact"/>
              <w:jc w:val="left"/>
            </w:pPr>
            <w:r>
              <w:t xml:space="preserve">η δοξα και το κρατος</w:t>
            </w:r>
            <w:r>
              <w:t xml:space="preserve"> </w:t>
            </w:r>
            <w:r>
              <w:rPr>
                <w:bCs/>
                <w:b/>
              </w:rPr>
              <w:t xml:space="preserve">f</w:t>
            </w:r>
            <w:r>
              <w:rPr>
                <w:vertAlign w:val="superscript"/>
                <w:bCs/>
                <w:b/>
              </w:rPr>
              <w:t xml:space="preserve">35</w:t>
            </w:r>
            <w:r>
              <w:t xml:space="preserve"> </w:t>
            </w:r>
            <w:r>
              <w:t xml:space="preserve">ℵ (59,6%) || 125 (31,3%) || ~ 45312 (7%) || 4 (-το P</w:t>
            </w:r>
            <w:r>
              <w:rPr>
                <w:vertAlign w:val="superscript"/>
              </w:rPr>
              <w:t xml:space="preserve">72</w:t>
            </w:r>
            <w:r>
              <w:t xml:space="preserve">) 5 P</w:t>
            </w:r>
            <w:r>
              <w:rPr>
                <w:vertAlign w:val="superscript"/>
              </w:rPr>
              <w:t xml:space="preserve">72</w:t>
            </w:r>
            <w:r>
              <w:t xml:space="preserve">A,B (0,8%).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1 Liście Piotra określają powyższe 42 odczyty. Jest on wyraźny i jednoznaczny, mamy więc w 1 Liście Piotra co najmniej jeden obiektywnie określony archetyp. Dla kontrastu istnieją 24 +?6 zestawy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 (Nie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Inne uwagi znajdują się wyżej, przy Liście Jakuba). Przejdźmy do 2 Listu Piotra.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2 List Piotra</w:t>
            </w:r>
          </w:p>
        </w:tc>
        <w:tc>
          <w:tcPr/>
          <w:p>
            <w:pPr>
              <w:pStyle w:val="Compact"/>
            </w:pPr>
          </w:p>
        </w:tc>
      </w:tr>
      <w:tr>
        <w:tc>
          <w:tcPr/>
          <w:p>
            <w:pPr>
              <w:pStyle w:val="Compact"/>
              <w:jc w:val="center"/>
            </w:pPr>
            <w:r>
              <w:t xml:space="preserve">1,02</w:t>
            </w:r>
          </w:p>
        </w:tc>
        <w:tc>
          <w:tcPr/>
          <w:p>
            <w:pPr>
              <w:pStyle w:val="Compact"/>
              <w:jc w:val="left"/>
            </w:pPr>
            <w:r>
              <w:t xml:space="preserve">ιησου του κυριου ημων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)B,C (68%) (234 1,4%) || 1 χριστου 234 ℵA (15%) || χριστου 1234 (8%) || σωτηρος 1 χριστου 234 (1,2%) || ~ 2341 χριστου (6%);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1,05</w:t>
            </w:r>
          </w:p>
        </w:tc>
        <w:tc>
          <w:tcPr/>
          <w:p>
            <w:pPr>
              <w:pStyle w:val="Compact"/>
              <w:jc w:val="left"/>
            </w:pPr>
            <w:r>
              <w:t xml:space="preserve">δε τουτο</w:t>
            </w:r>
            <w:r>
              <w:t xml:space="preserve"> </w:t>
            </w:r>
            <w:r>
              <w:rPr>
                <w:bCs/>
                <w:b/>
              </w:rPr>
              <w:t xml:space="preserve">f</w:t>
            </w:r>
            <w:r>
              <w:rPr>
                <w:vertAlign w:val="superscript"/>
                <w:bCs/>
                <w:b/>
              </w:rPr>
              <w:t xml:space="preserve">35</w:t>
            </w:r>
            <w:r>
              <w:t xml:space="preserve"> </w:t>
            </w:r>
            <w:r>
              <w:t xml:space="preserve">ℵ (66%) || ~ 21 P</w:t>
            </w:r>
            <w:r>
              <w:rPr>
                <w:vertAlign w:val="superscript"/>
              </w:rPr>
              <w:t xml:space="preserve">72</w:t>
            </w:r>
            <w:r>
              <w:t xml:space="preserve">B,C (32%) || 1 A (1%) || 2 (0,8%);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2,02</w:t>
            </w:r>
          </w:p>
        </w:tc>
        <w:tc>
          <w:tcPr/>
          <w:p>
            <w:pPr>
              <w:pStyle w:val="Compact"/>
              <w:jc w:val="left"/>
            </w:pPr>
            <w:r>
              <w:t xml:space="preserve">ας</w:t>
            </w:r>
            <w:r>
              <w:t xml:space="preserve"> </w:t>
            </w:r>
            <w:r>
              <w:rPr>
                <w:bCs/>
                <w:b/>
              </w:rPr>
              <w:t xml:space="preserve">f</w:t>
            </w:r>
            <w:r>
              <w:rPr>
                <w:vertAlign w:val="superscript"/>
                <w:bCs/>
                <w:b/>
              </w:rPr>
              <w:t xml:space="preserve">35</w:t>
            </w:r>
            <w:r>
              <w:t xml:space="preserve"> </w:t>
            </w:r>
            <w:r>
              <w:t xml:space="preserve">(20%) || ους P</w:t>
            </w:r>
            <w:r>
              <w:rPr>
                <w:vertAlign w:val="superscript"/>
              </w:rPr>
              <w:t xml:space="preserve">72</w:t>
            </w:r>
            <w:r>
              <w:t xml:space="preserve"> </w:t>
            </w:r>
            <w:r>
              <w:t xml:space="preserve">ℵA,B,C (80%);</w:t>
            </w:r>
          </w:p>
        </w:tc>
        <w:tc>
          <w:tcPr/>
          <w:p>
            <w:pPr>
              <w:pStyle w:val="Compact"/>
            </w:pPr>
          </w:p>
        </w:tc>
      </w:tr>
      <w:tr>
        <w:tc>
          <w:tcPr/>
          <w:p>
            <w:pPr>
              <w:pStyle w:val="Compact"/>
              <w:jc w:val="center"/>
            </w:pPr>
            <w:r>
              <w:t xml:space="preserve">2,09</w:t>
            </w:r>
          </w:p>
        </w:tc>
        <w:tc>
          <w:tcPr/>
          <w:p>
            <w:pPr>
              <w:pStyle w:val="Compact"/>
              <w:jc w:val="left"/>
            </w:pPr>
            <w:r>
              <w:t xml:space="preserve">πειρασμων</w:t>
            </w:r>
            <w:r>
              <w:t xml:space="preserve"> </w:t>
            </w:r>
            <w:r>
              <w:rPr>
                <w:bCs/>
                <w:b/>
              </w:rPr>
              <w:t xml:space="preserve">f</w:t>
            </w:r>
            <w:r>
              <w:rPr>
                <w:vertAlign w:val="superscript"/>
                <w:bCs/>
                <w:b/>
              </w:rPr>
              <w:t xml:space="preserve">35</w:t>
            </w:r>
            <w:r>
              <w:t xml:space="preserve"> </w:t>
            </w:r>
            <w:r>
              <w:t xml:space="preserve">ℵ (33%) || πειρασμου (P</w:t>
            </w:r>
            <w:r>
              <w:rPr>
                <w:vertAlign w:val="superscript"/>
              </w:rPr>
              <w:t xml:space="preserve">72</w:t>
            </w:r>
            <w:r>
              <w:t xml:space="preserve">)A,B,C (67%);</w:t>
            </w:r>
          </w:p>
        </w:tc>
        <w:tc>
          <w:tcPr/>
          <w:p>
            <w:pPr>
              <w:pStyle w:val="Compact"/>
            </w:pPr>
          </w:p>
        </w:tc>
      </w:tr>
      <w:tr>
        <w:tc>
          <w:tcPr/>
          <w:p>
            <w:pPr>
              <w:pStyle w:val="Compact"/>
              <w:jc w:val="center"/>
            </w:pPr>
            <w:r>
              <w:t xml:space="preserve">2,12</w:t>
            </w:r>
          </w:p>
        </w:tc>
        <w:tc>
          <w:tcPr/>
          <w:p>
            <w:pPr>
              <w:pStyle w:val="Compact"/>
              <w:jc w:val="left"/>
            </w:pPr>
            <w:r>
              <w:t xml:space="preserve">γεγενημενα φυσικα</w:t>
            </w:r>
            <w:r>
              <w:t xml:space="preserve"> </w:t>
            </w:r>
            <w:r>
              <w:rPr>
                <w:bCs/>
                <w:b/>
              </w:rPr>
              <w:t xml:space="preserve">f</w:t>
            </w:r>
            <w:r>
              <w:rPr>
                <w:vertAlign w:val="superscript"/>
                <w:bCs/>
                <w:b/>
              </w:rPr>
              <w:t xml:space="preserve">35</w:t>
            </w:r>
            <w:r>
              <w:t xml:space="preserve"> </w:t>
            </w:r>
            <w:r>
              <w:t xml:space="preserve">ℵ (26%) || ~ 21 (54%) || γεγεννημενα 2 A,B,C (3%) || ~ 2 γεγεννημενα (12%) || 1 (4,2%) || 2 P</w:t>
            </w:r>
            <w:r>
              <w:rPr>
                <w:vertAlign w:val="superscript"/>
              </w:rPr>
              <w:t xml:space="preserve">72</w:t>
            </w:r>
            <w:r>
              <w:t xml:space="preserve"> </w:t>
            </w:r>
            <w:r>
              <w:t xml:space="preserve">(0,4%);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2,17</w:t>
            </w:r>
          </w:p>
        </w:tc>
        <w:tc>
          <w:tcPr/>
          <w:p>
            <w:pPr>
              <w:pStyle w:val="Compact"/>
              <w:jc w:val="left"/>
            </w:pPr>
            <w:r>
              <w:t xml:space="preserve">εις αιωνας</w:t>
            </w:r>
            <w:r>
              <w:t xml:space="preserve"> </w:t>
            </w:r>
            <w:r>
              <w:rPr>
                <w:bCs/>
                <w:b/>
              </w:rPr>
              <w:t xml:space="preserve">f</w:t>
            </w:r>
            <w:r>
              <w:rPr>
                <w:vertAlign w:val="superscript"/>
                <w:bCs/>
                <w:b/>
              </w:rPr>
              <w:t xml:space="preserve">35</w:t>
            </w:r>
            <w:r>
              <w:t xml:space="preserve"> </w:t>
            </w:r>
            <w:r>
              <w:t xml:space="preserve">(25,1%) || 1 αιωνα A,C (70,3%) || 1 τον αιωνα (2,4%) || --- P</w:t>
            </w:r>
            <w:r>
              <w:rPr>
                <w:vertAlign w:val="superscript"/>
              </w:rPr>
              <w:t xml:space="preserve">72</w:t>
            </w:r>
            <w:r>
              <w:t xml:space="preserve"> </w:t>
            </w:r>
            <w:r>
              <w:t xml:space="preserve">ℵB (2,2%);</w:t>
            </w:r>
          </w:p>
        </w:tc>
        <w:tc>
          <w:tcPr/>
          <w:p>
            <w:pPr>
              <w:pStyle w:val="Compact"/>
            </w:pPr>
          </w:p>
        </w:tc>
      </w:tr>
      <w:tr>
        <w:tc>
          <w:tcPr/>
          <w:p>
            <w:pPr>
              <w:pStyle w:val="Compact"/>
              <w:jc w:val="center"/>
            </w:pPr>
            <w:r>
              <w:t xml:space="preserve">2,18</w:t>
            </w:r>
          </w:p>
        </w:tc>
        <w:tc>
          <w:tcPr/>
          <w:p>
            <w:pPr>
              <w:pStyle w:val="Compact"/>
              <w:jc w:val="left"/>
            </w:pPr>
            <w:r>
              <w:t xml:space="preserve">ασελγειας</w:t>
            </w:r>
            <w:r>
              <w:t xml:space="preserve"> </w:t>
            </w:r>
            <w:r>
              <w:rPr>
                <w:bCs/>
                <w:b/>
              </w:rPr>
              <w:t xml:space="preserve">f</w:t>
            </w:r>
            <w:r>
              <w:rPr>
                <w:vertAlign w:val="superscript"/>
                <w:bCs/>
                <w:b/>
              </w:rPr>
              <w:t xml:space="preserve">35</w:t>
            </w:r>
            <w:r>
              <w:t xml:space="preserve"> </w:t>
            </w:r>
            <w:r>
              <w:t xml:space="preserve">(40%) || ασελγειαις P</w:t>
            </w:r>
            <w:r>
              <w:rPr>
                <w:vertAlign w:val="superscript"/>
              </w:rPr>
              <w:t xml:space="preserve">72</w:t>
            </w:r>
            <w:r>
              <w:t xml:space="preserve"> </w:t>
            </w:r>
            <w:r>
              <w:t xml:space="preserve">ℵA,B,C (60%);</w:t>
            </w:r>
          </w:p>
        </w:tc>
        <w:tc>
          <w:tcPr/>
          <w:p>
            <w:pPr>
              <w:pStyle w:val="Compact"/>
            </w:pPr>
          </w:p>
        </w:tc>
      </w:tr>
      <w:tr>
        <w:tc>
          <w:tcPr/>
          <w:p>
            <w:pPr>
              <w:pStyle w:val="Compact"/>
              <w:jc w:val="center"/>
            </w:pPr>
            <w:r>
              <w:t xml:space="preserve">3,02</w:t>
            </w:r>
          </w:p>
        </w:tc>
        <w:tc>
          <w:tcPr/>
          <w:p>
            <w:pPr>
              <w:pStyle w:val="Compact"/>
              <w:jc w:val="left"/>
            </w:pPr>
            <w:r>
              <w:t xml:space="preserve">υμων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(70%) || ημων (28,8%) || ---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3,05</w:t>
            </w:r>
          </w:p>
        </w:tc>
        <w:tc>
          <w:tcPr/>
          <w:p>
            <w:pPr>
              <w:pStyle w:val="Compact"/>
              <w:jc w:val="left"/>
            </w:pPr>
            <w:r>
              <w:t xml:space="preserve">συνεστωτα</w:t>
            </w:r>
            <w:r>
              <w:t xml:space="preserve"> </w:t>
            </w:r>
            <w:r>
              <w:rPr>
                <w:bCs/>
                <w:b/>
              </w:rPr>
              <w:t xml:space="preserve">f</w:t>
            </w:r>
            <w:r>
              <w:rPr>
                <w:vertAlign w:val="superscript"/>
                <w:bCs/>
                <w:b/>
              </w:rPr>
              <w:t xml:space="preserve">35</w:t>
            </w:r>
            <w:r>
              <w:t xml:space="preserve"> </w:t>
            </w:r>
            <w:r>
              <w:t xml:space="preserve">ℵ (23%) || συνεστωσα P</w:t>
            </w:r>
            <w:r>
              <w:rPr>
                <w:vertAlign w:val="superscript"/>
              </w:rPr>
              <w:t xml:space="preserve">72</w:t>
            </w:r>
            <w:r>
              <w:t xml:space="preserve">A,C(048) (76%);</w:t>
            </w:r>
          </w:p>
        </w:tc>
        <w:tc>
          <w:tcPr/>
          <w:p>
            <w:pPr>
              <w:pStyle w:val="Compact"/>
            </w:pPr>
          </w:p>
        </w:tc>
      </w:tr>
      <w:tr>
        <w:tc>
          <w:tcPr/>
          <w:p>
            <w:pPr>
              <w:pStyle w:val="Compact"/>
              <w:jc w:val="center"/>
            </w:pPr>
            <w:r>
              <w:t xml:space="preserve">3,10</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ℵ,048 (67%) || η οι P</w:t>
            </w:r>
            <w:r>
              <w:rPr>
                <w:vertAlign w:val="superscript"/>
              </w:rPr>
              <w:t xml:space="preserve">72</w:t>
            </w:r>
            <w:r>
              <w:t xml:space="preserve">A,B,C (33%);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3,15</w:t>
            </w:r>
          </w:p>
        </w:tc>
        <w:tc>
          <w:tcPr/>
          <w:p>
            <w:pPr>
              <w:pStyle w:val="Compact"/>
              <w:jc w:val="left"/>
            </w:pPr>
            <w:r>
              <w:t xml:space="preserve">αυτω δοθεισαν</w:t>
            </w:r>
            <w:r>
              <w:t xml:space="preserve"> </w:t>
            </w:r>
            <w:r>
              <w:rPr>
                <w:bCs/>
                <w:b/>
              </w:rPr>
              <w:t xml:space="preserve">f</w:t>
            </w:r>
            <w:r>
              <w:rPr>
                <w:vertAlign w:val="superscript"/>
                <w:bCs/>
                <w:b/>
              </w:rPr>
              <w:t xml:space="preserve">35</w:t>
            </w:r>
            <w:r>
              <w:t xml:space="preserve"> </w:t>
            </w:r>
            <w:r>
              <w:t xml:space="preserve">(60%) || ~ 21 P</w:t>
            </w:r>
            <w:r>
              <w:rPr>
                <w:vertAlign w:val="superscript"/>
              </w:rPr>
              <w:t xml:space="preserve">72</w:t>
            </w:r>
            <w:r>
              <w:t xml:space="preserve">(ℵ)A,B,C,048 (40%);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3,16</w:t>
            </w:r>
          </w:p>
        </w:tc>
        <w:tc>
          <w:tcPr/>
          <w:p>
            <w:pPr>
              <w:pStyle w:val="Compact"/>
              <w:jc w:val="left"/>
            </w:pPr>
            <w:r>
              <w:t xml:space="preserve">εισιν</w:t>
            </w:r>
            <w:r>
              <w:t xml:space="preserve"> </w:t>
            </w:r>
            <w:r>
              <w:rPr>
                <w:bCs/>
                <w:b/>
              </w:rPr>
              <w:t xml:space="preserve">f</w:t>
            </w:r>
            <w:r>
              <w:rPr>
                <w:vertAlign w:val="superscript"/>
                <w:bCs/>
                <w:b/>
              </w:rPr>
              <w:t xml:space="preserve">35</w:t>
            </w:r>
            <w:r>
              <w:t xml:space="preserve"> </w:t>
            </w:r>
            <w:r>
              <w:t xml:space="preserve">A (33%) || εστιν P</w:t>
            </w:r>
            <w:r>
              <w:rPr>
                <w:vertAlign w:val="superscript"/>
              </w:rPr>
              <w:t xml:space="preserve">72</w:t>
            </w:r>
            <w:r>
              <w:t xml:space="preserve"> </w:t>
            </w:r>
            <w:r>
              <w:t xml:space="preserve">ℵB,C (67%);</w:t>
            </w:r>
          </w:p>
        </w:tc>
        <w:tc>
          <w:tcPr/>
          <w:p>
            <w:pPr>
              <w:pStyle w:val="Compact"/>
            </w:pPr>
          </w:p>
        </w:tc>
      </w:tr>
      <w:tr>
        <w:tc>
          <w:tcPr/>
          <w:p>
            <w:pPr>
              <w:pStyle w:val="Compact"/>
              <w:jc w:val="center"/>
            </w:pPr>
            <w:r>
              <w:t xml:space="preserve">3,18</w:t>
            </w:r>
          </w:p>
        </w:tc>
        <w:tc>
          <w:tcPr/>
          <w:p>
            <w:pPr>
              <w:pStyle w:val="Compact"/>
              <w:jc w:val="left"/>
            </w:pPr>
            <w:r>
              <w:t xml:space="preserve">αυξανητε</w:t>
            </w:r>
            <w:r>
              <w:t xml:space="preserve"> </w:t>
            </w:r>
            <w:r>
              <w:rPr>
                <w:bCs/>
                <w:b/>
              </w:rPr>
              <w:t xml:space="preserve">f</w:t>
            </w:r>
            <w:r>
              <w:rPr>
                <w:vertAlign w:val="superscript"/>
                <w:bCs/>
                <w:b/>
              </w:rPr>
              <w:t xml:space="preserve">35</w:t>
            </w:r>
            <w:r>
              <w:t xml:space="preserve"> </w:t>
            </w:r>
            <w:r>
              <w:t xml:space="preserve">(27%) || αυξανετε ℵA,B (60%) || αυξανεσθε P</w:t>
            </w:r>
            <w:r>
              <w:rPr>
                <w:vertAlign w:val="superscript"/>
              </w:rPr>
              <w:t xml:space="preserve">72</w:t>
            </w:r>
            <w:r>
              <w:t xml:space="preserve">C (5%) || αυξανησθε (3%) || αυξανοιτε (5%).</w:t>
            </w:r>
          </w:p>
        </w:tc>
        <w:tc>
          <w:tcPr/>
          <w:p>
            <w:pPr>
              <w:pStyle w:val="Compact"/>
            </w:pP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2 Liście Piotra określa powyższych 13 odczytów. Jest on wyraźny i jednoznaczny, mamy więc w 2 Liście Piotra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4 +?2 zestawy wariantów, w których</w:t>
      </w:r>
      <w:r>
        <w:t xml:space="preserve"> </w:t>
      </w:r>
      <w:r>
        <w:rPr>
          <w:bCs/>
          <w:b/>
        </w:rPr>
        <w:t xml:space="preserve">K</w:t>
      </w:r>
      <w:r>
        <w:rPr>
          <w:vertAlign w:val="superscript"/>
          <w:bCs/>
          <w:b/>
        </w:rPr>
        <w:t xml:space="preserve">x</w:t>
      </w:r>
      <w:r>
        <w:t xml:space="preserve"> </w:t>
      </w:r>
      <w:r>
        <w:t xml:space="preserve">jest poważnie podzielony, są na tyle nieliczne, że postulowanie archetypu może być możliwe. (Nie uwzględniłem pewnej liczby mniejszych podziałów — 25%, 20%, 15% — które mogłyby skomplikować każdą taką próbę. Inne uwagi znajdują się wyżej, przy Liście Jakuba). Przejdźmy do 1 Listu Jana.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1 List Jana</w:t>
            </w:r>
          </w:p>
        </w:tc>
        <w:tc>
          <w:tcPr/>
          <w:p>
            <w:pPr>
              <w:pStyle w:val="Compact"/>
            </w:pPr>
          </w:p>
        </w:tc>
      </w:tr>
      <w:tr>
        <w:tc>
          <w:tcPr/>
          <w:p>
            <w:pPr>
              <w:pStyle w:val="Compact"/>
              <w:jc w:val="center"/>
            </w:pPr>
            <w:r>
              <w:t xml:space="preserve">1,04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ℵB (59%) || υμων A,C (41%);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1,06</w:t>
            </w:r>
          </w:p>
        </w:tc>
        <w:tc>
          <w:tcPr/>
          <w:p>
            <w:pPr>
              <w:pStyle w:val="Compact"/>
              <w:jc w:val="left"/>
            </w:pPr>
            <w:r>
              <w:t xml:space="preserve">περιπατουμεν</w:t>
            </w:r>
            <w:r>
              <w:t xml:space="preserve"> </w:t>
            </w:r>
            <w:r>
              <w:rPr>
                <w:bCs/>
                <w:b/>
              </w:rPr>
              <w:t xml:space="preserve">f</w:t>
            </w:r>
            <w:r>
              <w:rPr>
                <w:vertAlign w:val="superscript"/>
                <w:bCs/>
                <w:b/>
              </w:rPr>
              <w:t xml:space="preserve">35</w:t>
            </w:r>
            <w:r>
              <w:t xml:space="preserve"> </w:t>
            </w:r>
            <w:r>
              <w:t xml:space="preserve">(29%) || περιπατωμεν</w:t>
            </w:r>
            <w:r>
              <w:t xml:space="preserve"> </w:t>
            </w:r>
            <w:r>
              <w:rPr>
                <w:bCs/>
                <w:b/>
              </w:rPr>
              <w:t xml:space="preserve">f</w:t>
            </w:r>
            <w:r>
              <w:rPr>
                <w:vertAlign w:val="superscript"/>
                <w:bCs/>
                <w:b/>
              </w:rPr>
              <w:t xml:space="preserve">35pt</w:t>
            </w:r>
            <w:r>
              <w:t xml:space="preserve"> </w:t>
            </w:r>
            <w:r>
              <w:t xml:space="preserve">ℵA,B,C (71%);</w:t>
            </w:r>
          </w:p>
        </w:tc>
        <w:tc>
          <w:tcPr/>
          <w:p>
            <w:pPr>
              <w:pStyle w:val="Compact"/>
            </w:pPr>
          </w:p>
        </w:tc>
      </w:tr>
      <w:tr>
        <w:tc>
          <w:tcPr/>
          <w:p>
            <w:pPr>
              <w:pStyle w:val="Compact"/>
              <w:jc w:val="center"/>
            </w:pPr>
            <w:r>
              <w:t xml:space="preserve">2,16</w:t>
            </w:r>
          </w:p>
        </w:tc>
        <w:tc>
          <w:tcPr/>
          <w:p>
            <w:pPr>
              <w:pStyle w:val="Compact"/>
              <w:jc w:val="left"/>
            </w:pPr>
            <w:r>
              <w:t xml:space="preserve">αλαζονεια</w:t>
            </w:r>
            <w:r>
              <w:t xml:space="preserve"> </w:t>
            </w:r>
            <w:r>
              <w:rPr>
                <w:bCs/>
                <w:b/>
              </w:rPr>
              <w:t xml:space="preserve">f</w:t>
            </w:r>
            <w:r>
              <w:rPr>
                <w:vertAlign w:val="superscript"/>
                <w:bCs/>
                <w:b/>
              </w:rPr>
              <w:t xml:space="preserve">35</w:t>
            </w:r>
            <w:r>
              <w:t xml:space="preserve"> </w:t>
            </w:r>
            <w:r>
              <w:t xml:space="preserve">C (72%) || αλαζονια ℵA,B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2,24</w:t>
            </w:r>
          </w:p>
        </w:tc>
        <w:tc>
          <w:tcPr/>
          <w:p>
            <w:pPr>
              <w:pStyle w:val="Compact"/>
              <w:jc w:val="left"/>
            </w:pPr>
            <w:r>
              <w:t xml:space="preserve">πατρι και εν τω υιω</w:t>
            </w:r>
            <w:r>
              <w:t xml:space="preserve"> </w:t>
            </w:r>
            <w:r>
              <w:rPr>
                <w:bCs/>
                <w:b/>
              </w:rPr>
              <w:t xml:space="preserve">f</w:t>
            </w:r>
            <w:r>
              <w:rPr>
                <w:vertAlign w:val="superscript"/>
                <w:bCs/>
                <w:b/>
              </w:rPr>
              <w:t xml:space="preserve">35</w:t>
            </w:r>
            <w:r>
              <w:t xml:space="preserve"> </w:t>
            </w:r>
            <w:r>
              <w:t xml:space="preserve">ℵ (35%) || ~ 52341 A(B)C (65%);</w:t>
            </w:r>
          </w:p>
        </w:tc>
        <w:tc>
          <w:tcPr/>
          <w:p>
            <w:pPr>
              <w:pStyle w:val="Compact"/>
            </w:pPr>
          </w:p>
        </w:tc>
      </w:tr>
      <w:tr>
        <w:tc>
          <w:tcPr/>
          <w:p>
            <w:pPr>
              <w:pStyle w:val="Compact"/>
              <w:jc w:val="center"/>
            </w:pPr>
            <w:r>
              <w:t xml:space="preserve">2,27</w:t>
            </w:r>
          </w:p>
        </w:tc>
        <w:tc>
          <w:tcPr/>
          <w:p>
            <w:pPr>
              <w:pStyle w:val="Compact"/>
              <w:jc w:val="left"/>
            </w:pPr>
            <w:r>
              <w:t xml:space="preserve">διδασκη</w:t>
            </w:r>
            <w:r>
              <w:t xml:space="preserve"> </w:t>
            </w:r>
            <w:r>
              <w:rPr>
                <w:bCs/>
                <w:b/>
              </w:rPr>
              <w:t xml:space="preserve">f</w:t>
            </w:r>
            <w:r>
              <w:rPr>
                <w:vertAlign w:val="superscript"/>
                <w:bCs/>
                <w:b/>
              </w:rPr>
              <w:t xml:space="preserve">35</w:t>
            </w:r>
            <w:r>
              <w:t xml:space="preserve"> </w:t>
            </w:r>
            <w:r>
              <w:t xml:space="preserve">ℵA,B (71%) || διδασκει C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2,29</w:t>
            </w:r>
          </w:p>
        </w:tc>
        <w:tc>
          <w:tcPr/>
          <w:p>
            <w:pPr>
              <w:pStyle w:val="Compact"/>
              <w:jc w:val="left"/>
            </w:pPr>
            <w:r>
              <w:t xml:space="preserve">ειδητε</w:t>
            </w:r>
            <w:r>
              <w:t xml:space="preserve"> </w:t>
            </w:r>
            <w:r>
              <w:rPr>
                <w:bCs/>
                <w:b/>
              </w:rPr>
              <w:t xml:space="preserve">f</w:t>
            </w:r>
            <w:r>
              <w:rPr>
                <w:vertAlign w:val="superscript"/>
                <w:bCs/>
                <w:b/>
              </w:rPr>
              <w:t xml:space="preserve">35</w:t>
            </w:r>
            <w:r>
              <w:t xml:space="preserve"> </w:t>
            </w:r>
            <w:r>
              <w:t xml:space="preserve">ℵB,C (37%) || ιδητε A (59%) || οιδατε (4%);</w:t>
            </w:r>
          </w:p>
        </w:tc>
        <w:tc>
          <w:tcPr/>
          <w:p>
            <w:pPr>
              <w:pStyle w:val="Compact"/>
            </w:pPr>
          </w:p>
        </w:tc>
      </w:tr>
      <w:tr>
        <w:tc>
          <w:tcPr/>
          <w:p>
            <w:pPr>
              <w:pStyle w:val="Compact"/>
              <w:jc w:val="center"/>
            </w:pPr>
            <w:r>
              <w:t xml:space="preserve">2,29</w:t>
            </w:r>
          </w:p>
        </w:tc>
        <w:tc>
          <w:tcPr/>
          <w:p>
            <w:pPr>
              <w:pStyle w:val="Compact"/>
              <w:jc w:val="left"/>
            </w:pPr>
            <w:r>
              <w:t xml:space="preserve">γεγεννηται</w:t>
            </w:r>
            <w:r>
              <w:t xml:space="preserve"> </w:t>
            </w:r>
            <w:r>
              <w:rPr>
                <w:bCs/>
                <w:b/>
              </w:rPr>
              <w:t xml:space="preserve">f</w:t>
            </w:r>
            <w:r>
              <w:rPr>
                <w:vertAlign w:val="superscript"/>
                <w:bCs/>
                <w:b/>
              </w:rPr>
              <w:t xml:space="preserve">35</w:t>
            </w:r>
            <w:r>
              <w:t xml:space="preserve"> </w:t>
            </w:r>
            <w:r>
              <w:t xml:space="preserve">ℵA,B,C (70%) || γεγενηται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3,01</w:t>
            </w:r>
          </w:p>
        </w:tc>
        <w:tc>
          <w:tcPr/>
          <w:p>
            <w:pPr>
              <w:pStyle w:val="Compact"/>
              <w:jc w:val="left"/>
            </w:pPr>
            <w:r>
              <w:t xml:space="preserve">ημας</w:t>
            </w:r>
            <w:r>
              <w:t xml:space="preserve"> </w:t>
            </w:r>
            <w:r>
              <w:rPr>
                <w:bCs/>
                <w:b/>
              </w:rPr>
              <w:t xml:space="preserve">f</w:t>
            </w:r>
            <w:r>
              <w:rPr>
                <w:vertAlign w:val="superscript"/>
                <w:bCs/>
                <w:b/>
              </w:rPr>
              <w:t xml:space="preserve">35</w:t>
            </w:r>
            <w:r>
              <w:t xml:space="preserve"> </w:t>
            </w:r>
            <w:r>
              <w:t xml:space="preserve">A,B (36%) || υμας ℵC (63,5%) || --- (0,5%);</w:t>
            </w:r>
          </w:p>
        </w:tc>
        <w:tc>
          <w:tcPr/>
          <w:p>
            <w:pPr>
              <w:pStyle w:val="Compact"/>
            </w:pPr>
          </w:p>
        </w:tc>
      </w:tr>
      <w:tr>
        <w:tc>
          <w:tcPr/>
          <w:p>
            <w:pPr>
              <w:pStyle w:val="Compact"/>
              <w:jc w:val="center"/>
            </w:pPr>
            <w:r>
              <w:t xml:space="preserve">3,06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(20%) || --- ℵA,B,C (80%);</w:t>
            </w:r>
          </w:p>
        </w:tc>
        <w:tc>
          <w:tcPr/>
          <w:p>
            <w:pPr>
              <w:pStyle w:val="Compact"/>
            </w:pPr>
          </w:p>
        </w:tc>
      </w:tr>
      <w:tr>
        <w:tc>
          <w:tcPr/>
          <w:p>
            <w:pPr>
              <w:pStyle w:val="Compact"/>
              <w:jc w:val="center"/>
            </w:pPr>
            <w:r>
              <w:t xml:space="preserve">3,15</w:t>
            </w:r>
          </w:p>
        </w:tc>
        <w:tc>
          <w:tcPr/>
          <w:p>
            <w:pPr>
              <w:pStyle w:val="Compact"/>
              <w:jc w:val="left"/>
            </w:pPr>
            <w:r>
              <w:t xml:space="preserve">εαυτω</w:t>
            </w:r>
            <w:r>
              <w:t xml:space="preserve"> </w:t>
            </w:r>
            <w:r>
              <w:rPr>
                <w:bCs/>
                <w:b/>
              </w:rPr>
              <w:t xml:space="preserve">f</w:t>
            </w:r>
            <w:r>
              <w:rPr>
                <w:vertAlign w:val="superscript"/>
                <w:bCs/>
                <w:b/>
              </w:rPr>
              <w:t xml:space="preserve">35</w:t>
            </w:r>
            <w:r>
              <w:t xml:space="preserve"> </w:t>
            </w:r>
            <w:r>
              <w:t xml:space="preserve">ℵA,C (70%) || αυτω 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3,17</w:t>
            </w:r>
          </w:p>
        </w:tc>
        <w:tc>
          <w:tcPr/>
          <w:p>
            <w:pPr>
              <w:pStyle w:val="Compact"/>
              <w:jc w:val="left"/>
            </w:pPr>
            <w:r>
              <w:t xml:space="preserve">θεωρη</w:t>
            </w:r>
            <w:r>
              <w:t xml:space="preserve"> </w:t>
            </w:r>
            <w:r>
              <w:rPr>
                <w:bCs/>
                <w:b/>
              </w:rPr>
              <w:t xml:space="preserve">f</w:t>
            </w:r>
            <w:r>
              <w:rPr>
                <w:vertAlign w:val="superscript"/>
                <w:bCs/>
                <w:b/>
              </w:rPr>
              <w:t xml:space="preserve">35</w:t>
            </w:r>
            <w:r>
              <w:t xml:space="preserve"> </w:t>
            </w:r>
            <w:r>
              <w:t xml:space="preserve">ℵA,B,C (47%) || θεωρει (53%);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3,18</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ℵA,B,C (65%) || ---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3,19</w:t>
            </w:r>
          </w:p>
        </w:tc>
        <w:tc>
          <w:tcPr/>
          <w:p>
            <w:pPr>
              <w:pStyle w:val="Compact"/>
              <w:jc w:val="left"/>
            </w:pPr>
            <w:r>
              <w:t xml:space="preserve">πεισωμεν</w:t>
            </w:r>
            <w:r>
              <w:t xml:space="preserve"> </w:t>
            </w:r>
            <w:r>
              <w:rPr>
                <w:bCs/>
                <w:b/>
              </w:rPr>
              <w:t xml:space="preserve">f</w:t>
            </w:r>
            <w:r>
              <w:rPr>
                <w:vertAlign w:val="superscript"/>
                <w:bCs/>
                <w:b/>
              </w:rPr>
              <w:t xml:space="preserve">35</w:t>
            </w:r>
            <w:r>
              <w:t xml:space="preserve"> </w:t>
            </w:r>
            <w:r>
              <w:t xml:space="preserve">(43%) || πεισομεν ℵA,B,C (56%);</w:t>
            </w:r>
          </w:p>
        </w:tc>
        <w:tc>
          <w:tcPr/>
          <w:p>
            <w:pPr>
              <w:pStyle w:val="Compact"/>
            </w:pPr>
          </w:p>
        </w:tc>
      </w:tr>
      <w:tr>
        <w:tc>
          <w:tcPr/>
          <w:p>
            <w:pPr>
              <w:pStyle w:val="Compact"/>
              <w:jc w:val="center"/>
            </w:pPr>
            <w:r>
              <w:t xml:space="preserve">3,21</w:t>
            </w:r>
          </w:p>
        </w:tc>
        <w:tc>
          <w:tcPr/>
          <w:p>
            <w:pPr>
              <w:pStyle w:val="Compact"/>
              <w:jc w:val="left"/>
            </w:pPr>
            <w:r>
              <w:t xml:space="preserve">καταγινωσκη</w:t>
            </w:r>
            <w:r>
              <w:t xml:space="preserve"> </w:t>
            </w:r>
            <w:r>
              <w:rPr>
                <w:bCs/>
                <w:b/>
              </w:rPr>
              <w:t xml:space="preserve">f</w:t>
            </w:r>
            <w:r>
              <w:rPr>
                <w:vertAlign w:val="superscript"/>
                <w:bCs/>
                <w:b/>
              </w:rPr>
              <w:t xml:space="preserve">35</w:t>
            </w:r>
            <w:r>
              <w:t xml:space="preserve"> </w:t>
            </w:r>
            <w:r>
              <w:t xml:space="preserve">ℵB,C (71%) || καταγινωσκει A (29%);</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3,23</w:t>
            </w:r>
          </w:p>
        </w:tc>
        <w:tc>
          <w:tcPr/>
          <w:p>
            <w:pPr>
              <w:pStyle w:val="Compact"/>
              <w:jc w:val="left"/>
            </w:pPr>
            <w:r>
              <w:t xml:space="preserve">πιστευσωμεν</w:t>
            </w:r>
            <w:r>
              <w:t xml:space="preserve"> </w:t>
            </w:r>
            <w:r>
              <w:rPr>
                <w:bCs/>
                <w:b/>
              </w:rPr>
              <w:t xml:space="preserve">f</w:t>
            </w:r>
            <w:r>
              <w:rPr>
                <w:vertAlign w:val="superscript"/>
                <w:bCs/>
                <w:b/>
              </w:rPr>
              <w:t xml:space="preserve">35</w:t>
            </w:r>
            <w:r>
              <w:t xml:space="preserve"> </w:t>
            </w:r>
            <w:r>
              <w:t xml:space="preserve">B (66,9%) || πιστευωμεν ℵA,C (26,5%) || πιστευομεν (5,4%) || πιστευσομεν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3,24</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 (30%) || και εν A,B,C</w:t>
            </w:r>
            <w:r>
              <w:rPr>
                <w:vertAlign w:val="superscript"/>
              </w:rPr>
              <w:t xml:space="preserve">v</w:t>
            </w:r>
            <w:r>
              <w:t xml:space="preserve"> </w:t>
            </w:r>
            <w:r>
              <w:t xml:space="preserve">(70%);</w:t>
            </w:r>
          </w:p>
        </w:tc>
        <w:tc>
          <w:tcPr/>
          <w:p>
            <w:pPr>
              <w:pStyle w:val="Compact"/>
            </w:pPr>
          </w:p>
        </w:tc>
      </w:tr>
      <w:tr>
        <w:tc>
          <w:tcPr/>
          <w:p>
            <w:pPr>
              <w:pStyle w:val="Compact"/>
              <w:jc w:val="center"/>
            </w:pPr>
            <w:r>
              <w:t xml:space="preserve">4,02</w:t>
            </w:r>
          </w:p>
        </w:tc>
        <w:tc>
          <w:tcPr/>
          <w:p>
            <w:pPr>
              <w:pStyle w:val="Compact"/>
              <w:jc w:val="left"/>
            </w:pPr>
            <w:r>
              <w:t xml:space="preserve">γινωσκεται</w:t>
            </w:r>
            <w:r>
              <w:t xml:space="preserve"> </w:t>
            </w:r>
            <w:r>
              <w:rPr>
                <w:bCs/>
                <w:b/>
              </w:rPr>
              <w:t xml:space="preserve">f</w:t>
            </w:r>
            <w:r>
              <w:rPr>
                <w:vertAlign w:val="superscript"/>
                <w:bCs/>
                <w:b/>
              </w:rPr>
              <w:t xml:space="preserve">35</w:t>
            </w:r>
            <w:r>
              <w:t xml:space="preserve"> </w:t>
            </w:r>
            <w:r>
              <w:t xml:space="preserve">(67%) || γινωσκετε A,B,C (25%) || γινωσκομεν ℵ (8%);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ομολογει</w:t>
            </w:r>
            <w:r>
              <w:t xml:space="preserve"> </w:t>
            </w:r>
            <w:r>
              <w:rPr>
                <w:bCs/>
                <w:b/>
              </w:rPr>
              <w:t xml:space="preserve">f</w:t>
            </w:r>
            <w:r>
              <w:rPr>
                <w:vertAlign w:val="superscript"/>
                <w:bCs/>
                <w:b/>
              </w:rPr>
              <w:t xml:space="preserve">35</w:t>
            </w:r>
            <w:r>
              <w:t xml:space="preserve"> </w:t>
            </w:r>
            <w:r>
              <w:t xml:space="preserve">ℵ (73,5%) || ομολογει τον A,B (24,2%);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εκ</w:t>
            </w:r>
            <w:r>
              <w:t xml:space="preserve"> </w:t>
            </w:r>
            <w:r>
              <w:rPr>
                <w:bCs/>
                <w:b/>
              </w:rPr>
              <w:t xml:space="preserve">f</w:t>
            </w:r>
            <w:r>
              <w:rPr>
                <w:vertAlign w:val="superscript"/>
                <w:bCs/>
                <w:b/>
              </w:rPr>
              <w:t xml:space="preserve">35</w:t>
            </w:r>
            <w:r>
              <w:t xml:space="preserve"> </w:t>
            </w:r>
            <w:r>
              <w:t xml:space="preserve">ℵA,B (70%) || ---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4,16</w:t>
            </w:r>
          </w:p>
        </w:tc>
        <w:tc>
          <w:tcPr/>
          <w:p>
            <w:pPr>
              <w:pStyle w:val="Compact"/>
              <w:jc w:val="left"/>
            </w:pPr>
            <w:r>
              <w:t xml:space="preserve">αυτω</w:t>
            </w:r>
            <w:r>
              <w:t xml:space="preserve"> </w:t>
            </w:r>
            <w:r>
              <w:rPr>
                <w:bCs/>
                <w:b/>
              </w:rPr>
              <w:t xml:space="preserve">f</w:t>
            </w:r>
            <w:r>
              <w:rPr>
                <w:vertAlign w:val="superscript"/>
                <w:bCs/>
                <w:b/>
              </w:rPr>
              <w:t xml:space="preserve">35</w:t>
            </w:r>
            <w:r>
              <w:t xml:space="preserve"> </w:t>
            </w:r>
            <w:r>
              <w:t xml:space="preserve">A (37%) || αυτω μενει ℵB (63%);</w:t>
            </w:r>
          </w:p>
        </w:tc>
        <w:tc>
          <w:tcPr/>
          <w:p>
            <w:pPr>
              <w:pStyle w:val="Compact"/>
            </w:pPr>
          </w:p>
        </w:tc>
      </w:tr>
      <w:tr>
        <w:tc>
          <w:tcPr/>
          <w:p>
            <w:pPr>
              <w:pStyle w:val="Compact"/>
              <w:jc w:val="center"/>
            </w:pPr>
            <w:r>
              <w:t xml:space="preserve">5,04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ℵ,A,B (56,4%) || υμων (43,2%) || --- (0,4%);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ℵ (70%) || και εν (A)B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εαυτω</w:t>
            </w:r>
            <w:r>
              <w:t xml:space="preserve"> </w:t>
            </w:r>
            <w:r>
              <w:rPr>
                <w:bCs/>
                <w:b/>
              </w:rPr>
              <w:t xml:space="preserve">f</w:t>
            </w:r>
            <w:r>
              <w:rPr>
                <w:vertAlign w:val="superscript"/>
                <w:bCs/>
                <w:b/>
              </w:rPr>
              <w:t xml:space="preserve">35</w:t>
            </w:r>
            <w:r>
              <w:t xml:space="preserve"> </w:t>
            </w:r>
            <w:r>
              <w:t xml:space="preserve">ℵ (48%) || αυτω A,B (52%);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5,11</w:t>
            </w:r>
          </w:p>
        </w:tc>
        <w:tc>
          <w:tcPr/>
          <w:p>
            <w:pPr>
              <w:pStyle w:val="Compact"/>
              <w:jc w:val="left"/>
            </w:pPr>
            <w:r>
              <w:t xml:space="preserve">ο θεος ημιν</w:t>
            </w:r>
            <w:r>
              <w:t xml:space="preserve"> </w:t>
            </w:r>
            <w:r>
              <w:rPr>
                <w:bCs/>
                <w:b/>
              </w:rPr>
              <w:t xml:space="preserve">f</w:t>
            </w:r>
            <w:r>
              <w:rPr>
                <w:vertAlign w:val="superscript"/>
                <w:bCs/>
                <w:b/>
              </w:rPr>
              <w:t xml:space="preserve">35</w:t>
            </w:r>
            <w:r>
              <w:t xml:space="preserve"> </w:t>
            </w:r>
            <w:r>
              <w:t xml:space="preserve">B (24%) || ~ 312 ℵA (76%);</w:t>
            </w:r>
          </w:p>
        </w:tc>
        <w:tc>
          <w:tcPr/>
          <w:p>
            <w:pPr>
              <w:pStyle w:val="Compact"/>
            </w:pPr>
          </w:p>
        </w:tc>
      </w:tr>
      <w:tr>
        <w:tc>
          <w:tcPr/>
          <w:p>
            <w:pPr>
              <w:pStyle w:val="Compact"/>
              <w:jc w:val="center"/>
            </w:pPr>
            <w:r>
              <w:t xml:space="preserve">5,20</w:t>
            </w:r>
          </w:p>
        </w:tc>
        <w:tc>
          <w:tcPr/>
          <w:p>
            <w:pPr>
              <w:pStyle w:val="Compact"/>
              <w:jc w:val="left"/>
            </w:pPr>
            <w:r>
              <w:t xml:space="preserve">γινωσκωμεν</w:t>
            </w:r>
            <w:r>
              <w:t xml:space="preserve"> </w:t>
            </w:r>
            <w:r>
              <w:rPr>
                <w:bCs/>
                <w:b/>
              </w:rPr>
              <w:t xml:space="preserve">f</w:t>
            </w:r>
            <w:r>
              <w:rPr>
                <w:vertAlign w:val="superscript"/>
                <w:bCs/>
                <w:b/>
              </w:rPr>
              <w:t xml:space="preserve">35</w:t>
            </w:r>
            <w:r>
              <w:t xml:space="preserve"> </w:t>
            </w:r>
            <w:r>
              <w:t xml:space="preserve">(66%) || γινωσκομεν ℵA,B (34%);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5,20</w:t>
            </w:r>
          </w:p>
        </w:tc>
        <w:tc>
          <w:tcPr/>
          <w:p>
            <w:pPr>
              <w:pStyle w:val="Compact"/>
              <w:jc w:val="left"/>
            </w:pPr>
            <w:r>
              <w:t xml:space="preserve">η ζωη η</w:t>
            </w:r>
            <w:r>
              <w:t xml:space="preserve"> </w:t>
            </w:r>
            <w:r>
              <w:rPr>
                <w:bCs/>
                <w:b/>
              </w:rPr>
              <w:t xml:space="preserve">f</w:t>
            </w:r>
            <w:r>
              <w:rPr>
                <w:vertAlign w:val="superscript"/>
                <w:bCs/>
                <w:b/>
              </w:rPr>
              <w:t xml:space="preserve">35</w:t>
            </w:r>
            <w:r>
              <w:t xml:space="preserve"> </w:t>
            </w:r>
            <w:r>
              <w:t xml:space="preserve">(60%) || 2 ℵA,B (26%) || 12 (6%) || 23 (4%) || --- (4%).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1 Liście Jana określa powyższych 26 odczytów. Jest on wyraźny i jednoznaczny, mamy więc w 1 Liście Jana co najmniej jeden obiektywnie określony archetyp. Dla kontrastu istnieje 11 +?6 zestawów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 (Nie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Inne uwagi znajdują się wyżej, przy Liście Jakuba). Przejdźmy do 2 i 3 Listu Jana.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2 List Jana</w:t>
            </w:r>
          </w:p>
        </w:tc>
        <w:tc>
          <w:tcPr/>
          <w:p>
            <w:pPr>
              <w:pStyle w:val="Compact"/>
            </w:pPr>
          </w:p>
        </w:tc>
      </w:tr>
      <w:tr>
        <w:tc>
          <w:tcPr/>
          <w:p>
            <w:pPr>
              <w:pStyle w:val="Compact"/>
              <w:jc w:val="center"/>
            </w:pPr>
            <w:r>
              <w:t xml:space="preserve">02</w:t>
            </w:r>
          </w:p>
        </w:tc>
        <w:tc>
          <w:tcPr/>
          <w:p>
            <w:pPr>
              <w:pStyle w:val="Compact"/>
              <w:jc w:val="left"/>
            </w:pPr>
            <w:r>
              <w:t xml:space="preserve">εσται μεθ υμων</w:t>
            </w:r>
            <w:r>
              <w:t xml:space="preserve"> </w:t>
            </w:r>
            <w:r>
              <w:rPr>
                <w:bCs/>
                <w:b/>
              </w:rPr>
              <w:t xml:space="preserve">f</w:t>
            </w:r>
            <w:r>
              <w:rPr>
                <w:vertAlign w:val="superscript"/>
                <w:bCs/>
                <w:b/>
              </w:rPr>
              <w:t xml:space="preserve">35</w:t>
            </w:r>
            <w:r>
              <w:t xml:space="preserve"> </w:t>
            </w:r>
            <w:r>
              <w:t xml:space="preserve">(58%) || εσται μεθ ημων ℵB,0232 (40%) || --- A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05</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A (35%) || αλλα ℵB (65%);</w:t>
            </w:r>
          </w:p>
        </w:tc>
        <w:tc>
          <w:tcPr/>
          <w:p>
            <w:pPr>
              <w:pStyle w:val="Compact"/>
            </w:pPr>
          </w:p>
        </w:tc>
      </w:tr>
      <w:tr>
        <w:tc>
          <w:tcPr/>
          <w:p>
            <w:pPr>
              <w:pStyle w:val="Compact"/>
              <w:jc w:val="center"/>
            </w:pPr>
            <w:r>
              <w:t xml:space="preserve">05</w:t>
            </w:r>
          </w:p>
        </w:tc>
        <w:tc>
          <w:tcPr/>
          <w:p>
            <w:pPr>
              <w:pStyle w:val="Compact"/>
              <w:jc w:val="left"/>
            </w:pPr>
            <w:r>
              <w:t xml:space="preserve">εχομεν</w:t>
            </w:r>
            <w:r>
              <w:t xml:space="preserve"> </w:t>
            </w:r>
            <w:r>
              <w:rPr>
                <w:bCs/>
                <w:b/>
              </w:rPr>
              <w:t xml:space="preserve">f</w:t>
            </w:r>
            <w:r>
              <w:rPr>
                <w:vertAlign w:val="superscript"/>
                <w:bCs/>
                <w:b/>
              </w:rPr>
              <w:t xml:space="preserve">35</w:t>
            </w:r>
            <w:r>
              <w:t xml:space="preserve"> </w:t>
            </w:r>
            <w:r>
              <w:t xml:space="preserve">(30%) || ειχομεν ℵA,B (70%);</w:t>
            </w:r>
          </w:p>
        </w:tc>
        <w:tc>
          <w:tcPr/>
          <w:p>
            <w:pPr>
              <w:pStyle w:val="Compact"/>
            </w:pPr>
          </w:p>
        </w:tc>
      </w:tr>
      <w:tr>
        <w:tc>
          <w:tcPr/>
          <w:p>
            <w:pPr>
              <w:pStyle w:val="Compact"/>
              <w:jc w:val="center"/>
            </w:pPr>
            <w:r>
              <w:t xml:space="preserve">09</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(20%) || --- ℵA,B (80%);</w:t>
            </w:r>
          </w:p>
        </w:tc>
        <w:tc>
          <w:tcPr/>
          <w:p>
            <w:pPr>
              <w:pStyle w:val="Compact"/>
            </w:pPr>
          </w:p>
        </w:tc>
      </w:tr>
      <w:tr>
        <w:tc>
          <w:tcPr/>
          <w:p>
            <w:pPr>
              <w:pStyle w:val="Compact"/>
              <w:jc w:val="center"/>
            </w:pPr>
            <w:r>
              <w:t xml:space="preserve">12</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(30%) || αλλα ℵA,B (70%).</w:t>
            </w:r>
          </w:p>
        </w:tc>
        <w:tc>
          <w:tcPr/>
          <w:p>
            <w:pPr>
              <w:pStyle w:val="Compact"/>
            </w:pPr>
          </w:p>
        </w:tc>
      </w:tr>
    </w:tbl>
    <w:p/>
    <w:tbl>
      <w:tblPr>
        <w:tblStyle w:val="Table"/>
        <w:tblW w:type="pct" w:w="5000"/>
        <w:tblLook w:firstRow="1" w:lastRow="0" w:firstColumn="0" w:lastColumn="0" w:noHBand="0" w:noVBand="0" w:val="0020"/>
        <w:jc w:val="start"/>
      </w:tblPr>
      <w:tblGrid>
        <w:gridCol w:w="4950"/>
        <w:gridCol w:w="2970"/>
      </w:tblGrid>
      <w:tr>
        <w:trPr>
          <w:tblHeader w:val="true"/>
        </w:trPr>
        <w:tc>
          <w:tcPr/>
          <w:p>
            <w:pPr>
              <w:pStyle w:val="Compact"/>
              <w:jc w:val="center"/>
            </w:pPr>
            <w:r>
              <w:t xml:space="preserve">Miejsce</w:t>
            </w:r>
          </w:p>
        </w:tc>
        <w:tc>
          <w:tcPr/>
          <w:p>
            <w:pPr>
              <w:pStyle w:val="Compact"/>
              <w:jc w:val="left"/>
            </w:pPr>
            <w:r>
              <w:t xml:space="preserve">Odczyty</w:t>
            </w:r>
          </w:p>
        </w:tc>
      </w:tr>
      <w:tr>
        <w:tc>
          <w:tcPr/>
          <w:p>
            <w:pPr>
              <w:pStyle w:val="Compact"/>
            </w:pPr>
          </w:p>
        </w:tc>
        <w:tc>
          <w:tcPr/>
          <w:p>
            <w:pPr>
              <w:pStyle w:val="Compact"/>
              <w:jc w:val="left"/>
            </w:pPr>
            <w:r>
              <w:rPr>
                <w:bCs/>
                <w:b/>
              </w:rPr>
              <w:t xml:space="preserve">3 List Jana</w:t>
            </w:r>
          </w:p>
        </w:tc>
      </w:tr>
      <w:tr>
        <w:tc>
          <w:tcPr/>
          <w:p>
            <w:pPr>
              <w:pStyle w:val="Compact"/>
              <w:jc w:val="center"/>
            </w:pPr>
            <w:r>
              <w:t xml:space="preserve">11</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(25%) || --- ℵA,B,C (75%);</w:t>
            </w:r>
          </w:p>
        </w:tc>
      </w:tr>
      <w:tr>
        <w:tc>
          <w:tcPr/>
          <w:p>
            <w:pPr>
              <w:pStyle w:val="Compact"/>
              <w:jc w:val="center"/>
            </w:pPr>
            <w:r>
              <w:t xml:space="preserve">12</w:t>
            </w:r>
          </w:p>
        </w:tc>
        <w:tc>
          <w:tcPr/>
          <w:p>
            <w:pPr>
              <w:pStyle w:val="Compact"/>
              <w:jc w:val="left"/>
            </w:pPr>
            <w:r>
              <w:t xml:space="preserve">οιδαμεν</w:t>
            </w:r>
            <w:r>
              <w:t xml:space="preserve"> </w:t>
            </w:r>
            <w:r>
              <w:rPr>
                <w:bCs/>
                <w:b/>
              </w:rPr>
              <w:t xml:space="preserve">f</w:t>
            </w:r>
            <w:r>
              <w:rPr>
                <w:vertAlign w:val="superscript"/>
                <w:bCs/>
                <w:b/>
              </w:rPr>
              <w:t xml:space="preserve">35</w:t>
            </w:r>
            <w:r>
              <w:t xml:space="preserve"> </w:t>
            </w:r>
            <w:r>
              <w:t xml:space="preserve">(23%) || οιδατε (61,5%) || οιδας ℵA,B,C,048 (15,1%) || οιδα (0,4%).</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2 i 3 Liście Jana określa powyższych 7 odczytów. Jest on wyraźny i jednoznaczny, mamy więc w tych księgach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Ponieważ istnieje tylko jeden zestaw wariantów, w którym</w:t>
      </w:r>
      <w:r>
        <w:t xml:space="preserve"> </w:t>
      </w:r>
      <w:r>
        <w:rPr>
          <w:bCs/>
          <w:b/>
        </w:rPr>
        <w:t xml:space="preserve">K</w:t>
      </w:r>
      <w:r>
        <w:rPr>
          <w:vertAlign w:val="superscript"/>
          <w:bCs/>
          <w:b/>
        </w:rPr>
        <w:t xml:space="preserve">x</w:t>
      </w:r>
      <w:r>
        <w:t xml:space="preserve"> </w:t>
      </w:r>
      <w:r>
        <w:t xml:space="preserve">jest poważnie podzielony, postulowanie archetypu może być możliwe. Przejdźmy do Listu Judy.</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List Judy</w:t>
            </w:r>
          </w:p>
        </w:tc>
        <w:tc>
          <w:tcPr/>
          <w:p>
            <w:pPr>
              <w:pStyle w:val="Compact"/>
            </w:pPr>
          </w:p>
        </w:tc>
      </w:tr>
      <w:tr>
        <w:tc>
          <w:tcPr/>
          <w:p>
            <w:pPr>
              <w:pStyle w:val="Compact"/>
              <w:jc w:val="center"/>
            </w:pPr>
            <w:r>
              <w:t xml:space="preserve">06</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C (30%) || αλλα P</w:t>
            </w:r>
            <w:r>
              <w:rPr>
                <w:vertAlign w:val="superscript"/>
              </w:rPr>
              <w:t xml:space="preserve">72</w:t>
            </w:r>
            <w:r>
              <w:t xml:space="preserve"> </w:t>
            </w:r>
            <w:r>
              <w:t xml:space="preserve">ℵA,B (70%);</w:t>
            </w:r>
          </w:p>
        </w:tc>
        <w:tc>
          <w:tcPr/>
          <w:p>
            <w:pPr>
              <w:pStyle w:val="Compact"/>
            </w:pPr>
          </w:p>
        </w:tc>
      </w:tr>
      <w:tr>
        <w:tc>
          <w:tcPr/>
          <w:p>
            <w:pPr>
              <w:pStyle w:val="Compact"/>
              <w:jc w:val="center"/>
            </w:pPr>
            <w:r>
              <w:t xml:space="preserve">16</w:t>
            </w:r>
          </w:p>
        </w:tc>
        <w:tc>
          <w:tcPr/>
          <w:p>
            <w:pPr>
              <w:pStyle w:val="Compact"/>
              <w:jc w:val="left"/>
            </w:pPr>
            <w:r>
              <w:t xml:space="preserve">εαυτων</w:t>
            </w:r>
            <w:r>
              <w:t xml:space="preserve"> </w:t>
            </w:r>
            <w:r>
              <w:rPr>
                <w:bCs/>
                <w:b/>
              </w:rPr>
              <w:t xml:space="preserve">f</w:t>
            </w:r>
            <w:r>
              <w:rPr>
                <w:vertAlign w:val="superscript"/>
                <w:bCs/>
                <w:b/>
              </w:rPr>
              <w:t xml:space="preserve">35</w:t>
            </w:r>
            <w:r>
              <w:t xml:space="preserve"> </w:t>
            </w:r>
            <w:r>
              <w:t xml:space="preserve">C (35%) || αυτων ℵA,B (65%);</w:t>
            </w:r>
          </w:p>
        </w:tc>
        <w:tc>
          <w:tcPr/>
          <w:p>
            <w:pPr>
              <w:pStyle w:val="Compact"/>
            </w:pPr>
          </w:p>
        </w:tc>
      </w:tr>
      <w:tr>
        <w:tc>
          <w:tcPr/>
          <w:p>
            <w:pPr>
              <w:pStyle w:val="Compact"/>
              <w:jc w:val="center"/>
            </w:pPr>
            <w:r>
              <w:t xml:space="preserve">24</w:t>
            </w:r>
          </w:p>
        </w:tc>
        <w:tc>
          <w:tcPr/>
          <w:p>
            <w:pPr>
              <w:pStyle w:val="Compact"/>
              <w:jc w:val="left"/>
            </w:pPr>
            <w:r>
              <w:t xml:space="preserve">αυτους</w:t>
            </w:r>
            <w:r>
              <w:t xml:space="preserve"> </w:t>
            </w:r>
            <w:r>
              <w:rPr>
                <w:bCs/>
                <w:b/>
              </w:rPr>
              <w:t xml:space="preserve">f</w:t>
            </w:r>
            <w:r>
              <w:rPr>
                <w:vertAlign w:val="superscript"/>
                <w:bCs/>
                <w:b/>
              </w:rPr>
              <w:t xml:space="preserve">35</w:t>
            </w:r>
            <w:r>
              <w:t xml:space="preserve"> </w:t>
            </w:r>
            <w:r>
              <w:t xml:space="preserve">(68,8%) || υμας ℵB,C (29,2%) || ημας A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Liście Judy określają powyższe 3 odczyty. Jest on wyraźny i jednoznaczny, mamy więc w tej księdze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Ponieważ istnieje tylko jeden zestaw wariantów, w którym</w:t>
      </w:r>
      <w:r>
        <w:t xml:space="preserve"> </w:t>
      </w:r>
      <w:r>
        <w:rPr>
          <w:bCs/>
          <w:b/>
        </w:rPr>
        <w:t xml:space="preserve">K</w:t>
      </w:r>
      <w:r>
        <w:rPr>
          <w:vertAlign w:val="superscript"/>
          <w:bCs/>
          <w:b/>
        </w:rPr>
        <w:t xml:space="preserve">x</w:t>
      </w:r>
      <w:r>
        <w:t xml:space="preserve"> </w:t>
      </w:r>
      <w:r>
        <w:t xml:space="preserve">jest poważnie podzielony, postulowanie archetypu może być możliwe.</w:t>
      </w:r>
    </w:p>
    <w:bookmarkStart w:id="384" w:name="wniosek-1"/>
    <w:p>
      <w:pPr>
        <w:pStyle w:val="Heading3"/>
      </w:pPr>
      <w:r>
        <w:t xml:space="preserve">Wniosek</w:t>
      </w:r>
    </w:p>
    <w:p>
      <w:pPr>
        <w:pStyle w:val="FirstParagraph"/>
      </w:pPr>
      <w:r>
        <w:t xml:space="preserve">Gdy potraktujemy siedem listów jako blok lub grupę, przedstawione dowody dostarczają odpowiedzi na pytanie początkowe: w Listach Ogólnych istnieje tylko jeden obiektywnie rozpoznawalny archetyp — właśnie</w:t>
      </w:r>
      <w:r>
        <w:t xml:space="preserve"> </w:t>
      </w:r>
      <w:r>
        <w:rPr>
          <w:bCs/>
          <w:b/>
        </w:rPr>
        <w:t xml:space="preserve">f</w:t>
      </w:r>
      <w:r>
        <w:rPr>
          <w:vertAlign w:val="superscript"/>
          <w:bCs/>
          <w:b/>
        </w:rPr>
        <w:t xml:space="preserve">35</w:t>
      </w:r>
      <w:r>
        <w:t xml:space="preserve">. Jego charakterystyczny profil określa 119 odczytów wymienionych powyżej. Dla kontrastu istnieją 54 +?18 zestawy wariantów, w których</w:t>
      </w:r>
      <w:r>
        <w:t xml:space="preserve"> </w:t>
      </w:r>
      <w:r>
        <w:rPr>
          <w:bCs/>
          <w:b/>
        </w:rPr>
        <w:t xml:space="preserve">K</w:t>
      </w:r>
      <w:r>
        <w:rPr>
          <w:vertAlign w:val="superscript"/>
          <w:bCs/>
          <w:b/>
        </w:rPr>
        <w:t xml:space="preserve">x</w:t>
      </w:r>
      <w:r>
        <w:t xml:space="preserve"> </w:t>
      </w:r>
      <w:r>
        <w:t xml:space="preserve">jest poważnie podzielony, co czyni istnienie jednego archetypu</w:t>
      </w:r>
      <w:r>
        <w:t xml:space="preserve"> </w:t>
      </w:r>
      <w:r>
        <w:rPr>
          <w:bCs/>
          <w:b/>
        </w:rPr>
        <w:t xml:space="preserve">K</w:t>
      </w:r>
      <w:r>
        <w:rPr>
          <w:vertAlign w:val="superscript"/>
          <w:bCs/>
          <w:b/>
        </w:rPr>
        <w:t xml:space="preserve">x</w:t>
      </w:r>
      <w:r>
        <w:t xml:space="preserve"> </w:t>
      </w:r>
      <w:r>
        <w:t xml:space="preserve">dla tych ksiąg wysoce wątpliwym. (Nie uwzględniłem pewnej liczby mniejszych podziałów — 28 około 25%, 53 około 20%, 57 około 15% — które mogłyby skomplikować każdą próbę ustalenia archetypu</w:t>
      </w:r>
      <w:r>
        <w:t xml:space="preserve"> </w:t>
      </w:r>
      <w:r>
        <w:rPr>
          <w:bCs/>
          <w:b/>
        </w:rPr>
        <w:t xml:space="preserve">K</w:t>
      </w:r>
      <w:r>
        <w:rPr>
          <w:vertAlign w:val="superscript"/>
          <w:bCs/>
          <w:b/>
        </w:rPr>
        <w:t xml:space="preserve">x</w:t>
      </w:r>
      <w:r>
        <w:t xml:space="preserve">, zwłaszcza jeśli skład stron tych podziałów nie jest stały ani przewidywalny). Nie znam żadnych innych możliwych kandydatów. Przy obecnym stanie naszej niewiedzy w Listach Ogólnych istnieje tylko jeden kwalifikujący się kandydat na archetyp Autografu:</w:t>
      </w:r>
      <w:r>
        <w:t xml:space="preserve"> </w:t>
      </w:r>
      <w:r>
        <w:rPr>
          <w:bCs/>
          <w:b/>
        </w:rPr>
        <w:t xml:space="preserve">f</w:t>
      </w:r>
      <w:r>
        <w:rPr>
          <w:vertAlign w:val="superscript"/>
          <w:bCs/>
          <w:b/>
        </w:rPr>
        <w:t xml:space="preserve">35</w:t>
      </w:r>
      <w:r>
        <w:t xml:space="preserve">. (Jeśli w twoim mieście jest tylko jeden kandydat na burmistrza, kto zostaje wybrany?)</w:t>
      </w:r>
    </w:p>
    <w:bookmarkEnd w:id="384"/>
    <w:bookmarkEnd w:id="385"/>
    <w:bookmarkStart w:id="439" w:name="X1fed85a2d30dbb7540fb502ea753a90e442032e"/>
    <w:p>
      <w:pPr>
        <w:pStyle w:val="Heading2"/>
      </w:pPr>
      <w:r>
        <w:rPr>
          <w:iCs/>
          <w:i/>
          <w:bCs/>
          <w:b/>
        </w:rPr>
        <w:t xml:space="preserve">Concordia discors</w:t>
      </w:r>
      <w:r>
        <w:t xml:space="preserve"> </w:t>
      </w:r>
      <w:r>
        <w:t xml:space="preserve">i odczyty mniejszościowe</w:t>
      </w:r>
      <w:r>
        <w:t xml:space="preserve"> </w:t>
      </w:r>
      <w:r>
        <w:rPr>
          <w:bCs/>
          <w:b/>
        </w:rPr>
        <w:t xml:space="preserve">f</w:t>
      </w:r>
      <w:r>
        <w:rPr>
          <w:vertAlign w:val="superscript"/>
          <w:bCs/>
          <w:b/>
        </w:rPr>
        <w:t xml:space="preserve">35</w:t>
      </w:r>
      <w:r>
        <w:t xml:space="preserve"> </w:t>
      </w:r>
      <w:r>
        <w:t xml:space="preserve">w Listach Ogólnych</w:t>
      </w:r>
    </w:p>
    <w:p>
      <w:pPr>
        <w:pStyle w:val="FirstParagraph"/>
      </w:pPr>
      <w:r>
        <w:t xml:space="preserve">Ponad sto lat temu i w całej swojej twórczości John William Burgon wielokrotnie zwracał uwagę na</w:t>
      </w:r>
      <w:r>
        <w:t xml:space="preserve"> </w:t>
      </w:r>
      <w:r>
        <w:rPr>
          <w:iCs/>
          <w:i/>
        </w:rPr>
        <w:t xml:space="preserve">concordia discors</w:t>
      </w:r>
      <w:r>
        <w:t xml:space="preserve">, panujące zamieszanie i niezgodność, jakie wczesne uncjały (ℵABCD — każdy z nich osobiście skolacjonował) wykazują między sobą. Ewangelia Łukasza 11,2-4 dostarcza jednego przykładu.</w:t>
      </w:r>
    </w:p>
    <w:p>
      <w:pPr>
        <w:pStyle w:val="BlockText"/>
      </w:pPr>
      <w:r>
        <w:t xml:space="preserve">„Pięć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w:t>
      </w:r>
      <w:r>
        <w:rPr>
          <w:rStyle w:val="FootnoteReference"/>
        </w:rPr>
        <w:footnoteReference w:id="386"/>
      </w:r>
    </w:p>
    <w:bookmarkStart w:id="404" w:name="list-jakuba"/>
    <w:p>
      <w:pPr>
        <w:pStyle w:val="Heading3"/>
      </w:pPr>
      <w:r>
        <w:t xml:space="preserve">List Jakuba</w:t>
      </w:r>
    </w:p>
    <w:bookmarkStart w:id="388" w:name="concordia-discors"/>
    <w:p>
      <w:pPr>
        <w:pStyle w:val="Heading4"/>
      </w:pPr>
      <w:r>
        <w:rPr>
          <w:iCs/>
          <w:i/>
        </w:rPr>
        <w:t xml:space="preserve">Concordia discors</w:t>
      </w:r>
    </w:p>
    <w:p>
      <w:pPr>
        <w:pStyle w:val="FirstParagraph"/>
      </w:pPr>
      <w:r>
        <w:t xml:space="preserve">Cztery z tych uncjałów zachowały się w Liście Jakuba (ℵABC), do których dodaję P</w:t>
      </w:r>
      <w:r>
        <w:rPr>
          <w:vertAlign w:val="superscript"/>
        </w:rPr>
        <w:t xml:space="preserve">20,100</w:t>
      </w:r>
      <w:r>
        <w:t xml:space="preserve"> </w:t>
      </w:r>
      <w:r>
        <w:t xml:space="preserve">i 048,</w:t>
      </w:r>
      <w:r>
        <w:rPr>
          <w:rStyle w:val="FootnoteReference"/>
        </w:rPr>
        <w:footnoteReference w:id="387"/>
      </w:r>
      <w:r>
        <w:t xml:space="preserve"> </w:t>
      </w:r>
      <w:r>
        <w:t xml:space="preserve">a to, co Burgon nazywa ich „ekscentryczną skłonnością”, jest wyraźnie widoczne. Ich ekscentryczność, oglądana z perspektywy normalnego przekazu, wystarczy, by rozgrzać serce nawet najbardziej zatwardziałego ikonoklasty. Jednak właśnie ta ekscentryczność dowodzi ich niezależności, co będzie szczególnie istotne w dalszym ciągu. Przedstawiam w tabeli ich zachowanie w 120 istotnych zestawach wariantów (z wyłączeniem 5 z</w:t>
      </w:r>
      <w:r>
        <w:t xml:space="preserve"> </w:t>
      </w:r>
      <w:r>
        <w:rPr>
          <w:iCs/>
          <w:i/>
        </w:rPr>
        <w:t xml:space="preserve">rell</w:t>
      </w:r>
      <w:r>
        <w:t xml:space="preserve">) uwzględnionych w aparacie krytycznym mojego wydania greckiego Tekstu Listu Jakuba.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53</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9</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5</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20</w:t>
            </w:r>
            <w:r>
              <w:t xml:space="preserve"> </w:t>
            </w:r>
            <w:r>
              <w:t xml:space="preserve">ℵ</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6</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20</w:t>
            </w:r>
          </w:p>
        </w:tc>
        <w:tc>
          <w:tcPr/>
          <w:p>
            <w:pPr>
              <w:pStyle w:val="Compact"/>
              <w:jc w:val="right"/>
            </w:pPr>
            <w:r>
              <w:t xml:space="preserve">1</w:t>
            </w:r>
          </w:p>
        </w:tc>
        <w:tc>
          <w:tcPr/>
          <w:p>
            <w:pPr>
              <w:pStyle w:val="Compact"/>
            </w:pPr>
          </w:p>
        </w:tc>
      </w:tr>
      <w:tr>
        <w:tc>
          <w:tcPr/>
          <w:p>
            <w:pPr>
              <w:pStyle w:val="Compact"/>
              <w:jc w:val="left"/>
            </w:pPr>
            <w:r>
              <w:t xml:space="preserve">z udziałem P</w:t>
            </w:r>
            <w:r>
              <w:rPr>
                <w:vertAlign w:val="superscript"/>
              </w:rPr>
              <w:t xml:space="preserve">100</w:t>
            </w:r>
          </w:p>
        </w:tc>
        <w:tc>
          <w:tcPr/>
          <w:p>
            <w:pPr>
              <w:pStyle w:val="Compact"/>
              <w:jc w:val="right"/>
            </w:pPr>
            <w:r>
              <w:t xml:space="preserve">7</w:t>
            </w:r>
          </w:p>
        </w:tc>
        <w:tc>
          <w:tcPr/>
          <w:p>
            <w:pPr>
              <w:pStyle w:val="Compact"/>
            </w:pPr>
          </w:p>
        </w:tc>
      </w:tr>
      <w:tr>
        <w:tc>
          <w:tcPr/>
          <w:p>
            <w:pPr>
              <w:pStyle w:val="Compact"/>
              <w:jc w:val="left"/>
            </w:pPr>
            <w:r>
              <w:t xml:space="preserve">z udziałem ℵ</w:t>
            </w:r>
          </w:p>
        </w:tc>
        <w:tc>
          <w:tcPr/>
          <w:p>
            <w:pPr>
              <w:pStyle w:val="Compact"/>
              <w:jc w:val="right"/>
            </w:pPr>
            <w:r>
              <w:t xml:space="preserve">28</w:t>
            </w:r>
          </w:p>
        </w:tc>
        <w:tc>
          <w:tcPr/>
          <w:p>
            <w:pPr>
              <w:pStyle w:val="Compact"/>
            </w:pPr>
          </w:p>
        </w:tc>
      </w:tr>
      <w:tr>
        <w:tc>
          <w:tcPr/>
          <w:p>
            <w:pPr>
              <w:pStyle w:val="Compact"/>
              <w:jc w:val="left"/>
            </w:pPr>
            <w:r>
              <w:t xml:space="preserve">z udziałem A</w:t>
            </w:r>
          </w:p>
        </w:tc>
        <w:tc>
          <w:tcPr/>
          <w:p>
            <w:pPr>
              <w:pStyle w:val="Compact"/>
              <w:jc w:val="right"/>
            </w:pPr>
            <w:r>
              <w:t xml:space="preserve">37</w:t>
            </w:r>
          </w:p>
        </w:tc>
        <w:tc>
          <w:tcPr/>
          <w:p>
            <w:pPr>
              <w:pStyle w:val="Compact"/>
            </w:pPr>
          </w:p>
        </w:tc>
      </w:tr>
      <w:tr>
        <w:tc>
          <w:tcPr/>
          <w:p>
            <w:pPr>
              <w:pStyle w:val="Compact"/>
              <w:jc w:val="left"/>
            </w:pPr>
            <w:r>
              <w:t xml:space="preserve">z udziałem B</w:t>
            </w:r>
          </w:p>
        </w:tc>
        <w:tc>
          <w:tcPr/>
          <w:p>
            <w:pPr>
              <w:pStyle w:val="Compact"/>
              <w:jc w:val="right"/>
            </w:pPr>
            <w:r>
              <w:t xml:space="preserve">17</w:t>
            </w:r>
          </w:p>
        </w:tc>
        <w:tc>
          <w:tcPr/>
          <w:p>
            <w:pPr>
              <w:pStyle w:val="Compact"/>
            </w:pPr>
          </w:p>
        </w:tc>
      </w:tr>
      <w:tr>
        <w:tc>
          <w:tcPr/>
          <w:p>
            <w:pPr>
              <w:pStyle w:val="Compact"/>
              <w:jc w:val="left"/>
            </w:pPr>
            <w:r>
              <w:t xml:space="preserve">z udziałem C</w:t>
            </w:r>
          </w:p>
        </w:tc>
        <w:tc>
          <w:tcPr/>
          <w:p>
            <w:pPr>
              <w:pStyle w:val="Compact"/>
              <w:jc w:val="right"/>
            </w:pPr>
            <w:r>
              <w:t xml:space="preserve">18</w:t>
            </w:r>
          </w:p>
        </w:tc>
        <w:tc>
          <w:tcPr/>
          <w:p>
            <w:pPr>
              <w:pStyle w:val="Compact"/>
            </w:pPr>
          </w:p>
        </w:tc>
      </w:tr>
      <w:tr>
        <w:tc>
          <w:tcPr/>
          <w:p>
            <w:pPr>
              <w:pStyle w:val="Compact"/>
              <w:jc w:val="left"/>
            </w:pPr>
            <w:r>
              <w:t xml:space="preserve">z udziałem 048</w:t>
            </w:r>
          </w:p>
        </w:tc>
        <w:tc>
          <w:tcPr/>
          <w:p>
            <w:pPr>
              <w:pStyle w:val="Compact"/>
              <w:jc w:val="right"/>
            </w:pPr>
            <w:r>
              <w:t xml:space="preserve">1</w:t>
            </w:r>
          </w:p>
        </w:tc>
        <w:tc>
          <w:tcPr/>
          <w:p>
            <w:pPr>
              <w:pStyle w:val="Compact"/>
            </w:pPr>
          </w:p>
        </w:tc>
      </w:tr>
    </w:tbl>
    <w:p>
      <w:pPr>
        <w:pStyle w:val="BodyText"/>
      </w:pPr>
      <w:r>
        <w:t xml:space="preserve">W 114 istotnych zestawach wariantów (120 minus 6)</w:t>
      </w:r>
      <w:r>
        <w:t xml:space="preserve"> </w:t>
      </w:r>
      <w:r>
        <w:rPr>
          <w:bCs/>
          <w:b/>
        </w:rPr>
        <w:t xml:space="preserve">f</w:t>
      </w:r>
      <w:r>
        <w:rPr>
          <w:vertAlign w:val="superscript"/>
          <w:bCs/>
          <w:b/>
        </w:rPr>
        <w:t xml:space="preserve">35</w:t>
      </w:r>
      <w:r>
        <w:t xml:space="preserve"> </w:t>
      </w:r>
      <w:r>
        <w:t xml:space="preserve">ma jawne poświadczenie tych wczesnych uncjałów w 52%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388"/>
    <w:bookmarkStart w:id="403" w:name="odczyty-mniejszościowe-f35"/>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aparat mojego greckiego Tekstu Listu Jakuba pokaże, że dziewięć odczytów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dziewięć odczytów, zaczynając od najmniejszego odsetka.</w:t>
      </w:r>
    </w:p>
    <w:bookmarkStart w:id="389" w:name="ανηλεος-213-20"/>
    <w:p>
      <w:pPr>
        <w:pStyle w:val="Heading5"/>
      </w:pPr>
      <w:r>
        <w:rPr>
          <w:iCs/>
          <w:i/>
        </w:rPr>
        <w:t xml:space="preserve">ανηλεος</w:t>
      </w:r>
      <w:r>
        <w:t xml:space="preserve"> </w:t>
      </w:r>
      <w:r>
        <w:t xml:space="preserve">2,13 (20%)</w:t>
      </w:r>
    </w:p>
    <w:p>
      <w:pPr>
        <w:pStyle w:val="FirstParagraph"/>
      </w:pPr>
      <w:r>
        <w:t xml:space="preserve">Jedyne manuskrypty</w:t>
      </w:r>
      <w:r>
        <w:t xml:space="preserve"> </w:t>
      </w:r>
      <w:r>
        <w:rPr>
          <w:bCs/>
          <w:b/>
        </w:rPr>
        <w:t xml:space="preserve">f</w:t>
      </w:r>
      <w:r>
        <w:rPr>
          <w:vertAlign w:val="superscript"/>
          <w:bCs/>
          <w:b/>
        </w:rPr>
        <w:t xml:space="preserve">35</w:t>
      </w:r>
      <w:r>
        <w:t xml:space="preserve"> </w:t>
      </w:r>
      <w:r>
        <w:t xml:space="preserve">uwzględnione w</w:t>
      </w:r>
      <w:r>
        <w:t xml:space="preserve"> </w:t>
      </w:r>
      <w:r>
        <w:rPr>
          <w:iCs/>
          <w:i/>
        </w:rPr>
        <w:t xml:space="preserve">ECM</w:t>
      </w:r>
      <w:r>
        <w:t xml:space="preserve">, 18 i 35, fałszywie przypisano do innego wariantu, tak że odczytu tego nawet nie wymieniono w</w:t>
      </w:r>
      <w:r>
        <w:t xml:space="preserve"> </w:t>
      </w:r>
      <w:r>
        <w:rPr>
          <w:iCs/>
          <w:i/>
        </w:rPr>
        <w:t xml:space="preserve">ECM</w:t>
      </w:r>
      <w:r>
        <w:t xml:space="preserve">, nie wymienił go też von Soden. Bez najmniejszej wątpliwości jest to odczyt</w:t>
      </w:r>
      <w:r>
        <w:t xml:space="preserve"> </w:t>
      </w:r>
      <w:r>
        <w:rPr>
          <w:bCs/>
          <w:b/>
        </w:rPr>
        <w:t xml:space="preserve">f</w:t>
      </w:r>
      <w:r>
        <w:rPr>
          <w:vertAlign w:val="superscript"/>
          <w:bCs/>
          <w:b/>
        </w:rPr>
        <w:t xml:space="preserve">35</w:t>
      </w:r>
      <w:r>
        <w:t xml:space="preserve">, lecz dopiero w miarę kolacjonowania kolejnych manuskryptów dowiemy się, czy przetrwał w innych liniach przekazu. Trudno uwierzyć, by ktoś wprowadził formę attycką w średniowieczu, dlatego</w:t>
      </w:r>
      <w:r>
        <w:t xml:space="preserve"> </w:t>
      </w:r>
      <w:r>
        <w:rPr>
          <w:bCs/>
          <w:b/>
        </w:rPr>
        <w:t xml:space="preserve">f</w:t>
      </w:r>
      <w:r>
        <w:rPr>
          <w:vertAlign w:val="superscript"/>
          <w:bCs/>
          <w:b/>
        </w:rPr>
        <w:t xml:space="preserve">35</w:t>
      </w:r>
      <w:r>
        <w:t xml:space="preserve"> </w:t>
      </w:r>
      <w:r>
        <w:t xml:space="preserve">jest wczesna, a moim zdaniem ten odczyt jest najprawdopodobniej oryginalny.</w:t>
      </w:r>
    </w:p>
    <w:bookmarkEnd w:id="389"/>
    <w:bookmarkStart w:id="391" w:name="ιθυνοντος-34-21"/>
    <w:p>
      <w:pPr>
        <w:pStyle w:val="Heading5"/>
      </w:pPr>
      <w:r>
        <w:rPr>
          <w:iCs/>
          <w:i/>
        </w:rPr>
        <w:t xml:space="preserve">ιθυνοντος</w:t>
      </w:r>
      <w:r>
        <w:t xml:space="preserve"> </w:t>
      </w:r>
      <w:r>
        <w:t xml:space="preserve">3,4 (21%)</w:t>
      </w:r>
    </w:p>
    <w:p>
      <w:pPr>
        <w:pStyle w:val="FirstParagraph"/>
      </w:pPr>
      <w:r>
        <w:t xml:space="preserve">Wszystkie osiem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w:t>
      </w:r>
      <w:r>
        <w:rPr>
          <w:rStyle w:val="FootnoteReference"/>
        </w:rPr>
        <w:footnoteReference w:id="390"/>
      </w:r>
      <w:r>
        <w:t xml:space="preserve"> </w:t>
      </w:r>
      <w:r>
        <w:t xml:space="preserve">ma odrębny profil, niektóre radykalnie odrębny. Jednak trzy z nich (1270, 1297, 1598) są w oczywisty sposób spokrewnione i przypuszczalnie miały niezbyt odległego wspólnego przodka. Mamy zatem sześć niezależnych linii przekazu (poza</w:t>
      </w:r>
      <w:r>
        <w:t xml:space="preserve"> </w:t>
      </w:r>
      <w:r>
        <w:rPr>
          <w:bCs/>
          <w:b/>
        </w:rPr>
        <w:t xml:space="preserve">f</w:t>
      </w:r>
      <w:r>
        <w:rPr>
          <w:vertAlign w:val="superscript"/>
          <w:bCs/>
          <w:b/>
        </w:rPr>
        <w:t xml:space="preserve">35</w:t>
      </w:r>
      <w:r>
        <w:t xml:space="preserve">), które prawdopodobnie sięgają wczesnych wieków. Chwileczkę, rękopis kursywny 1595, choć dość odmienny od tych trzech, prawdopodobnie połączyłby się z nimi w V wieku, pozostaje więc pięć linii. Ponadto wraz ze wzrostem odległości w czasie coraz mniej prawdopodobne staje się wprowadzenie starożytnej klasycznej pisowni. Odczyt ten jest z pewnością starożytny, a moim zdaniem najprawdopodobniej oryginalny.</w:t>
      </w:r>
    </w:p>
    <w:bookmarkEnd w:id="391"/>
    <w:bookmarkStart w:id="394" w:name="δυναμενος-32-ℵ-23"/>
    <w:p>
      <w:pPr>
        <w:pStyle w:val="Heading5"/>
      </w:pPr>
      <w:r>
        <w:rPr>
          <w:iCs/>
          <w:i/>
        </w:rPr>
        <w:t xml:space="preserve">δυναμενος</w:t>
      </w:r>
      <w:r>
        <w:t xml:space="preserve"> </w:t>
      </w:r>
      <w:r>
        <w:t xml:space="preserve">3,2 ℵ (23%)</w:t>
      </w:r>
    </w:p>
    <w:p>
      <w:pPr>
        <w:pStyle w:val="FirstParagraph"/>
      </w:pPr>
      <w:r>
        <w:t xml:space="preserve">Ku mojemu zdziwieniu między ośmioma manuskryptami spoza</w:t>
      </w:r>
      <w:r>
        <w:t xml:space="preserve"> </w:t>
      </w:r>
      <w:r>
        <w:rPr>
          <w:bCs/>
          <w:b/>
        </w:rPr>
        <w:t xml:space="preserve">f</w:t>
      </w:r>
      <w:r>
        <w:rPr>
          <w:vertAlign w:val="superscript"/>
          <w:bCs/>
          <w:b/>
        </w:rPr>
        <w:t xml:space="preserve">35</w:t>
      </w:r>
      <w:r>
        <w:t xml:space="preserve">, które</w:t>
      </w:r>
      <w:r>
        <w:t xml:space="preserve"> </w:t>
      </w:r>
      <w:r>
        <w:rPr>
          <w:iCs/>
          <w:i/>
        </w:rPr>
        <w:t xml:space="preserve">ECM</w:t>
      </w:r>
      <w:r>
        <w:t xml:space="preserve"> </w:t>
      </w:r>
      <w:r>
        <w:t xml:space="preserve">wymienia dla ιθυνοντος, a 23 manuskryptami spoza</w:t>
      </w:r>
      <w:r>
        <w:t xml:space="preserve"> </w:t>
      </w:r>
      <w:r>
        <w:rPr>
          <w:bCs/>
          <w:b/>
        </w:rPr>
        <w:t xml:space="preserve">f</w:t>
      </w:r>
      <w:r>
        <w:rPr>
          <w:vertAlign w:val="superscript"/>
          <w:bCs/>
          <w:b/>
        </w:rPr>
        <w:t xml:space="preserve">35</w:t>
      </w:r>
      <w:r>
        <w:t xml:space="preserve"> </w:t>
      </w:r>
      <w:r>
        <w:t xml:space="preserve">wymienionymi dla δυναμενος nie ma</w:t>
      </w:r>
      <w:r>
        <w:t xml:space="preserve"> </w:t>
      </w:r>
      <w:r>
        <w:rPr>
          <w:u w:val="single"/>
          <w:bCs/>
          <w:b/>
        </w:rPr>
        <w:t xml:space="preserve">absolutnie żadnego</w:t>
      </w:r>
      <w:r>
        <w:t xml:space="preserve"> </w:t>
      </w:r>
      <w:r>
        <w:t xml:space="preserve">pokrywania się. Ku mojemu dalszemu zdziwieniu wśród tych 23 nie ma ani jednego manuskryptu bizantyjskiego.</w:t>
      </w:r>
      <w:r>
        <w:rPr>
          <w:rStyle w:val="FootnoteReference"/>
        </w:rPr>
        <w:footnoteReference w:id="392"/>
      </w:r>
      <w:r>
        <w:t xml:space="preserve"> </w:t>
      </w:r>
      <w:r>
        <w:rPr>
          <w:bCs/>
          <w:b/>
        </w:rPr>
        <w:t xml:space="preserve">f</w:t>
      </w:r>
      <w:r>
        <w:rPr>
          <w:vertAlign w:val="superscript"/>
          <w:bCs/>
          <w:b/>
        </w:rPr>
        <w:t xml:space="preserve">35</w:t>
      </w:r>
      <w:r>
        <w:t xml:space="preserve"> </w:t>
      </w:r>
      <w:r>
        <w:t xml:space="preserve">jest więc tutaj całkowicie niezależna od</w:t>
      </w:r>
      <w:r>
        <w:t xml:space="preserve"> </w:t>
      </w:r>
      <w:r>
        <w:rPr>
          <w:bCs/>
          <w:b/>
        </w:rPr>
        <w:t xml:space="preserve">K</w:t>
      </w:r>
      <w:r>
        <w:rPr>
          <w:vertAlign w:val="superscript"/>
          <w:bCs/>
          <w:b/>
        </w:rPr>
        <w:t xml:space="preserve">x</w:t>
      </w:r>
      <w:r>
        <w:t xml:space="preserve">, a mimo to dołącza do niej ℵ, wiemy zatem już, że odczyt jest wczesny. Przeanalizujmy jednak rękopisy kursywne.</w:t>
      </w:r>
    </w:p>
    <w:p>
      <w:pPr>
        <w:pStyle w:val="BodyText"/>
      </w:pPr>
      <w:r>
        <w:t xml:space="preserve">Ponieważ żadne dwa nie mają identycznego profilu, 23 są przypuszczalnie niezależne w swoim pokoleniu. Istnieje jednak kilka par mających przypuszczalnie niezbyt odległego wspólnego przodka — do tej kategorii zaliczam 206-429, 254-1524 i 630-2200. Pierwsze dwie pary są jednak same ze sobą spokrewnione i mają wspólnego praprzodka. Do przodka 630-2200 dołącza 2138, a do ich praprzodka 2495. Manuskrypty 621 i 2412 spotykają się kilka pokoleń wcześniej. Wyobrażam sobie zatem, że w V wieku mamy szesnaście niezależnych linii przekazu (poza</w:t>
      </w:r>
      <w:r>
        <w:t xml:space="preserve"> </w:t>
      </w:r>
      <w:r>
        <w:rPr>
          <w:bCs/>
          <w:b/>
        </w:rPr>
        <w:t xml:space="preserve">f</w:t>
      </w:r>
      <w:r>
        <w:rPr>
          <w:vertAlign w:val="superscript"/>
          <w:bCs/>
          <w:b/>
        </w:rPr>
        <w:t xml:space="preserve">35</w:t>
      </w:r>
      <w:r>
        <w:t xml:space="preserve">). Gdy cofniemy się do III wieku, nadal powinniśmy mieć co najmniej sześć niezależnych linii ręczących za δυναμενος (podobnie jak za ιθυνοντος), lecz w każdym przypadku są to</w:t>
      </w:r>
      <w:r>
        <w:t xml:space="preserve"> </w:t>
      </w:r>
      <w:r>
        <w:rPr>
          <w:bCs/>
          <w:b/>
        </w:rPr>
        <w:t xml:space="preserve">całkowicie odmienne</w:t>
      </w:r>
      <w:r>
        <w:t xml:space="preserve"> </w:t>
      </w:r>
      <w:r>
        <w:t xml:space="preserve">linie!!! Oznacza to, że</w:t>
      </w:r>
      <w:r>
        <w:t xml:space="preserve"> </w:t>
      </w:r>
      <w:r>
        <w:rPr>
          <w:bCs/>
          <w:b/>
        </w:rPr>
        <w:t xml:space="preserve">f</w:t>
      </w:r>
      <w:r>
        <w:rPr>
          <w:vertAlign w:val="superscript"/>
          <w:bCs/>
          <w:b/>
        </w:rPr>
        <w:t xml:space="preserve">35</w:t>
      </w:r>
      <w:r>
        <w:t xml:space="preserve"> </w:t>
      </w:r>
      <w:r>
        <w:t xml:space="preserve">jest niezależna od wszystkich jedenastu linii (z pewnością — przy ιθυνοντος</w:t>
      </w:r>
      <w:r>
        <w:t xml:space="preserve"> </w:t>
      </w:r>
      <w:r>
        <w:rPr>
          <w:bCs/>
          <w:b/>
        </w:rPr>
        <w:t xml:space="preserve">f</w:t>
      </w:r>
      <w:r>
        <w:rPr>
          <w:vertAlign w:val="superscript"/>
          <w:bCs/>
          <w:b/>
        </w:rPr>
        <w:t xml:space="preserve">35</w:t>
      </w:r>
      <w:r>
        <w:t xml:space="preserve"> </w:t>
      </w:r>
      <w:r>
        <w:t xml:space="preserve">jest niezależna od sześciu wspierających δυναμενος, a przy δυναμενος jest niezależna od pięciu wspierających ιθυνοντος, jest zatem niezależna od wszystkich jedenastu).</w:t>
      </w:r>
    </w:p>
    <w:p>
      <w:pPr>
        <w:pStyle w:val="BodyText"/>
      </w:pPr>
      <w:r>
        <w:t xml:space="preserve">Odczyt ten jest z pewnością starożytny, niczego w ogóle nie zawdzięcza</w:t>
      </w:r>
      <w:r>
        <w:t xml:space="preserve"> </w:t>
      </w:r>
      <w:r>
        <w:rPr>
          <w:bCs/>
          <w:b/>
        </w:rPr>
        <w:t xml:space="preserve">K</w:t>
      </w:r>
      <w:r>
        <w:rPr>
          <w:vertAlign w:val="superscript"/>
          <w:bCs/>
          <w:b/>
        </w:rPr>
        <w:t xml:space="preserve">x</w:t>
      </w:r>
      <w:r>
        <w:t xml:space="preserve"> </w:t>
      </w:r>
      <w:r>
        <w:t xml:space="preserve">(masie bizantyjskiej), a moim zdaniem jest najprawdopodobniej oryginalny.</w:t>
      </w:r>
      <w:r>
        <w:rPr>
          <w:rStyle w:val="FootnoteReference"/>
        </w:rPr>
        <w:footnoteReference w:id="393"/>
      </w:r>
    </w:p>
    <w:bookmarkEnd w:id="394"/>
    <w:bookmarkStart w:id="395" w:name="ημων-414-26"/>
    <w:p>
      <w:pPr>
        <w:pStyle w:val="Heading5"/>
      </w:pPr>
      <w:r>
        <w:rPr>
          <w:iCs/>
          <w:i/>
        </w:rPr>
        <w:t xml:space="preserve">ημων</w:t>
      </w:r>
      <w:r>
        <w:t xml:space="preserve"> </w:t>
      </w:r>
      <w:r>
        <w:t xml:space="preserve">4,14 (26%)</w:t>
      </w:r>
    </w:p>
    <w:p>
      <w:pPr>
        <w:pStyle w:val="FirstParagraph"/>
      </w:pPr>
      <w:r>
        <w:t xml:space="preserve">Wariant ten dzieli 206-429, 254-1524 i 630-2200 z δυναμενος, a reprezentują one tylko dwie linie przekazu, dzieli także niezależne 1490 i 1831. Pozostaje 10 dalszych manuskryptów spoza</w:t>
      </w:r>
      <w:r>
        <w:t xml:space="preserve"> </w:t>
      </w:r>
      <w:r>
        <w:rPr>
          <w:bCs/>
          <w:b/>
        </w:rPr>
        <w:t xml:space="preserve">f</w:t>
      </w:r>
      <w:r>
        <w:rPr>
          <w:vertAlign w:val="superscript"/>
          <w:bCs/>
          <w:b/>
        </w:rPr>
        <w:t xml:space="preserve">35</w:t>
      </w:r>
      <w:r>
        <w:t xml:space="preserve"> </w:t>
      </w:r>
      <w:r>
        <w:t xml:space="preserve">wymienionych dla tego wariantu, z których sześć jest bizantyjskich (lecz wszystkie są dość odmienne). Spośród tych dziesięciu tylko dwa połączyłyby się przed V wiekiem, co pozostawia nam, jak sobie wyobrażam, trzynaście niezależnych linii przekazu (poza</w:t>
      </w:r>
      <w:r>
        <w:t xml:space="preserve"> </w:t>
      </w:r>
      <w:r>
        <w:rPr>
          <w:bCs/>
          <w:b/>
        </w:rPr>
        <w:t xml:space="preserve">f</w:t>
      </w:r>
      <w:r>
        <w:rPr>
          <w:vertAlign w:val="superscript"/>
          <w:bCs/>
          <w:b/>
        </w:rPr>
        <w:t xml:space="preserve">35</w:t>
      </w:r>
      <w:r>
        <w:t xml:space="preserve">) sięgających V wieku. Gdy cofniemy się do III wieku, nadal powinniśmy mieć co najmniej sześć niezależnych linii przekazu dla ημων. Sześć manuskryptów bizantyjskich w oczywisty sposób nie reprezentuje</w:t>
      </w:r>
      <w:r>
        <w:t xml:space="preserve"> </w:t>
      </w:r>
      <w:r>
        <w:rPr>
          <w:bCs/>
          <w:b/>
        </w:rPr>
        <w:t xml:space="preserve">K</w:t>
      </w:r>
      <w:r>
        <w:rPr>
          <w:vertAlign w:val="superscript"/>
          <w:bCs/>
          <w:b/>
        </w:rPr>
        <w:t xml:space="preserve">x</w:t>
      </w:r>
      <w:r>
        <w:t xml:space="preserve">, ponownie mamy więc odczyt, który jest z pewnością starożytny, choć niczego nie zawdzięcza</w:t>
      </w:r>
      <w:r>
        <w:t xml:space="preserve"> </w:t>
      </w:r>
      <w:r>
        <w:rPr>
          <w:bCs/>
          <w:b/>
        </w:rPr>
        <w:t xml:space="preserve">K</w:t>
      </w:r>
      <w:r>
        <w:rPr>
          <w:vertAlign w:val="superscript"/>
          <w:bCs/>
          <w:b/>
        </w:rPr>
        <w:t xml:space="preserve">x</w:t>
      </w:r>
      <w:r>
        <w:t xml:space="preserve">. Moim zdaniem jest najprawdopodobniej oryginalny.</w:t>
      </w:r>
    </w:p>
    <w:bookmarkEnd w:id="395"/>
    <w:bookmarkStart w:id="396" w:name="γαρ-411-26"/>
    <w:p>
      <w:pPr>
        <w:pStyle w:val="Heading5"/>
      </w:pPr>
      <w:r>
        <w:rPr>
          <w:iCs/>
          <w:i/>
        </w:rPr>
        <w:t xml:space="preserve">γαρ</w:t>
      </w:r>
      <w:r>
        <w:t xml:space="preserve"> </w:t>
      </w:r>
      <w:r>
        <w:t xml:space="preserve">4,11 (26%)</w:t>
      </w:r>
    </w:p>
    <w:p>
      <w:pPr>
        <w:pStyle w:val="FirstParagraph"/>
      </w:pPr>
      <w:r>
        <w:t xml:space="preserve">Wykaz manuskryptów jest tutaj podobny do wykazu dla δυναμενος, dzieli z nim 13 spośród 16 niezależnych linii i zyskuje siedem nowych (jedna jest wspólna z ιθυνοντος), co daje 20 (poza</w:t>
      </w:r>
      <w:r>
        <w:t xml:space="preserve"> </w:t>
      </w:r>
      <w:r>
        <w:rPr>
          <w:bCs/>
          <w:b/>
        </w:rPr>
        <w:t xml:space="preserve">f</w:t>
      </w:r>
      <w:r>
        <w:rPr>
          <w:vertAlign w:val="superscript"/>
          <w:bCs/>
          <w:b/>
        </w:rPr>
        <w:t xml:space="preserve">35</w:t>
      </w:r>
      <w:r>
        <w:t xml:space="preserve">). Odczyt ten jest więc również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6"/>
    <w:bookmarkStart w:id="397" w:name="ου-24-ℵ-ac-268"/>
    <w:p>
      <w:pPr>
        <w:pStyle w:val="Heading5"/>
      </w:pPr>
      <w:r>
        <w:rPr>
          <w:iCs/>
          <w:i/>
        </w:rPr>
        <w:t xml:space="preserve">ου</w:t>
      </w:r>
      <w:r>
        <w:t xml:space="preserve"> </w:t>
      </w:r>
      <w:r>
        <w:t xml:space="preserve">2,4 ℵ A,C (26,8%)</w:t>
      </w:r>
    </w:p>
    <w:p>
      <w:pPr>
        <w:pStyle w:val="FirstParagraph"/>
      </w:pPr>
      <w:r>
        <w:t xml:space="preserve">Ponieważ odczyt ten jest również wspierany przez ℵ A,C, nie ma wątpliwości co do jego wieku. Wykaz manuskryptów odtwarza tutaj wszystkie poza siedmioma manuskryptami z wykazu dla γαρ, lecz zawiera około dwudziestu dalszych manuskryptów. Ponieważ jest to jeden z zestawów uwzględnionych w</w:t>
      </w:r>
      <w:r>
        <w:t xml:space="preserve"> </w:t>
      </w:r>
      <w:r>
        <w:rPr>
          <w:iCs/>
          <w:i/>
        </w:rPr>
        <w:t xml:space="preserve">TuT</w:t>
      </w:r>
      <w:r>
        <w:t xml:space="preserve">, odsetek jest dokładny.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7"/>
    <w:bookmarkStart w:id="398" w:name="επειτα-414-295"/>
    <w:p>
      <w:pPr>
        <w:pStyle w:val="Heading5"/>
      </w:pPr>
      <w:r>
        <w:rPr>
          <w:iCs/>
          <w:i/>
        </w:rPr>
        <w:t xml:space="preserve">επειτα</w:t>
      </w:r>
      <w:r>
        <w:t xml:space="preserve"> </w:t>
      </w:r>
      <w:r>
        <w:t xml:space="preserve">4,14 (29,5%)</w:t>
      </w:r>
    </w:p>
    <w:p>
      <w:pPr>
        <w:pStyle w:val="FirstParagraph"/>
      </w:pPr>
      <w:r>
        <w:t xml:space="preserve">Wykaz manuskryptów jest tutaj dość podobny do wykazu dla γαρ, lecz jest ich mniej. Mimo to istnieje około 15 niezależnych linii przekazu.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8"/>
    <w:bookmarkStart w:id="399" w:name="νομου-123-30"/>
    <w:p>
      <w:pPr>
        <w:pStyle w:val="Heading5"/>
      </w:pPr>
      <w:r>
        <w:rPr>
          <w:iCs/>
          <w:i/>
        </w:rPr>
        <w:t xml:space="preserve">νομου</w:t>
      </w:r>
      <w:r>
        <w:t xml:space="preserve"> </w:t>
      </w:r>
      <w:r>
        <w:t xml:space="preserve">1,23 (30%)</w:t>
      </w:r>
    </w:p>
    <w:p>
      <w:pPr>
        <w:pStyle w:val="FirstParagraph"/>
      </w:pPr>
      <w:r>
        <w:t xml:space="preserve">Wykaz jest tutaj nieco inny. Jedna niezależna linia jest wspólna z ιθυνοντος, trzy z δυναμενος, dwie z ημων i dwie z γαρ, co daje już osiem niezależnych linii. Dochodzi tu jednak sześć nowych linii niezależnego przekazu, których nie ma żaden z pozostałych odczytów. Jak sobie zatem wyobrażam, w V wieku mamy 14 niezależnych linii (poza</w:t>
      </w:r>
      <w:r>
        <w:t xml:space="preserve"> </w:t>
      </w:r>
      <w:r>
        <w:rPr>
          <w:bCs/>
          <w:b/>
        </w:rPr>
        <w:t xml:space="preserve">f</w:t>
      </w:r>
      <w:r>
        <w:rPr>
          <w:vertAlign w:val="superscript"/>
          <w:bCs/>
          <w:b/>
        </w:rPr>
        <w:t xml:space="preserve">35</w:t>
      </w:r>
      <w:r>
        <w:t xml:space="preserve">). Gdy cofniemy się do III wieku, ponownie nadal powinniśmy mieć co najmniej sześć niezależnych linii przekazu dla νομου, niekoniecznie doskonale pokrywających się z którąkolwiek z pozostałych grup. Istnieje kilka manuskryptów bizantyjskich, które w oczywisty sposób nie reprezentują</w:t>
      </w:r>
      <w:r>
        <w:t xml:space="preserve"> </w:t>
      </w:r>
      <w:r>
        <w:rPr>
          <w:bCs/>
          <w:b/>
        </w:rPr>
        <w:t xml:space="preserve">K</w:t>
      </w:r>
      <w:r>
        <w:rPr>
          <w:vertAlign w:val="superscript"/>
          <w:bCs/>
          <w:b/>
        </w:rPr>
        <w:t xml:space="preserve">x</w:t>
      </w:r>
      <w:r>
        <w:t xml:space="preserve">, ponownie mamy więc odczyt, który jest z pewnością starożytny, choć niczego nie zawdzięcza</w:t>
      </w:r>
      <w:r>
        <w:t xml:space="preserve"> </w:t>
      </w:r>
      <w:r>
        <w:rPr>
          <w:bCs/>
          <w:b/>
        </w:rPr>
        <w:t xml:space="preserve">K</w:t>
      </w:r>
      <w:r>
        <w:rPr>
          <w:vertAlign w:val="superscript"/>
          <w:bCs/>
          <w:b/>
        </w:rPr>
        <w:t xml:space="preserve">x</w:t>
      </w:r>
      <w:r>
        <w:t xml:space="preserve">. Moim zdaniem jest najprawdopodobniej oryginalny.</w:t>
      </w:r>
    </w:p>
    <w:bookmarkEnd w:id="399"/>
    <w:bookmarkStart w:id="400" w:name="λαμπραν-εσθητα-23-30"/>
    <w:p>
      <w:pPr>
        <w:pStyle w:val="Heading5"/>
      </w:pPr>
      <w:r>
        <w:rPr>
          <w:iCs/>
          <w:i/>
        </w:rPr>
        <w:t xml:space="preserve">λαμπραν εσθητα</w:t>
      </w:r>
      <w:r>
        <w:t xml:space="preserve"> </w:t>
      </w:r>
      <w:r>
        <w:t xml:space="preserve">2,3 (30%)</w:t>
      </w:r>
    </w:p>
    <w:p>
      <w:pPr>
        <w:pStyle w:val="FirstParagraph"/>
      </w:pPr>
      <w:r>
        <w:t xml:space="preserve">Wykaz manuskryptów jest tutaj dość podobny do wykazu dla γαρ itd., dzieli jedną linię z ιθυνοντος, której nie ma żaden z pozostałych odczytów. Dodaje trzy nowe niezależne linie, dowody są tu zatem bardzo podobne do pozostałych.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p>
      <w:pPr>
        <w:pStyle w:val="BodyText"/>
      </w:pPr>
      <w:r>
        <w:t xml:space="preserve">Oczywiście obraz, który dotąd widzieliśmy, będzie prawdziwy dla wszystkich innych odczytów mniejszościowych, gdy przejdziemy do 35%, 40% itd.</w:t>
      </w:r>
    </w:p>
    <w:bookmarkEnd w:id="400"/>
    <w:bookmarkStart w:id="402" w:name="wniosek-2"/>
    <w:p>
      <w:pPr>
        <w:pStyle w:val="Heading5"/>
      </w:pPr>
      <w:r>
        <w:rPr>
          <w:iCs/>
          <w:i/>
        </w:rPr>
        <w:t xml:space="preserve">Wniosek</w:t>
      </w:r>
    </w:p>
    <w:p>
      <w:pPr>
        <w:pStyle w:val="FirstParagraph"/>
      </w:pPr>
      <w:r>
        <w:rPr>
          <w:bCs/>
          <w:b/>
        </w:rPr>
        <w:t xml:space="preserve">f</w:t>
      </w:r>
      <w:r>
        <w:rPr>
          <w:vertAlign w:val="superscript"/>
          <w:bCs/>
          <w:b/>
        </w:rPr>
        <w:t xml:space="preserve">35</w:t>
      </w:r>
      <w:r>
        <w:t xml:space="preserve"> </w:t>
      </w:r>
      <w:r>
        <w:t xml:space="preserve">jest starożytna i niczego nie zawdzięcza</w:t>
      </w:r>
      <w:r>
        <w:t xml:space="preserve"> </w:t>
      </w:r>
      <w:r>
        <w:rPr>
          <w:bCs/>
          <w:b/>
        </w:rPr>
        <w:t xml:space="preserve">K</w:t>
      </w:r>
      <w:r>
        <w:rPr>
          <w:vertAlign w:val="superscript"/>
          <w:bCs/>
          <w:b/>
        </w:rPr>
        <w:t xml:space="preserve">x</w:t>
      </w:r>
      <w:r>
        <w:t xml:space="preserve">. Q.E.D. Cóż, oczywiście niezupełnie. Nie żyłem w V ani w III wieku, nie mogę więc dowieść, że przedstawiony przeze mnie obraz czasowy jest poprawny. Jednak po dodaniu dowodów przedstawionych tutaj do tych przedstawionych w części „Kiedy mamy do czynienia z «recenzją»?” z czystym sumieniem twierdzę, że większość wspomnianych niezależnych linii — ιθυνοντος 5, δυναμενος 16, ημων 9, γαρ 6, νομου 6, λαμπραν εσθητα 3, co równa się</w:t>
      </w:r>
      <w:r>
        <w:t xml:space="preserve"> </w:t>
      </w:r>
      <w:r>
        <w:rPr>
          <w:u w:val="single"/>
          <w:bCs/>
          <w:b/>
        </w:rPr>
        <w:t xml:space="preserve">45</w:t>
      </w:r>
      <w:r>
        <w:t xml:space="preserve"> </w:t>
      </w:r>
      <w:r>
        <w:t xml:space="preserve">— prawdopodobnie sięga co najmniej V wieku. Jest wysoce nieprawdopodobne, by w III wieku 45 linii zredukowało się do mniej niż 15. (A wszystkie te 15 wspierają</w:t>
      </w:r>
      <w:r>
        <w:t xml:space="preserve"> </w:t>
      </w:r>
      <w:r>
        <w:rPr>
          <w:bCs/>
          <w:b/>
        </w:rPr>
        <w:t xml:space="preserve">f</w:t>
      </w:r>
      <w:r>
        <w:rPr>
          <w:vertAlign w:val="superscript"/>
          <w:bCs/>
          <w:b/>
        </w:rPr>
        <w:t xml:space="preserve">35</w:t>
      </w:r>
      <w:r>
        <w:t xml:space="preserve"> </w:t>
      </w:r>
      <w:r>
        <w:t xml:space="preserve">przeciwko</w:t>
      </w:r>
      <w:r>
        <w:t xml:space="preserve"> </w:t>
      </w:r>
      <w:r>
        <w:rPr>
          <w:bCs/>
          <w:b/>
        </w:rPr>
        <w:t xml:space="preserve">K</w:t>
      </w:r>
      <w:r>
        <w:rPr>
          <w:vertAlign w:val="superscript"/>
          <w:bCs/>
          <w:b/>
        </w:rPr>
        <w:t xml:space="preserve">x</w:t>
      </w:r>
      <w:r>
        <w:t xml:space="preserve">, w takim czy innym miejscu — na tej samej zasadzie w innych miejscach idą z</w:t>
      </w:r>
      <w:r>
        <w:t xml:space="preserve"> </w:t>
      </w:r>
      <w:r>
        <w:rPr>
          <w:bCs/>
          <w:b/>
        </w:rPr>
        <w:t xml:space="preserve">K</w:t>
      </w:r>
      <w:r>
        <w:rPr>
          <w:vertAlign w:val="superscript"/>
          <w:bCs/>
          <w:b/>
        </w:rPr>
        <w:t xml:space="preserve">x</w:t>
      </w:r>
      <w:r>
        <w:t xml:space="preserve"> </w:t>
      </w:r>
      <w:r>
        <w:t xml:space="preserve">przeciwko</w:t>
      </w:r>
      <w:r>
        <w:t xml:space="preserve"> </w:t>
      </w:r>
      <w:r>
        <w:rPr>
          <w:bCs/>
          <w:b/>
        </w:rPr>
        <w:t xml:space="preserve">f</w:t>
      </w:r>
      <w:r>
        <w:rPr>
          <w:vertAlign w:val="superscript"/>
          <w:bCs/>
          <w:b/>
        </w:rPr>
        <w:t xml:space="preserve">35</w:t>
      </w:r>
      <w:r>
        <w:t xml:space="preserve">, zatem</w:t>
      </w:r>
      <w:r>
        <w:t xml:space="preserve"> </w:t>
      </w:r>
      <w:r>
        <w:rPr>
          <w:bCs/>
          <w:b/>
        </w:rPr>
        <w:t xml:space="preserve">K</w:t>
      </w:r>
      <w:r>
        <w:rPr>
          <w:vertAlign w:val="superscript"/>
          <w:bCs/>
          <w:b/>
        </w:rPr>
        <w:t xml:space="preserve">x</w:t>
      </w:r>
      <w:r>
        <w:t xml:space="preserve"> </w:t>
      </w:r>
      <w:r>
        <w:t xml:space="preserve">również jest starożytna). Zwracam uwagę na słowa Kilpatricka.</w:t>
      </w:r>
    </w:p>
    <w:p>
      <w:pPr>
        <w:pStyle w:val="BlockText"/>
      </w:pPr>
      <w:r>
        <w:t xml:space="preserve">Postępowanie Orygenesa z Ewangelią Mateusza 19,19 ma znaczenie także z dwóch innych względów. Po pierwsze, był on prawdopodobnie najbardziej wpływowym komentatorem starożytnego Kościoła, a mimo to jego koniektura w tym miejscu najwyraźniej wpłynęła tylko na jeden manuskrypt lokalnego przekładu Nowego Testamentu. Wydaje się, że nie miała żadnego wpływu na tradycję grecką. Od III wieku nawet Orygenes nie mógł skutecznie zmienić tekstu.</w:t>
      </w:r>
    </w:p>
    <w:p>
      <w:pPr>
        <w:pStyle w:val="BlockText"/>
      </w:pPr>
      <w:r>
        <w:t xml:space="preserve">To prowadzi nas do drugiego znaczącego punktu — jego daty. Od początku III wieku nie można już było korzystać ze swobody zmieniania tekstu, która istniała wcześniej. Tacjan jest ostatnim autorem, o którym mamy wyraźną informację, że dokonywał celowych zmian w tekście. Między Tacjanem a Orygenesem opinia chrześcijańska zmieniła się tak bardzo, że dokonywanie zmian w tekście, niezależnie od tego, czy były nieszkodliwe, czy nie, nie było już możliwe.</w:t>
      </w:r>
      <w:r>
        <w:rPr>
          <w:rStyle w:val="FootnoteReference"/>
        </w:rPr>
        <w:footnoteReference w:id="401"/>
      </w:r>
    </w:p>
    <w:p>
      <w:pPr>
        <w:pStyle w:val="FirstParagraph"/>
      </w:pPr>
      <w:r>
        <w:t xml:space="preserve">Wydaje mi się, że uwaga Kilpatricka jest oczywista. Najwyraźniej zdarzały się sporadyczne wyjątki, zwłaszcza na odległych obszarach, takich jak Egipt, gdzie nie mówiono już po grecku. Po kampanii Dioklecjana (303) większość mnichów po prostu kopiowała to, co miała przed sobą. Większość z 45 wspomnianych wyżej linii przekazu prawdopodobnie istniała już w roku 300).</w:t>
      </w:r>
    </w:p>
    <w:bookmarkEnd w:id="402"/>
    <w:bookmarkEnd w:id="403"/>
    <w:bookmarkEnd w:id="404"/>
    <w:bookmarkStart w:id="418" w:name="list-piotra"/>
    <w:p>
      <w:pPr>
        <w:pStyle w:val="Heading3"/>
      </w:pPr>
      <w:r>
        <w:t xml:space="preserve">1 List Piotra</w:t>
      </w:r>
    </w:p>
    <w:p>
      <w:pPr>
        <w:pStyle w:val="FirstParagraph"/>
      </w:pPr>
      <w:r>
        <w:t xml:space="preserve">Podobnie jak w przypadku Listu Jakuba,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05" w:name="concordia-discors-1"/>
    <w:p>
      <w:pPr>
        <w:pStyle w:val="Heading4"/>
      </w:pPr>
      <w:r>
        <w:rPr>
          <w:iCs/>
          <w:i/>
        </w:rPr>
        <w:t xml:space="preserve">Concordia discors</w:t>
      </w:r>
    </w:p>
    <w:p>
      <w:pPr>
        <w:pStyle w:val="FirstParagraph"/>
      </w:pPr>
      <w:r>
        <w:t xml:space="preserve">Cztery z tych uncjałów zachowały się w 1 Liście Piotra (ℵABC), do których dodaję P</w:t>
      </w:r>
      <w:r>
        <w:rPr>
          <w:vertAlign w:val="superscript"/>
        </w:rPr>
        <w:t xml:space="preserve">72</w:t>
      </w:r>
      <w:r>
        <w:t xml:space="preserve"> </w:t>
      </w:r>
      <w:r>
        <w:t xml:space="preserve">(niezachowany jeszcze w czasach Burgona), a to, co Burgon nazywa ich „ekscentryczną skłonnością”, jest wyraźnie widoczne. Ekscentryczność ta dowodzi ich niezależności, co będzie szczególnie istotne w dalszym ciągu. Przedstawiam w tabeli ich zachowanie w 141 istotnych zestawach wariantów (pomijając 13 z</w:t>
      </w:r>
      <w:r>
        <w:t xml:space="preserve"> </w:t>
      </w:r>
      <w:r>
        <w:rPr>
          <w:iCs/>
          <w:i/>
        </w:rPr>
        <w:t xml:space="preserve">rell</w:t>
      </w:r>
      <w:r>
        <w:t xml:space="preserve">) uwzględnionych w aparacie krytycznym mojego wydania greckiego Tekstu 1 Listu Piotra.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46</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9</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8</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8</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jc w:val="right"/>
            </w:pPr>
            <w:r>
              <w:t xml:space="preserve">13</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72</w:t>
            </w:r>
          </w:p>
        </w:tc>
        <w:tc>
          <w:tcPr/>
          <w:p>
            <w:pPr>
              <w:pStyle w:val="Compact"/>
              <w:jc w:val="right"/>
            </w:pPr>
            <w:r>
              <w:t xml:space="preserve">32</w:t>
            </w:r>
          </w:p>
        </w:tc>
        <w:tc>
          <w:tcPr/>
          <w:p>
            <w:pPr>
              <w:pStyle w:val="Compact"/>
            </w:pPr>
          </w:p>
        </w:tc>
      </w:tr>
      <w:tr>
        <w:tc>
          <w:tcPr/>
          <w:p>
            <w:pPr>
              <w:pStyle w:val="Compact"/>
              <w:jc w:val="left"/>
            </w:pPr>
            <w:r>
              <w:t xml:space="preserve">z udziałem ℵ</w:t>
            </w:r>
          </w:p>
        </w:tc>
        <w:tc>
          <w:tcPr/>
          <w:p>
            <w:pPr>
              <w:pStyle w:val="Compact"/>
              <w:jc w:val="right"/>
            </w:pPr>
            <w:r>
              <w:t xml:space="preserve">37</w:t>
            </w:r>
          </w:p>
        </w:tc>
        <w:tc>
          <w:tcPr/>
          <w:p>
            <w:pPr>
              <w:pStyle w:val="Compact"/>
            </w:pPr>
          </w:p>
        </w:tc>
      </w:tr>
      <w:tr>
        <w:tc>
          <w:tcPr/>
          <w:p>
            <w:pPr>
              <w:pStyle w:val="Compact"/>
              <w:jc w:val="left"/>
            </w:pPr>
            <w:r>
              <w:t xml:space="preserve">z udziałem A</w:t>
            </w:r>
          </w:p>
        </w:tc>
        <w:tc>
          <w:tcPr/>
          <w:p>
            <w:pPr>
              <w:pStyle w:val="Compact"/>
              <w:jc w:val="right"/>
            </w:pPr>
            <w:r>
              <w:t xml:space="preserve">42</w:t>
            </w:r>
          </w:p>
        </w:tc>
        <w:tc>
          <w:tcPr/>
          <w:p>
            <w:pPr>
              <w:pStyle w:val="Compact"/>
            </w:pPr>
          </w:p>
        </w:tc>
      </w:tr>
      <w:tr>
        <w:tc>
          <w:tcPr/>
          <w:p>
            <w:pPr>
              <w:pStyle w:val="Compact"/>
              <w:jc w:val="left"/>
            </w:pPr>
            <w:r>
              <w:t xml:space="preserve">z udziałem B</w:t>
            </w:r>
          </w:p>
        </w:tc>
        <w:tc>
          <w:tcPr/>
          <w:p>
            <w:pPr>
              <w:pStyle w:val="Compact"/>
              <w:jc w:val="right"/>
            </w:pPr>
            <w:r>
              <w:t xml:space="preserve">25</w:t>
            </w:r>
          </w:p>
        </w:tc>
        <w:tc>
          <w:tcPr/>
          <w:p>
            <w:pPr>
              <w:pStyle w:val="Compact"/>
            </w:pPr>
          </w:p>
        </w:tc>
      </w:tr>
      <w:tr>
        <w:tc>
          <w:tcPr/>
          <w:p>
            <w:pPr>
              <w:pStyle w:val="Compact"/>
              <w:jc w:val="left"/>
            </w:pPr>
            <w:r>
              <w:t xml:space="preserve">z udziałem C</w:t>
            </w:r>
          </w:p>
        </w:tc>
        <w:tc>
          <w:tcPr/>
          <w:p>
            <w:pPr>
              <w:pStyle w:val="Compact"/>
              <w:jc w:val="right"/>
            </w:pPr>
            <w:r>
              <w:t xml:space="preserve">34</w:t>
            </w:r>
          </w:p>
        </w:tc>
        <w:tc>
          <w:tcPr/>
          <w:p>
            <w:pPr>
              <w:pStyle w:val="Compact"/>
              <w:jc w:val="left"/>
            </w:pPr>
            <w:r>
              <w:t xml:space="preserve">(Brakuje C od 4,6 do końca, gdyby się zachował, kilka powyższych liczb uległoby zmianie).</w:t>
            </w:r>
          </w:p>
        </w:tc>
      </w:tr>
    </w:tbl>
    <w:p>
      <w:pPr>
        <w:pStyle w:val="BodyText"/>
      </w:pPr>
      <w:r>
        <w:t xml:space="preserve">W 128 pozostałych zestawach wariantów (141 minus 13)</w:t>
      </w:r>
      <w:r>
        <w:t xml:space="preserve"> </w:t>
      </w:r>
      <w:r>
        <w:rPr>
          <w:bCs/>
          <w:b/>
        </w:rPr>
        <w:t xml:space="preserve">f</w:t>
      </w:r>
      <w:r>
        <w:rPr>
          <w:vertAlign w:val="superscript"/>
          <w:bCs/>
          <w:b/>
        </w:rPr>
        <w:t xml:space="preserve">35</w:t>
      </w:r>
      <w:r>
        <w:t xml:space="preserve"> </w:t>
      </w:r>
      <w:r>
        <w:t xml:space="preserve">ma jawne poświadczenie tych wczesnych uncjałów w 64%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05"/>
    <w:bookmarkStart w:id="417" w:name="odczyty-mniejszościowe-f35-1"/>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dziewięć odczytów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dziewięć odczytów, zaczynając od najmniejszego odsetka.</w:t>
      </w:r>
    </w:p>
    <w:bookmarkStart w:id="407" w:name="τη-αγαθη-εν-χριστω-αναστροφη-316-20"/>
    <w:p>
      <w:pPr>
        <w:pStyle w:val="Heading5"/>
      </w:pPr>
      <w:r>
        <w:rPr>
          <w:iCs/>
          <w:i/>
        </w:rPr>
        <w:t xml:space="preserve">τη αγαθη εν Χριστω αναστροφη</w:t>
      </w:r>
      <w:r>
        <w:t xml:space="preserve"> </w:t>
      </w:r>
      <w:r>
        <w:t xml:space="preserve">3,16 (20%)</w:t>
      </w:r>
    </w:p>
    <w:p>
      <w:pPr>
        <w:pStyle w:val="FirstParagraph"/>
      </w:pPr>
      <w:r>
        <w:rPr>
          <w:iCs/>
          <w:i/>
        </w:rPr>
        <w:t xml:space="preserve">ECM</w:t>
      </w:r>
      <w:r>
        <w:t xml:space="preserve"> </w:t>
      </w:r>
      <w:r>
        <w:t xml:space="preserve">wymienia dla celownika jedynie rękopisy kursywne 18 i 35. Ku mojemu rozczarowaniu von Soden go nie wspomina, czyni to jednak Tischendorf, przytaczając swoje rękopisy kursywne 38 i 93 (Gregory 328 i 205), co potwierdza, że celownik jest odczytem</w:t>
      </w:r>
      <w:r>
        <w:t xml:space="preserve"> </w:t>
      </w:r>
      <w:r>
        <w:rPr>
          <w:bCs/>
          <w:b/>
        </w:rPr>
        <w:t xml:space="preserve">f</w:t>
      </w:r>
      <w:r>
        <w:rPr>
          <w:vertAlign w:val="superscript"/>
          <w:bCs/>
          <w:b/>
        </w:rPr>
        <w:t xml:space="preserve">35</w:t>
      </w:r>
      <w:r>
        <w:t xml:space="preserve">. Tischendorf przytacza dla celownika również swój 137 (Gregory 614), który ma „niezależny” profil. Wiemy zatem, że celownik nie przetrwał wyłącznie w</w:t>
      </w:r>
      <w:r>
        <w:t xml:space="preserve"> </w:t>
      </w:r>
      <w:r>
        <w:rPr>
          <w:bCs/>
          <w:b/>
        </w:rPr>
        <w:t xml:space="preserve">f</w:t>
      </w:r>
      <w:r>
        <w:rPr>
          <w:vertAlign w:val="superscript"/>
          <w:bCs/>
          <w:b/>
        </w:rPr>
        <w:t xml:space="preserve">35</w:t>
      </w:r>
      <w:r>
        <w:t xml:space="preserve">. Celownik jest poprawny jako dopełnienie επηρεαζω, lecz kopiści nieznający tej osobliwości w naturalny sposób „poprawiliby” go na biernik.</w:t>
      </w:r>
      <w:r>
        <w:t xml:space="preserve"> </w:t>
      </w:r>
      <w:r>
        <w:rPr>
          <w:iCs/>
          <w:i/>
        </w:rPr>
        <w:t xml:space="preserve">ECM</w:t>
      </w:r>
      <w:r>
        <w:t xml:space="preserve"> </w:t>
      </w:r>
      <w:r>
        <w:t xml:space="preserve">wymienia 15 wariantów sześciowyrazowego wyrażenia. Jednym z moich założeń wstępnych jest to, że księgi Nowego Testamentu zostały natchnione przez Ducha Świętego, zakładam więc, że wiedział On, jak pisać poprawną greką koine.</w:t>
      </w:r>
    </w:p>
    <w:p>
      <w:pPr>
        <w:pStyle w:val="BodyText"/>
      </w:pPr>
      <w:r>
        <w:t xml:space="preserve">W ciągu ostatnich 150 lat kanon „trudniejszego odczytu” szeroko wykorzystywano, by przypisywać Janowi, Piotrowi itd. rozmaite językowe barbarzyństwa, byli przecież nieuczonymi rybakami, galilejskimi prostakami czy kimkolwiek innym. Zatrzymajmy się jednak na chwilę i pomyślmy. Po Pięćdziesiątnicy, gdy Kościół gwałtownie się rozrastał i stało się oczywiste, że Apostołowie będą musieli wiele podróżować, prowadzić „międzynarodową” służbę, czy nie podszkoliliby swojej greki (a nawet łaciny)? Będąc na miejscu Piotra, z pewnością bym to uczynił. Innymi słowy, utrzymuję, że Piotr, Jan i Jakub byli w pełni zdolni pisać dobrą, czyli poprawną greką.</w:t>
      </w:r>
      <w:r>
        <w:rPr>
          <w:rStyle w:val="FootnoteReference"/>
        </w:rPr>
        <w:footnoteReference w:id="406"/>
      </w:r>
      <w:r>
        <w:t xml:space="preserve"> </w:t>
      </w:r>
      <w:r>
        <w:t xml:space="preserve">Dla mnie znamienne jest to, że</w:t>
      </w:r>
      <w:r>
        <w:t xml:space="preserve"> </w:t>
      </w:r>
      <w:r>
        <w:rPr>
          <w:bCs/>
          <w:b/>
        </w:rPr>
        <w:t xml:space="preserve">f</w:t>
      </w:r>
      <w:r>
        <w:rPr>
          <w:vertAlign w:val="superscript"/>
          <w:bCs/>
          <w:b/>
        </w:rPr>
        <w:t xml:space="preserve">35</w:t>
      </w:r>
      <w:r>
        <w:t xml:space="preserve"> </w:t>
      </w:r>
      <w:r>
        <w:t xml:space="preserve">zwykle staje po stronie odczytu poprawnego gramatycznie, tak jak w tym przypadku.</w:t>
      </w:r>
    </w:p>
    <w:bookmarkEnd w:id="407"/>
    <w:bookmarkStart w:id="408" w:name="δοξαζηται-θεος-411-20"/>
    <w:p>
      <w:pPr>
        <w:pStyle w:val="Heading5"/>
      </w:pPr>
      <w:r>
        <w:rPr>
          <w:iCs/>
          <w:i/>
        </w:rPr>
        <w:t xml:space="preserve">δοξαζηται Θεος</w:t>
      </w:r>
      <w:r>
        <w:t xml:space="preserve"> </w:t>
      </w:r>
      <w:r>
        <w:t xml:space="preserve">4,11 (20%)</w:t>
      </w:r>
    </w:p>
    <w:p>
      <w:pPr>
        <w:pStyle w:val="FirstParagraph"/>
      </w:pPr>
      <w:r>
        <w:t xml:space="preserve">Ponownie</w:t>
      </w:r>
      <w:r>
        <w:t xml:space="preserve"> </w:t>
      </w:r>
      <w:r>
        <w:rPr>
          <w:iCs/>
          <w:i/>
        </w:rPr>
        <w:t xml:space="preserve">ECM</w:t>
      </w:r>
      <w:r>
        <w:t xml:space="preserve"> </w:t>
      </w:r>
      <w:r>
        <w:t xml:space="preserve">wymienia dla tego wariantu tylko rękopisy kursywne 18 i 35. Ku mojemu rozczarowaniu nie wspomina o nim ani von Soden, ani Tischendorf. Jak jednak ilustruje Tischendorf w przypadku powyższego wariantu, niemal na pewno istnieją nieskolacjonowane przez</w:t>
      </w:r>
      <w:r>
        <w:t xml:space="preserve"> </w:t>
      </w:r>
      <w:r>
        <w:rPr>
          <w:iCs/>
          <w:i/>
        </w:rPr>
        <w:t xml:space="preserve">ECM</w:t>
      </w:r>
      <w:r>
        <w:t xml:space="preserve"> </w:t>
      </w:r>
      <w:r>
        <w:t xml:space="preserve">manuskrypty, które stają tutaj po stronie</w:t>
      </w:r>
      <w:r>
        <w:t xml:space="preserve"> </w:t>
      </w:r>
      <w:r>
        <w:rPr>
          <w:bCs/>
          <w:b/>
        </w:rPr>
        <w:t xml:space="preserve">f</w:t>
      </w:r>
      <w:r>
        <w:rPr>
          <w:vertAlign w:val="superscript"/>
          <w:bCs/>
          <w:b/>
        </w:rPr>
        <w:t xml:space="preserve">35</w:t>
      </w:r>
      <w:r>
        <w:t xml:space="preserve"> </w:t>
      </w:r>
      <w:r>
        <w:t xml:space="preserve">(niestety</w:t>
      </w:r>
      <w:r>
        <w:t xml:space="preserve"> </w:t>
      </w:r>
      <w:r>
        <w:rPr>
          <w:iCs/>
          <w:i/>
        </w:rPr>
        <w:t xml:space="preserve">TuT</w:t>
      </w:r>
      <w:r>
        <w:t xml:space="preserve"> </w:t>
      </w:r>
      <w:r>
        <w:t xml:space="preserve">nie uwzględnia tego zestawu). Brak rodzajnika podkreśla immanentną cechę rzeczownika, co odpowiada kontekstowi. Łącząc kontekst ze „średnią skuteczności”, czyli współczynnikiem wiarygodności, pozostaję tutaj przy</w:t>
      </w:r>
      <w:r>
        <w:t xml:space="preserve"> </w:t>
      </w:r>
      <w:r>
        <w:rPr>
          <w:bCs/>
          <w:b/>
        </w:rPr>
        <w:t xml:space="preserve">f</w:t>
      </w:r>
      <w:r>
        <w:rPr>
          <w:vertAlign w:val="superscript"/>
          <w:bCs/>
          <w:b/>
        </w:rPr>
        <w:t xml:space="preserve">35</w:t>
      </w:r>
      <w:r>
        <w:t xml:space="preserve">.</w:t>
      </w:r>
    </w:p>
    <w:bookmarkEnd w:id="408"/>
    <w:bookmarkStart w:id="409" w:name="του-42-22"/>
    <w:p>
      <w:pPr>
        <w:pStyle w:val="Heading5"/>
      </w:pPr>
      <w:r>
        <w:rPr>
          <w:iCs/>
          <w:i/>
        </w:rPr>
        <w:t xml:space="preserve">του</w:t>
      </w:r>
      <w:r>
        <w:t xml:space="preserve"> </w:t>
      </w:r>
      <w:r>
        <w:t xml:space="preserve">4,2 (22%)</w:t>
      </w:r>
    </w:p>
    <w:p>
      <w:pPr>
        <w:pStyle w:val="FirstParagraph"/>
      </w:pPr>
      <w:r>
        <w:t xml:space="preserve">Większość spośród czternastu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występuje również przy δυναμενος w Liście Jakuba 3,2. Jak sobie wyobrażam, tych czternaście redukuje się w V wieku do ośmiu niezależnych linii przekazu, z których niektóre sięgają III wieku. Wybór między obecnością a brakiem rodzajnika ma tutaj niewielki wpływ na sens, dlatego ze względu na jej współczynnik wiarygodności pozostaję przy</w:t>
      </w:r>
      <w:r>
        <w:t xml:space="preserve"> </w:t>
      </w:r>
      <w:r>
        <w:rPr>
          <w:bCs/>
          <w:b/>
        </w:rPr>
        <w:t xml:space="preserve">f</w:t>
      </w:r>
      <w:r>
        <w:rPr>
          <w:vertAlign w:val="superscript"/>
          <w:bCs/>
          <w:b/>
        </w:rPr>
        <w:t xml:space="preserve">35</w:t>
      </w:r>
      <w:r>
        <w:t xml:space="preserve">.</w:t>
      </w:r>
    </w:p>
    <w:bookmarkEnd w:id="409"/>
    <w:bookmarkStart w:id="410" w:name="και-221-p72-23"/>
    <w:p>
      <w:pPr>
        <w:pStyle w:val="Heading5"/>
      </w:pPr>
      <w:r>
        <w:rPr>
          <w:iCs/>
          <w:i/>
        </w:rPr>
        <w:t xml:space="preserve">και</w:t>
      </w:r>
      <w:r>
        <w:t xml:space="preserve"> </w:t>
      </w:r>
      <w:r>
        <w:t xml:space="preserve">2,21 P</w:t>
      </w:r>
      <w:r>
        <w:rPr>
          <w:vertAlign w:val="superscript"/>
        </w:rPr>
        <w:t xml:space="preserve">72</w:t>
      </w:r>
      <w:r>
        <w:t xml:space="preserve"> </w:t>
      </w:r>
      <w:r>
        <w:t xml:space="preserve">(23%)</w:t>
      </w:r>
    </w:p>
    <w:p>
      <w:pPr>
        <w:pStyle w:val="FirstParagraph"/>
      </w:pPr>
      <w:r>
        <w:t xml:space="preserve">Wariant ten jest również poświadczony przez czternaście manuskryptów spoza</w:t>
      </w:r>
      <w:r>
        <w:t xml:space="preserve"> </w:t>
      </w:r>
      <w:r>
        <w:rPr>
          <w:bCs/>
          <w:b/>
        </w:rPr>
        <w:t xml:space="preserve">f</w:t>
      </w:r>
      <w:r>
        <w:rPr>
          <w:vertAlign w:val="superscript"/>
          <w:bCs/>
          <w:b/>
        </w:rPr>
        <w:t xml:space="preserve">35</w:t>
      </w:r>
      <w:r>
        <w:t xml:space="preserve"> </w:t>
      </w:r>
      <w:r>
        <w:t xml:space="preserve">(wymienionych przez</w:t>
      </w:r>
      <w:r>
        <w:t xml:space="preserve"> </w:t>
      </w:r>
      <w:r>
        <w:rPr>
          <w:iCs/>
          <w:i/>
        </w:rPr>
        <w:t xml:space="preserve">ECM</w:t>
      </w:r>
      <w:r>
        <w:t xml:space="preserve">), lecz tylko cztery są wspólne z poprzednim. Tym razem występuje większe zróżnicowanie i tylko dwie pary, dlatego w V wieku nadal mamy dwanaście linii, z których, jak sobie wyobrażam, większość sięga III wieku. P</w:t>
      </w:r>
      <w:r>
        <w:rPr>
          <w:vertAlign w:val="superscript"/>
        </w:rPr>
        <w:t xml:space="preserve">72</w:t>
      </w:r>
      <w:r>
        <w:t xml:space="preserve"> </w:t>
      </w:r>
      <w:r>
        <w:t xml:space="preserve">zapewnia jawne poświadczenie z III wieku. Odczyt większości jest całkowicie normalny i ma znakomity sens, gdyby zatem był oryginalny, nie odczuwano by potrzeby jego zmieniania. Z drugiej strony και stojące obok γαρ mogło łatwo wydać się zbędne, co skłoniłoby kopistów do jego usunięcia. W kontekście emfatyczne użycie dobrze pasuje. Odczyt ten jest z pewnością wczesny i niezależny, a moim zdaniem najprawdopodobniej oryginalny.</w:t>
      </w:r>
    </w:p>
    <w:bookmarkEnd w:id="410"/>
    <w:bookmarkStart w:id="411" w:name="περιερχεται-58-24"/>
    <w:p>
      <w:pPr>
        <w:pStyle w:val="Heading5"/>
      </w:pPr>
      <w:r>
        <w:rPr>
          <w:iCs/>
          <w:i/>
        </w:rPr>
        <w:t xml:space="preserve">περιερχεται</w:t>
      </w:r>
      <w:r>
        <w:t xml:space="preserve"> </w:t>
      </w:r>
      <w:r>
        <w:t xml:space="preserve">5,8 (24%)</w:t>
      </w:r>
    </w:p>
    <w:p>
      <w:pPr>
        <w:pStyle w:val="FirstParagraph"/>
      </w:pPr>
      <w:r>
        <w:t xml:space="preserve">Dwadzieścia jeden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wszystkie poza jednym spośród manuskryptów wymienionych wyżej dla του oraz osiem innych. Istnieje kilka grup, lecz w V wieku byłoby co najmniej dziesięć niezależnych linii, z których, jak sobie wyobrażam, co najmniej połowa powinna sięgać III wieku. Lew nie wyszedł na popołudniowy spacer, krąży wokół zdobyczy, szukając sposobności. Περιερχεται jest wczesne, niezależne i poprawne, a moim zdaniem niemal na pewno oryginalne.</w:t>
      </w:r>
    </w:p>
    <w:bookmarkEnd w:id="411"/>
    <w:bookmarkStart w:id="412" w:name="ημερας-ιδειν-310-c-26"/>
    <w:p>
      <w:pPr>
        <w:pStyle w:val="Heading5"/>
      </w:pPr>
      <w:r>
        <w:rPr>
          <w:iCs/>
          <w:i/>
        </w:rPr>
        <w:t xml:space="preserve">ημερας ιδειν</w:t>
      </w:r>
      <w:r>
        <w:t xml:space="preserve"> </w:t>
      </w:r>
      <w:r>
        <w:t xml:space="preserve">3,10 C (26%)</w:t>
      </w:r>
    </w:p>
    <w:p>
      <w:pPr>
        <w:pStyle w:val="FirstParagraph"/>
      </w:pPr>
      <w:r>
        <w:t xml:space="preserve">Dwadzieścia sześć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tworzy kilka grup, lecz w V wieku byłoby co najmniej piętnaście niezależnych linii — kodeks C zapewnia jawne poświadczenie z V wieku — z których, jak sobie wyobrażam, co najmniej połowa powinna sięgać III wieku. Ponieważ jest to część cytatu z Psalmów, Septuaginta mogła odegrać pewną rolę, lecz jaką? Kodeks B ma taki sam szyk wyrazów w swojej Septuagincie Psalmów i tutaj u Piotra, podczas gdy kodeks C zgadza się z drukowaną Septuagintą. Kto więc upodobnił się do kogo? Szyk wyrazów poświadczony przez</w:t>
      </w:r>
      <w:r>
        <w:t xml:space="preserve"> </w:t>
      </w:r>
      <w:r>
        <w:rPr>
          <w:bCs/>
          <w:b/>
        </w:rPr>
        <w:t xml:space="preserve">f</w:t>
      </w:r>
      <w:r>
        <w:rPr>
          <w:vertAlign w:val="superscript"/>
          <w:bCs/>
          <w:b/>
        </w:rPr>
        <w:t xml:space="preserve">35</w:t>
      </w:r>
      <w:r>
        <w:t xml:space="preserve"> </w:t>
      </w:r>
      <w:r>
        <w:t xml:space="preserve">wydaje się mniej gładki niż szyk większości i mógł dać mu początek. W każdym razie ημερας ιδειν jest wczesne, niezależne i moim zdaniem prawdopodobnie oryginalne.</w:t>
      </w:r>
    </w:p>
    <w:bookmarkEnd w:id="412"/>
    <w:bookmarkStart w:id="413" w:name="χρονος-43-p72-ℵabc-26"/>
    <w:p>
      <w:pPr>
        <w:pStyle w:val="Heading5"/>
      </w:pPr>
      <w:r>
        <w:rPr>
          <w:iCs/>
          <w:i/>
        </w:rPr>
        <w:t xml:space="preserve">χρονος</w:t>
      </w:r>
      <w:r>
        <w:t xml:space="preserve"> </w:t>
      </w:r>
      <w:r>
        <w:t xml:space="preserve">4,3 P</w:t>
      </w:r>
      <w:r>
        <w:rPr>
          <w:vertAlign w:val="superscript"/>
        </w:rPr>
        <w:t xml:space="preserve">72</w:t>
      </w:r>
      <w:r>
        <w:t xml:space="preserve"> </w:t>
      </w:r>
      <w:r>
        <w:t xml:space="preserve">ℵABC (26%)</w:t>
      </w:r>
    </w:p>
    <w:p>
      <w:pPr>
        <w:pStyle w:val="FirstParagraph"/>
      </w:pPr>
      <w:r>
        <w:t xml:space="preserve">Trzydzieści osiem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wszystkie pięć wczesnych uncjałów, nie ma więc wątpliwości co do wieku. (Zaledwie dwa słowa dalej te same pięć wczesnych uncjałów ma βουλημα zamiast θελημα, co pokazuje, że</w:t>
      </w:r>
      <w:r>
        <w:t xml:space="preserve"> </w:t>
      </w:r>
      <w:r>
        <w:rPr>
          <w:bCs/>
          <w:b/>
        </w:rPr>
        <w:t xml:space="preserve">f</w:t>
      </w:r>
      <w:r>
        <w:rPr>
          <w:vertAlign w:val="superscript"/>
          <w:bCs/>
          <w:b/>
        </w:rPr>
        <w:t xml:space="preserve">35</w:t>
      </w:r>
      <w:r>
        <w:t xml:space="preserve"> </w:t>
      </w:r>
      <w:r>
        <w:t xml:space="preserve">jest od nich niezależna). W V wieku będzie ponad dwadzieścia niezależnych linii, z których, jak sobie wyobrażam, co najmniej połowa powinna sięgać III wieku. Wersety 2-3</w:t>
      </w:r>
      <w:r>
        <w:rPr>
          <w:vertAlign w:val="superscript"/>
        </w:rPr>
        <w:t xml:space="preserve">a</w:t>
      </w:r>
      <w:r>
        <w:t xml:space="preserve"> </w:t>
      </w:r>
      <w:r>
        <w:t xml:space="preserve">oddałbym następująco: „…aby przez pozostały czas w ciele nie żyć już dla ludzkich pożądliwości, lecz dla woli Boga. Ponieważ czas, który przeminął, wystarczy wam do pełnienia woli pogan…”. Wyrażenie „życia” zawadza.</w:t>
      </w:r>
      <w:r>
        <w:t xml:space="preserve"> </w:t>
      </w:r>
      <w:r>
        <w:rPr>
          <w:bCs/>
          <w:b/>
        </w:rPr>
        <w:t xml:space="preserve">f</w:t>
      </w:r>
      <w:r>
        <w:rPr>
          <w:vertAlign w:val="superscript"/>
          <w:bCs/>
          <w:b/>
        </w:rPr>
        <w:t xml:space="preserve">35</w:t>
      </w:r>
      <w:r>
        <w:t xml:space="preserve"> </w:t>
      </w:r>
      <w:r>
        <w:t xml:space="preserve">jest wczesna i niezależna, uważam, że jej odczyt jest tutaj najprawdopodobniej oryginalny.</w:t>
      </w:r>
    </w:p>
    <w:bookmarkEnd w:id="413"/>
    <w:bookmarkStart w:id="414" w:name="αιωνας-411-p72-27"/>
    <w:p>
      <w:pPr>
        <w:pStyle w:val="Heading5"/>
      </w:pPr>
      <w:r>
        <w:rPr>
          <w:iCs/>
          <w:i/>
        </w:rPr>
        <w:t xml:space="preserve">αιωνας</w:t>
      </w:r>
      <w:r>
        <w:t xml:space="preserve"> </w:t>
      </w:r>
      <w:r>
        <w:t xml:space="preserve">4,11 P</w:t>
      </w:r>
      <w:r>
        <w:rPr>
          <w:vertAlign w:val="superscript"/>
        </w:rPr>
        <w:t xml:space="preserve">72</w:t>
      </w:r>
      <w:r>
        <w:t xml:space="preserve"> </w:t>
      </w:r>
      <w:r>
        <w:t xml:space="preserve">(27%)</w:t>
      </w:r>
    </w:p>
    <w:p>
      <w:pPr>
        <w:pStyle w:val="FirstParagraph"/>
      </w:pPr>
      <w:r>
        <w:t xml:space="preserve">Trzydzieści jeden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P</w:t>
      </w:r>
      <w:r>
        <w:rPr>
          <w:vertAlign w:val="superscript"/>
        </w:rPr>
        <w:t xml:space="preserve">72</w:t>
      </w:r>
      <w:r>
        <w:t xml:space="preserve">, nie ma więc wątpliwości co do wieku. Jak sobie wyobrażam, w V wieku zredukują się one do około dwudziestu niezależnych linii, z których co najmniej połowa powinna sięgać III wieku. Dodanie znajomego των αιωνων, jeśli nie było go w oryginale, jest przewidywalne, jego pominięcie trudniej wyjaśnić. Oddałbym to: „przez wszystkie wieki”.</w:t>
      </w:r>
      <w:r>
        <w:t xml:space="preserve"> </w:t>
      </w:r>
      <w:r>
        <w:rPr>
          <w:bCs/>
          <w:b/>
        </w:rPr>
        <w:t xml:space="preserve">f</w:t>
      </w:r>
      <w:r>
        <w:rPr>
          <w:vertAlign w:val="superscript"/>
          <w:bCs/>
          <w:b/>
        </w:rPr>
        <w:t xml:space="preserve">35</w:t>
      </w:r>
      <w:r>
        <w:t xml:space="preserve"> </w:t>
      </w:r>
      <w:r>
        <w:t xml:space="preserve">jest wczesna i niezależna, uważam, że jej odczyt jest tutaj najprawdopodobniej oryginalny.</w:t>
      </w:r>
    </w:p>
    <w:bookmarkEnd w:id="414"/>
    <w:bookmarkStart w:id="415" w:name="σθενωσαι-θεμελιωσαι-510-30"/>
    <w:p>
      <w:pPr>
        <w:pStyle w:val="Heading5"/>
      </w:pPr>
      <w:r>
        <w:rPr>
          <w:iCs/>
          <w:i/>
        </w:rPr>
        <w:t xml:space="preserve">σθενωσαι θεμελιωσαι</w:t>
      </w:r>
      <w:r>
        <w:t xml:space="preserve"> </w:t>
      </w:r>
      <w:r>
        <w:t xml:space="preserve">5,10 (30%)</w:t>
      </w:r>
    </w:p>
    <w:p>
      <w:pPr>
        <w:pStyle w:val="FirstParagraph"/>
      </w:pPr>
      <w:r>
        <w:t xml:space="preserve">Dwadzieścia cztery manuskrypty spoza</w:t>
      </w:r>
      <w:r>
        <w:t xml:space="preserve"> </w:t>
      </w:r>
      <w:r>
        <w:rPr>
          <w:bCs/>
          <w:b/>
        </w:rPr>
        <w:t xml:space="preserve">f</w:t>
      </w:r>
      <w:r>
        <w:rPr>
          <w:vertAlign w:val="superscript"/>
          <w:bCs/>
          <w:b/>
        </w:rPr>
        <w:t xml:space="preserve">35</w:t>
      </w:r>
      <w:r>
        <w:t xml:space="preserve">, wymienione przez</w:t>
      </w:r>
      <w:r>
        <w:t xml:space="preserve"> </w:t>
      </w:r>
      <w:r>
        <w:rPr>
          <w:iCs/>
          <w:i/>
        </w:rPr>
        <w:t xml:space="preserve">ECM</w:t>
      </w:r>
      <w:r>
        <w:t xml:space="preserve"> </w:t>
      </w:r>
      <w:r>
        <w:t xml:space="preserve">dla tego wariantu, zredukują się w V wieku do nie mniej niż dwunastu niezależnych linii przekazu, nie licząc</w:t>
      </w:r>
      <w:r>
        <w:t xml:space="preserve"> </w:t>
      </w:r>
      <w:r>
        <w:rPr>
          <w:bCs/>
          <w:b/>
        </w:rPr>
        <w:t xml:space="preserve">f</w:t>
      </w:r>
      <w:r>
        <w:rPr>
          <w:vertAlign w:val="superscript"/>
          <w:bCs/>
          <w:b/>
        </w:rPr>
        <w:t xml:space="preserve">35</w:t>
      </w:r>
      <w:r>
        <w:t xml:space="preserve">, z których, jak sobie wyobrażam, co najmniej połowa powinna sięgać III wieku. Czy Piotr stwierdza, że Bóg to uczyni, tryb oznajmujący czasu przyszłego, czy prosi, aby Bóg to uczynił, aoryst trybu życzącego? Jak „gdy trochę pocierpicie” wpływa na równanie? Ponownie pozostanę przy</w:t>
      </w:r>
      <w:r>
        <w:t xml:space="preserve"> </w:t>
      </w:r>
      <w:r>
        <w:rPr>
          <w:bCs/>
          <w:b/>
        </w:rPr>
        <w:t xml:space="preserve">f</w:t>
      </w:r>
      <w:r>
        <w:rPr>
          <w:vertAlign w:val="superscript"/>
          <w:bCs/>
          <w:b/>
        </w:rPr>
        <w:t xml:space="preserve">35</w:t>
      </w:r>
      <w:r>
        <w:t xml:space="preserve">. Odczyt ten jest z pewnością starożytny, a moim zdaniem najprawdopodobniej oryginalny.</w:t>
      </w:r>
    </w:p>
    <w:bookmarkEnd w:id="415"/>
    <w:bookmarkStart w:id="416" w:name="wniosek-3"/>
    <w:p>
      <w:pPr>
        <w:pStyle w:val="Heading5"/>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35%, 40% itd.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pozostałych linii przekazu, jak uważam, wówczas sięga Oryginału — jakie inne rozsądne wyjaśnienie istnieje?</w:t>
      </w:r>
    </w:p>
    <w:bookmarkEnd w:id="416"/>
    <w:bookmarkEnd w:id="417"/>
    <w:bookmarkEnd w:id="418"/>
    <w:bookmarkStart w:id="429" w:name="list-piotra-1"/>
    <w:p>
      <w:pPr>
        <w:pStyle w:val="Heading3"/>
      </w:pPr>
      <w:r>
        <w:t xml:space="preserve">2 List Piotra</w:t>
      </w:r>
    </w:p>
    <w:p>
      <w:pPr>
        <w:pStyle w:val="FirstParagraph"/>
      </w:pPr>
      <w:r>
        <w:t xml:space="preserve">Podobnie jak w przypadku Listu Jakuba i 1 Listu Piotra,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19" w:name="concordia-discors-2"/>
    <w:p>
      <w:pPr>
        <w:pStyle w:val="Heading4"/>
      </w:pPr>
      <w:r>
        <w:rPr>
          <w:iCs/>
          <w:i/>
        </w:rPr>
        <w:t xml:space="preserve">Concordia discors</w:t>
      </w:r>
    </w:p>
    <w:p>
      <w:pPr>
        <w:pStyle w:val="FirstParagraph"/>
      </w:pPr>
      <w:r>
        <w:t xml:space="preserve">Cztery z tych uncjałów zachowały się w 2 Liście Piotra (ℵABC), do których dodaję P</w:t>
      </w:r>
      <w:r>
        <w:rPr>
          <w:vertAlign w:val="superscript"/>
        </w:rPr>
        <w:t xml:space="preserve">72</w:t>
      </w:r>
      <w:r>
        <w:t xml:space="preserve"> </w:t>
      </w:r>
      <w:r>
        <w:t xml:space="preserve">i 048, a to, co Burgon nazywa ich „ekscentryczną skłonnością”, jest wyraźnie widoczne. Ekscentryczność ta dowodzi ich niezależności, co będzie szczególnie istotne w dalszym ciągu. Przedstawiam w tabeli ich zachowanie w 67 istotnych zestawach wariantów uwzględnionych w aparacie krytycznym mojego wydania greckiego Tekstu 2 Listu Piotra (z wyłączeniem 17, przy których używam</w:t>
      </w:r>
      <w:r>
        <w:t xml:space="preserve"> </w:t>
      </w:r>
      <w:r>
        <w:rPr>
          <w:iCs/>
          <w:i/>
        </w:rPr>
        <w:t xml:space="preserve">rell</w:t>
      </w:r>
      <w:r>
        <w:t xml:space="preserve">).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19</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AC048</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jc w:val="right"/>
            </w:pPr>
            <w:r>
              <w:t xml:space="preserve">6</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72</w:t>
            </w:r>
          </w:p>
        </w:tc>
        <w:tc>
          <w:tcPr/>
          <w:p>
            <w:pPr>
              <w:pStyle w:val="Compact"/>
              <w:jc w:val="right"/>
            </w:pPr>
            <w:r>
              <w:t xml:space="preserve">9</w:t>
            </w:r>
          </w:p>
        </w:tc>
        <w:tc>
          <w:tcPr/>
          <w:p>
            <w:pPr>
              <w:pStyle w:val="Compact"/>
            </w:pPr>
          </w:p>
        </w:tc>
      </w:tr>
      <w:tr>
        <w:tc>
          <w:tcPr/>
          <w:p>
            <w:pPr>
              <w:pStyle w:val="Compact"/>
              <w:jc w:val="left"/>
            </w:pPr>
            <w:r>
              <w:t xml:space="preserve">z udziałem ℵ</w:t>
            </w:r>
          </w:p>
        </w:tc>
        <w:tc>
          <w:tcPr/>
          <w:p>
            <w:pPr>
              <w:pStyle w:val="Compact"/>
              <w:jc w:val="right"/>
            </w:pPr>
            <w:r>
              <w:t xml:space="preserve">25</w:t>
            </w:r>
          </w:p>
        </w:tc>
        <w:tc>
          <w:tcPr/>
          <w:p>
            <w:pPr>
              <w:pStyle w:val="Compact"/>
            </w:pPr>
          </w:p>
        </w:tc>
      </w:tr>
      <w:tr>
        <w:tc>
          <w:tcPr/>
          <w:p>
            <w:pPr>
              <w:pStyle w:val="Compact"/>
              <w:jc w:val="left"/>
            </w:pPr>
            <w:r>
              <w:t xml:space="preserve">z udziałem A</w:t>
            </w:r>
          </w:p>
        </w:tc>
        <w:tc>
          <w:tcPr/>
          <w:p>
            <w:pPr>
              <w:pStyle w:val="Compact"/>
              <w:jc w:val="right"/>
            </w:pPr>
            <w:r>
              <w:t xml:space="preserve">20</w:t>
            </w:r>
          </w:p>
        </w:tc>
        <w:tc>
          <w:tcPr/>
          <w:p>
            <w:pPr>
              <w:pStyle w:val="Compact"/>
            </w:pPr>
          </w:p>
        </w:tc>
      </w:tr>
      <w:tr>
        <w:tc>
          <w:tcPr/>
          <w:p>
            <w:pPr>
              <w:pStyle w:val="Compact"/>
              <w:jc w:val="left"/>
            </w:pPr>
            <w:r>
              <w:t xml:space="preserve">z udziałem B</w:t>
            </w:r>
          </w:p>
        </w:tc>
        <w:tc>
          <w:tcPr/>
          <w:p>
            <w:pPr>
              <w:pStyle w:val="Compact"/>
              <w:jc w:val="right"/>
            </w:pPr>
            <w:r>
              <w:t xml:space="preserve">11</w:t>
            </w:r>
          </w:p>
        </w:tc>
        <w:tc>
          <w:tcPr/>
          <w:p>
            <w:pPr>
              <w:pStyle w:val="Compact"/>
            </w:pPr>
          </w:p>
        </w:tc>
      </w:tr>
      <w:tr>
        <w:tc>
          <w:tcPr/>
          <w:p>
            <w:pPr>
              <w:pStyle w:val="Compact"/>
              <w:jc w:val="left"/>
            </w:pPr>
            <w:r>
              <w:t xml:space="preserve">z udziałem C</w:t>
            </w:r>
          </w:p>
        </w:tc>
        <w:tc>
          <w:tcPr/>
          <w:p>
            <w:pPr>
              <w:pStyle w:val="Compact"/>
              <w:jc w:val="right"/>
            </w:pPr>
            <w:r>
              <w:t xml:space="preserve">18</w:t>
            </w:r>
          </w:p>
        </w:tc>
        <w:tc>
          <w:tcPr/>
          <w:p>
            <w:pPr>
              <w:pStyle w:val="Compact"/>
            </w:pPr>
          </w:p>
        </w:tc>
      </w:tr>
      <w:tr>
        <w:tc>
          <w:tcPr/>
          <w:p>
            <w:pPr>
              <w:pStyle w:val="Compact"/>
              <w:jc w:val="left"/>
            </w:pPr>
            <w:r>
              <w:t xml:space="preserve">z udziałem 048</w:t>
            </w:r>
          </w:p>
        </w:tc>
        <w:tc>
          <w:tcPr/>
          <w:p>
            <w:pPr>
              <w:pStyle w:val="Compact"/>
              <w:jc w:val="right"/>
            </w:pPr>
            <w:r>
              <w:t xml:space="preserve">6</w:t>
            </w:r>
          </w:p>
        </w:tc>
        <w:tc>
          <w:tcPr/>
          <w:p>
            <w:pPr>
              <w:pStyle w:val="Compact"/>
            </w:pPr>
          </w:p>
        </w:tc>
      </w:tr>
    </w:tbl>
    <w:p>
      <w:pPr>
        <w:pStyle w:val="BodyText"/>
      </w:pPr>
      <w:r>
        <w:t xml:space="preserve">W 61 pozostałych zestawach wariantów (67 minus 6)</w:t>
      </w:r>
      <w:r>
        <w:t xml:space="preserve"> </w:t>
      </w:r>
      <w:r>
        <w:rPr>
          <w:bCs/>
          <w:b/>
        </w:rPr>
        <w:t xml:space="preserve">f</w:t>
      </w:r>
      <w:r>
        <w:rPr>
          <w:vertAlign w:val="superscript"/>
          <w:bCs/>
          <w:b/>
        </w:rPr>
        <w:t xml:space="preserve">35</w:t>
      </w:r>
      <w:r>
        <w:t xml:space="preserve"> </w:t>
      </w:r>
      <w:r>
        <w:t xml:space="preserve">ma jawne poświadczenie tych wczesnych uncjałów w 69%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19"/>
    <w:bookmarkStart w:id="428" w:name="odczyty-mniejszościowe-f35-2"/>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siedem odczytów o poświadczeniu wynoszącym 33%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siedem odczytów, zaczynając od najmniejszego odsetka.</w:t>
      </w:r>
    </w:p>
    <w:bookmarkStart w:id="420" w:name="ἃς-22-20"/>
    <w:p>
      <w:pPr>
        <w:pStyle w:val="Heading5"/>
      </w:pPr>
      <w:r>
        <w:rPr>
          <w:iCs/>
          <w:i/>
        </w:rPr>
        <w:t xml:space="preserve">ἃς</w:t>
      </w:r>
      <w:r>
        <w:t xml:space="preserve"> </w:t>
      </w:r>
      <w:r>
        <w:t xml:space="preserve">2,2 (20%)</w:t>
      </w:r>
    </w:p>
    <w:p>
      <w:pPr>
        <w:pStyle w:val="FirstParagraph"/>
      </w:pPr>
      <w:r>
        <w:rPr>
          <w:iCs/>
          <w:i/>
        </w:rPr>
        <w:t xml:space="preserve">ECM</w:t>
      </w:r>
      <w:r>
        <w:t xml:space="preserve"> </w:t>
      </w:r>
      <w:r>
        <w:t xml:space="preserve">wymienia dla tego odczytu jedynie rękopis kursywny 18, lecz moje własne kolacjonowanie 35 przekonuje mnie, że zgadza się on z 18, podobnie jak kolejnych 38 przedstawicieli rodziny, których skolacjonowałem. Rodzina jest zatem jednolita. Von Soden przytacza dla tego odczytu jeszcze jeden manuskrypt, podczas gdy Tischendorf milczy. Odczyt przetrwał więc poza rodziną, choć niezbyt szeroko. Czy poprzednikiem zaimka są rozpustne czyny, czy ludzie w nich uczestniczący? Jedno i drugie ma sens, lecz to właśnie złe postępowanie kala reputację Drogi. Uważam, że</w:t>
      </w:r>
      <w:r>
        <w:t xml:space="preserve"> </w:t>
      </w:r>
      <w:r>
        <w:rPr>
          <w:bCs/>
          <w:b/>
        </w:rPr>
        <w:t xml:space="preserve">f</w:t>
      </w:r>
      <w:r>
        <w:rPr>
          <w:vertAlign w:val="superscript"/>
          <w:bCs/>
          <w:b/>
        </w:rPr>
        <w:t xml:space="preserve">35</w:t>
      </w:r>
      <w:r>
        <w:t xml:space="preserve"> </w:t>
      </w:r>
      <w:r>
        <w:t xml:space="preserve">prawdopodobnie zachowuje tutaj odczyt Oryginału.</w:t>
      </w:r>
    </w:p>
    <w:bookmarkEnd w:id="420"/>
    <w:bookmarkStart w:id="421" w:name="συνεστωτα-35-ℵ-23"/>
    <w:p>
      <w:pPr>
        <w:pStyle w:val="Heading5"/>
      </w:pPr>
      <w:r>
        <w:rPr>
          <w:iCs/>
          <w:i/>
        </w:rPr>
        <w:t xml:space="preserve">συνεστωτα</w:t>
      </w:r>
      <w:r>
        <w:t xml:space="preserve"> </w:t>
      </w:r>
      <w:r>
        <w:t xml:space="preserve">3,5 ℵ (23%)</w:t>
      </w:r>
    </w:p>
    <w:p>
      <w:pPr>
        <w:pStyle w:val="FirstParagraph"/>
      </w:pPr>
      <w:r>
        <w:t xml:space="preserve">Składnia Piotra jest tutaj nieco złożona, co dało początek jedenastu wariantom sześciowyrazowego wyrażenia. W moim rozumieniu „z wody i przez wodę” jest wtrąceniem modyfikującym „ziemię”, imiesłów łączy się więc z ησαν jako konstrukcja peryfrastyczna, której podmiot obejmuje zarówno „niebo” (r. męski), jak i „ziemię” (r. żeński) — stąd mianownik liczby mnogiej rodzaju nijakiego imiesłowu czynnego perfectum.</w:t>
      </w:r>
      <w:r>
        <w:t xml:space="preserve"> </w:t>
      </w:r>
      <w:r>
        <w:rPr>
          <w:bCs/>
          <w:b/>
        </w:rPr>
        <w:t xml:space="preserve">f</w:t>
      </w:r>
      <w:r>
        <w:rPr>
          <w:vertAlign w:val="superscript"/>
          <w:bCs/>
          <w:b/>
        </w:rPr>
        <w:t xml:space="preserve">35</w:t>
      </w:r>
      <w:r>
        <w:t xml:space="preserve"> </w:t>
      </w:r>
      <w:r>
        <w:t xml:space="preserve">jest tutaj dokładnie poprawna, nawet jeśli większość kopistów zagubiła się w składni Piotra. ℵ zapewnia jawne poświadczenie z IV wieku, lecz odczyt ten jest również poświadczony przez kolejne cztery niezależne linie przekazu (przytoczone przez</w:t>
      </w:r>
      <w:r>
        <w:t xml:space="preserve"> </w:t>
      </w:r>
      <w:r>
        <w:rPr>
          <w:iCs/>
          <w:i/>
        </w:rPr>
        <w:t xml:space="preserve">ECM</w:t>
      </w:r>
      <w:r>
        <w:t xml:space="preserve">), poza</w:t>
      </w:r>
      <w:r>
        <w:t xml:space="preserve"> </w:t>
      </w:r>
      <w:r>
        <w:rPr>
          <w:bCs/>
          <w:b/>
        </w:rPr>
        <w:t xml:space="preserve">f</w:t>
      </w:r>
      <w:r>
        <w:rPr>
          <w:vertAlign w:val="superscript"/>
          <w:bCs/>
          <w:b/>
        </w:rPr>
        <w:t xml:space="preserve">35</w:t>
      </w:r>
      <w:r>
        <w:t xml:space="preserve">, z których wszystkie prawdopodobnie sięgają co najmniej IV wieku.</w:t>
      </w:r>
      <w:r>
        <w:t xml:space="preserve"> </w:t>
      </w:r>
      <w:r>
        <w:rPr>
          <w:bCs/>
          <w:b/>
        </w:rPr>
        <w:t xml:space="preserve">f</w:t>
      </w:r>
      <w:r>
        <w:rPr>
          <w:vertAlign w:val="superscript"/>
          <w:bCs/>
          <w:b/>
        </w:rPr>
        <w:t xml:space="preserve">35</w:t>
      </w:r>
      <w:r>
        <w:t xml:space="preserve"> </w:t>
      </w:r>
      <w:r>
        <w:t xml:space="preserve">prawdopodobnie zachowuje tutaj Oryginał.</w:t>
      </w:r>
    </w:p>
    <w:bookmarkEnd w:id="421"/>
    <w:bookmarkStart w:id="422" w:name="εις-αιωνας-217-251"/>
    <w:p>
      <w:pPr>
        <w:pStyle w:val="Heading5"/>
      </w:pPr>
      <w:r>
        <w:rPr>
          <w:iCs/>
          <w:i/>
        </w:rPr>
        <w:t xml:space="preserve">εις αιωνας</w:t>
      </w:r>
      <w:r>
        <w:t xml:space="preserve"> </w:t>
      </w:r>
      <w:r>
        <w:t xml:space="preserve">2,17 (25,1%)</w:t>
      </w:r>
    </w:p>
    <w:p>
      <w:pPr>
        <w:pStyle w:val="FirstParagraph"/>
      </w:pPr>
      <w:r>
        <w:t xml:space="preserve">Możemy tutaj polegać na pełnych kolacjonowaniach odzwierciedlonych w</w:t>
      </w:r>
      <w:r>
        <w:t xml:space="preserve"> </w:t>
      </w:r>
      <w:r>
        <w:rPr>
          <w:iCs/>
          <w:i/>
        </w:rPr>
        <w:t xml:space="preserve">TuT</w:t>
      </w:r>
      <w:r>
        <w:t xml:space="preserve">. Poza</w:t>
      </w:r>
      <w:r>
        <w:t xml:space="preserve"> </w:t>
      </w:r>
      <w:r>
        <w:rPr>
          <w:bCs/>
          <w:b/>
        </w:rPr>
        <w:t xml:space="preserve">f</w:t>
      </w:r>
      <w:r>
        <w:rPr>
          <w:vertAlign w:val="superscript"/>
          <w:bCs/>
          <w:b/>
        </w:rPr>
        <w:t xml:space="preserve">35</w:t>
      </w:r>
      <w:r>
        <w:t xml:space="preserve"> </w:t>
      </w:r>
      <w:r>
        <w:t xml:space="preserve">musi istnieć znacznie ponad dwadzieścia niezależnych linii przekazu sięgających V wieku, z których połowa powinna sięgać III wieku. Wybór dotyczy liczby pojedynczej lub mnogiej, jednego „wieku” albo wielu. Brak rodzajnika przyczynił się do pomieszania obrazu. Jeśli liczba mnoga jest silniejsza od pojedynczej, wówczas lepiej pasuje do kontekstu, ponieważ Piotr używa gwałtownego języka. Uważam, że liczba mnoga jest prawdopodobnie oryginalna.</w:t>
      </w:r>
    </w:p>
    <w:bookmarkEnd w:id="422"/>
    <w:bookmarkStart w:id="423" w:name="γεγενημενα-φυσικα-212-ℵ-26"/>
    <w:p>
      <w:pPr>
        <w:pStyle w:val="Heading5"/>
      </w:pPr>
      <w:r>
        <w:rPr>
          <w:iCs/>
          <w:i/>
        </w:rPr>
        <w:t xml:space="preserve">γεγενημενα φυσικα</w:t>
      </w:r>
      <w:r>
        <w:t xml:space="preserve"> </w:t>
      </w:r>
      <w:r>
        <w:t xml:space="preserve">2,12 ℵ (26%)</w:t>
      </w:r>
    </w:p>
    <w:p>
      <w:pPr>
        <w:pStyle w:val="FirstParagraph"/>
      </w:pPr>
      <w:r>
        <w:t xml:space="preserve">Ponownie, poza jawnym świadectwem ℵ i oprócz</w:t>
      </w:r>
      <w:r>
        <w:t xml:space="preserve"> </w:t>
      </w:r>
      <w:r>
        <w:rPr>
          <w:bCs/>
          <w:b/>
        </w:rPr>
        <w:t xml:space="preserve">f</w:t>
      </w:r>
      <w:r>
        <w:rPr>
          <w:vertAlign w:val="superscript"/>
          <w:bCs/>
          <w:b/>
        </w:rPr>
        <w:t xml:space="preserve">35</w:t>
      </w:r>
      <w:r>
        <w:t xml:space="preserve">, musi istnieć znacznie ponad dwadzieścia niezależnych linii przekazu sięgających V wieku, z których połowa powinna sięgać III wieku. Pozostałe wczesne uncjały (P</w:t>
      </w:r>
      <w:r>
        <w:rPr>
          <w:vertAlign w:val="superscript"/>
        </w:rPr>
        <w:t xml:space="preserve">72</w:t>
      </w:r>
      <w:r>
        <w:t xml:space="preserve"> </w:t>
      </w:r>
      <w:r>
        <w:t xml:space="preserve">pomija imiesłów) poświadczają ten szyk, natomiast około 85% manuskryptów poświadcza czasownik. Wariant większości, umieszczając przymiotnik obok rzeczownika, zdaje się tworzyć bardziej naturalną konstrukcję, lecz sądzę, że φυσικα pełni funkcję rzeczownika w apozycji do ζωα, a aby pomóc nam to dostrzec, Piotr umieszcza go po imiesłowie, należy oddać: „jak nierozumne zwierzęta, stworzenia instynktu uczynione po to, by je schwytać i zniszczyć”. Nie wątpię, że</w:t>
      </w:r>
      <w:r>
        <w:t xml:space="preserve"> </w:t>
      </w:r>
      <w:r>
        <w:rPr>
          <w:bCs/>
          <w:b/>
        </w:rPr>
        <w:t xml:space="preserve">f</w:t>
      </w:r>
      <w:r>
        <w:rPr>
          <w:vertAlign w:val="superscript"/>
          <w:bCs/>
          <w:b/>
        </w:rPr>
        <w:t xml:space="preserve">35</w:t>
      </w:r>
      <w:r>
        <w:t xml:space="preserve"> </w:t>
      </w:r>
      <w:r>
        <w:t xml:space="preserve">zachowuje tutaj Oryginał.</w:t>
      </w:r>
    </w:p>
    <w:bookmarkEnd w:id="423"/>
    <w:bookmarkStart w:id="424" w:name="αυξανητε-318-27"/>
    <w:p>
      <w:pPr>
        <w:pStyle w:val="Heading5"/>
      </w:pPr>
      <w:r>
        <w:rPr>
          <w:iCs/>
          <w:i/>
        </w:rPr>
        <w:t xml:space="preserve">αυξανητε</w:t>
      </w:r>
      <w:r>
        <w:t xml:space="preserve"> </w:t>
      </w:r>
      <w:r>
        <w:t xml:space="preserve">3,18 (27%)</w:t>
      </w:r>
    </w:p>
    <w:p>
      <w:pPr>
        <w:pStyle w:val="FirstParagraph"/>
      </w:pPr>
      <w:r>
        <w:t xml:space="preserve">Tryb rozkazujący czy łączący? Uważam, że Piotr proponuje łagodniejszą alternatywę dla odpadnięcia od ich stałości, należy oddać: „raczej, obyście wzrastali w łasce…”. 5% manuskryptów przechodzi wręcz do trybu życzącego, tryb łączący i życzący stanowią łącznie 35%. Poza</w:t>
      </w:r>
      <w:r>
        <w:t xml:space="preserve"> </w:t>
      </w:r>
      <w:r>
        <w:rPr>
          <w:bCs/>
          <w:b/>
        </w:rPr>
        <w:t xml:space="preserve">f</w:t>
      </w:r>
      <w:r>
        <w:rPr>
          <w:vertAlign w:val="superscript"/>
          <w:bCs/>
          <w:b/>
        </w:rPr>
        <w:t xml:space="preserve">35</w:t>
      </w:r>
      <w:r>
        <w:t xml:space="preserve"> </w:t>
      </w:r>
      <w:r>
        <w:t xml:space="preserve">odczyt ten jest poświadczony przez co najmniej dziesięć niezależnych linii przekazu, z których niektóre powinny sięgać III wieku. Uważam, że tryb łączący jest prawdopodobnie oryginalny.</w:t>
      </w:r>
    </w:p>
    <w:bookmarkEnd w:id="424"/>
    <w:bookmarkStart w:id="425" w:name="εισιν-316-a-33"/>
    <w:p>
      <w:pPr>
        <w:pStyle w:val="Heading5"/>
      </w:pPr>
      <w:r>
        <w:rPr>
          <w:iCs/>
          <w:i/>
        </w:rPr>
        <w:t xml:space="preserve">εισιν</w:t>
      </w:r>
      <w:r>
        <w:t xml:space="preserve"> </w:t>
      </w:r>
      <w:r>
        <w:t xml:space="preserve">3,16 A (33%)</w:t>
      </w:r>
    </w:p>
    <w:p>
      <w:pPr>
        <w:pStyle w:val="FirstParagraph"/>
      </w:pPr>
      <w:r>
        <w:t xml:space="preserve">Liczba mnoga jest oczywiście poprawna. Poza jawnym świadectwem A i oprócz</w:t>
      </w:r>
      <w:r>
        <w:t xml:space="preserve"> </w:t>
      </w:r>
      <w:r>
        <w:rPr>
          <w:bCs/>
          <w:b/>
        </w:rPr>
        <w:t xml:space="preserve">f</w:t>
      </w:r>
      <w:r>
        <w:rPr>
          <w:vertAlign w:val="superscript"/>
          <w:bCs/>
          <w:b/>
        </w:rPr>
        <w:t xml:space="preserve">35</w:t>
      </w:r>
      <w:r>
        <w:t xml:space="preserve"> </w:t>
      </w:r>
      <w:r>
        <w:t xml:space="preserve">musi istnieć znacznie ponad dwadzieścia niezależnych linii przekazu sięgających V wieku, z których połowa powinna sięgać III wieku. Powtórzę stwierdzenie z części dotyczącej 1 Listu Piotra.</w:t>
      </w:r>
    </w:p>
    <w:p>
      <w:pPr>
        <w:pStyle w:val="BodyText"/>
      </w:pPr>
      <w:r>
        <w:t xml:space="preserve">W ciągu ostatnich 150 lat kanon „trudniejszego odczytu” szeroko wykorzystywano, by przypisywać Janowi, Piotrowi itd. rozmaite językowe barbarzyństwa, byli przecież nieuczonymi rybakami, galilejskimi prostakami czy kimkolwiek innym. Zatrzymajmy się jednak na chwilę i pomyślmy. Po Pięćdziesiątnicy, gdy Kościół gwałtownie się rozrastał i stało się oczywiste, że Apostołowie będą musieli wiele podróżować, prowadzić „międzynarodową” służbę, czy nie podszkoliliby swojej greki (a nawet łaciny)? Będąc na miejscu Piotra, z pewnością bym to uczynił. Innymi słowy, utrzymuję, że Piotr, Jan i Jakub byli w pełni zdolni pisać dobrą, czyli poprawną greką. Dla mnie znamienne jest to, że</w:t>
      </w:r>
      <w:r>
        <w:t xml:space="preserve"> </w:t>
      </w:r>
      <w:r>
        <w:rPr>
          <w:bCs/>
          <w:b/>
        </w:rPr>
        <w:t xml:space="preserve">f</w:t>
      </w:r>
      <w:r>
        <w:rPr>
          <w:vertAlign w:val="superscript"/>
          <w:bCs/>
          <w:b/>
        </w:rPr>
        <w:t xml:space="preserve">35</w:t>
      </w:r>
      <w:r>
        <w:t xml:space="preserve"> </w:t>
      </w:r>
      <w:r>
        <w:t xml:space="preserve">zwykle staje po stronie odczytu poprawnego gramatycznie, tak jak w tym przypadku.</w:t>
      </w:r>
    </w:p>
    <w:bookmarkEnd w:id="425"/>
    <w:bookmarkStart w:id="426" w:name="πειρασμων-29-ℵ-33"/>
    <w:p>
      <w:pPr>
        <w:pStyle w:val="Heading5"/>
      </w:pPr>
      <w:r>
        <w:rPr>
          <w:iCs/>
          <w:i/>
        </w:rPr>
        <w:t xml:space="preserve">πειρασμων</w:t>
      </w:r>
      <w:r>
        <w:t xml:space="preserve"> </w:t>
      </w:r>
      <w:r>
        <w:t xml:space="preserve">2,9 ℵ (33%)</w:t>
      </w:r>
    </w:p>
    <w:p>
      <w:pPr>
        <w:pStyle w:val="FirstParagraph"/>
      </w:pPr>
      <w:r>
        <w:t xml:space="preserve">Liczba pojedyncza czy mnoga? Uważam liczbę mnogą za wyraźnie lepszą w tym kontekście. Ponownie, poza jawnym świadectwem ℵ i oprócz</w:t>
      </w:r>
      <w:r>
        <w:t xml:space="preserve"> </w:t>
      </w:r>
      <w:r>
        <w:rPr>
          <w:bCs/>
          <w:b/>
        </w:rPr>
        <w:t xml:space="preserve">f</w:t>
      </w:r>
      <w:r>
        <w:rPr>
          <w:vertAlign w:val="superscript"/>
          <w:bCs/>
          <w:b/>
        </w:rPr>
        <w:t xml:space="preserve">35</w:t>
      </w:r>
      <w:r>
        <w:t xml:space="preserve">, musi istnieć znacznie ponad dwadzieścia niezależnych linii przekazu sięgających V wieku, z których połowa powinna sięgać III wieku. Ponownie pozostanę przy</w:t>
      </w:r>
      <w:r>
        <w:t xml:space="preserve"> </w:t>
      </w:r>
      <w:r>
        <w:rPr>
          <w:bCs/>
          <w:b/>
        </w:rPr>
        <w:t xml:space="preserve">f</w:t>
      </w:r>
      <w:r>
        <w:rPr>
          <w:vertAlign w:val="superscript"/>
          <w:bCs/>
          <w:b/>
        </w:rPr>
        <w:t xml:space="preserve">35</w:t>
      </w:r>
      <w:r>
        <w:t xml:space="preserve">. Odczyt ten jest z pewnością starożytny, a moim zdaniem najprawdopodobniej oryginalny.</w:t>
      </w:r>
    </w:p>
    <w:bookmarkEnd w:id="426"/>
    <w:bookmarkStart w:id="427" w:name="wniosek-4"/>
    <w:p>
      <w:pPr>
        <w:pStyle w:val="Heading5"/>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40% itd. Podobnie jak w Liście Jakuba, 1 Liście Piotra i 1 Liście Jana,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pozostałych linii przekazu, jak uważam, wówczas sięga Oryginału — jakie inne rozsądne wyjaśnienie istnieje?</w:t>
      </w:r>
    </w:p>
    <w:bookmarkEnd w:id="427"/>
    <w:bookmarkEnd w:id="428"/>
    <w:bookmarkEnd w:id="429"/>
    <w:bookmarkStart w:id="438" w:name="list-jana"/>
    <w:p>
      <w:pPr>
        <w:pStyle w:val="Heading3"/>
      </w:pPr>
      <w:r>
        <w:t xml:space="preserve">1 List Jana</w:t>
      </w:r>
    </w:p>
    <w:p>
      <w:pPr>
        <w:pStyle w:val="FirstParagraph"/>
      </w:pPr>
      <w:r>
        <w:t xml:space="preserve">Podobnie jak w przypadku Listu Jakuba oraz 1 i 2 Listu Piotra,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30" w:name="concordia-discors-3"/>
    <w:p>
      <w:pPr>
        <w:pStyle w:val="Heading4"/>
      </w:pPr>
      <w:r>
        <w:rPr>
          <w:iCs/>
          <w:i/>
        </w:rPr>
        <w:t xml:space="preserve">Concordia discors</w:t>
      </w:r>
    </w:p>
    <w:p>
      <w:pPr>
        <w:pStyle w:val="FirstParagraph"/>
      </w:pPr>
      <w:r>
        <w:t xml:space="preserve">Cztery z tych uncjałów zachowały się w 1 Liście Jana (ℵABC), do których dodałem 048, a to, co Burgon nazywa ich „ekscentryczną skłonnością”, jest wyraźnie widoczne. Ekscentryczność ta dowodzi ich niezależności, co będzie szczególnie istotne w dalszym ciągu. Przedstawiam w tabeli ich zachowanie w 87 istotnych zestawach wariantów (z wyłączeniem 31 z</w:t>
      </w:r>
      <w:r>
        <w:t xml:space="preserve"> </w:t>
      </w:r>
      <w:r>
        <w:rPr>
          <w:iCs/>
          <w:i/>
        </w:rPr>
        <w:t xml:space="preserve">rell</w:t>
      </w:r>
      <w:r>
        <w:t xml:space="preserve">) uwzględnionych w aparacie krytycznym mojego wydania greckiego Tekstu 1 Listu Jana.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32</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10</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5</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A048</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3</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ℵ</w:t>
            </w:r>
          </w:p>
        </w:tc>
        <w:tc>
          <w:tcPr/>
          <w:p>
            <w:pPr>
              <w:pStyle w:val="Compact"/>
              <w:jc w:val="right"/>
            </w:pPr>
            <w:r>
              <w:t xml:space="preserve">28</w:t>
            </w:r>
          </w:p>
        </w:tc>
        <w:tc>
          <w:tcPr/>
          <w:p>
            <w:pPr>
              <w:pStyle w:val="Compact"/>
            </w:pPr>
          </w:p>
        </w:tc>
      </w:tr>
      <w:tr>
        <w:tc>
          <w:tcPr/>
          <w:p>
            <w:pPr>
              <w:pStyle w:val="Compact"/>
              <w:jc w:val="left"/>
            </w:pPr>
            <w:r>
              <w:t xml:space="preserve">z udziałem A</w:t>
            </w:r>
          </w:p>
        </w:tc>
        <w:tc>
          <w:tcPr/>
          <w:p>
            <w:pPr>
              <w:pStyle w:val="Compact"/>
              <w:jc w:val="right"/>
            </w:pPr>
            <w:r>
              <w:t xml:space="preserve">24</w:t>
            </w:r>
          </w:p>
        </w:tc>
        <w:tc>
          <w:tcPr/>
          <w:p>
            <w:pPr>
              <w:pStyle w:val="Compact"/>
            </w:pPr>
          </w:p>
        </w:tc>
      </w:tr>
      <w:tr>
        <w:tc>
          <w:tcPr/>
          <w:p>
            <w:pPr>
              <w:pStyle w:val="Compact"/>
              <w:jc w:val="left"/>
            </w:pPr>
            <w:r>
              <w:t xml:space="preserve">z udziałem B</w:t>
            </w:r>
          </w:p>
        </w:tc>
        <w:tc>
          <w:tcPr/>
          <w:p>
            <w:pPr>
              <w:pStyle w:val="Compact"/>
              <w:jc w:val="right"/>
            </w:pPr>
            <w:r>
              <w:t xml:space="preserve">18</w:t>
            </w:r>
          </w:p>
        </w:tc>
        <w:tc>
          <w:tcPr/>
          <w:p>
            <w:pPr>
              <w:pStyle w:val="Compact"/>
            </w:pPr>
          </w:p>
        </w:tc>
      </w:tr>
      <w:tr>
        <w:tc>
          <w:tcPr/>
          <w:p>
            <w:pPr>
              <w:pStyle w:val="Compact"/>
              <w:jc w:val="left"/>
            </w:pPr>
            <w:r>
              <w:t xml:space="preserve">z udziałem C</w:t>
            </w:r>
          </w:p>
        </w:tc>
        <w:tc>
          <w:tcPr/>
          <w:p>
            <w:pPr>
              <w:pStyle w:val="Compact"/>
              <w:jc w:val="right"/>
            </w:pPr>
            <w:r>
              <w:t xml:space="preserve">15</w:t>
            </w:r>
          </w:p>
        </w:tc>
        <w:tc>
          <w:tcPr/>
          <w:p>
            <w:pPr>
              <w:pStyle w:val="Compact"/>
              <w:jc w:val="left"/>
            </w:pPr>
            <w:r>
              <w:t xml:space="preserve">(Brakuje C od 4,3 do końca).</w:t>
            </w:r>
          </w:p>
        </w:tc>
      </w:tr>
      <w:tr>
        <w:tc>
          <w:tcPr/>
          <w:p>
            <w:pPr>
              <w:pStyle w:val="Compact"/>
              <w:jc w:val="left"/>
            </w:pPr>
            <w:r>
              <w:t xml:space="preserve">z udziałem 048</w:t>
            </w:r>
          </w:p>
        </w:tc>
        <w:tc>
          <w:tcPr/>
          <w:p>
            <w:pPr>
              <w:pStyle w:val="Compact"/>
              <w:jc w:val="right"/>
            </w:pPr>
            <w:r>
              <w:t xml:space="preserve">3</w:t>
            </w:r>
          </w:p>
        </w:tc>
        <w:tc>
          <w:tcPr/>
          <w:p>
            <w:pPr>
              <w:pStyle w:val="Compact"/>
            </w:pPr>
          </w:p>
        </w:tc>
      </w:tr>
    </w:tbl>
    <w:p>
      <w:pPr>
        <w:pStyle w:val="BodyText"/>
      </w:pPr>
      <w:r>
        <w:t xml:space="preserve">W 84 pozostałych zestawach wariantów (87 minus 3)</w:t>
      </w:r>
      <w:r>
        <w:t xml:space="preserve"> </w:t>
      </w:r>
      <w:r>
        <w:rPr>
          <w:bCs/>
          <w:b/>
        </w:rPr>
        <w:t xml:space="preserve">f</w:t>
      </w:r>
      <w:r>
        <w:rPr>
          <w:vertAlign w:val="superscript"/>
          <w:bCs/>
          <w:b/>
        </w:rPr>
        <w:t xml:space="preserve">35</w:t>
      </w:r>
      <w:r>
        <w:t xml:space="preserve"> </w:t>
      </w:r>
      <w:r>
        <w:t xml:space="preserve">ma jawne poświadczenie tych wczesnych uncjałów w 62%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30"/>
    <w:bookmarkStart w:id="436" w:name="odczyty-mniejszościowe-f35-3"/>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cztery odczyty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te cztery odczyty, zaczynając od najmniejszego odsetka. Najpierw przedstawiam wykaz manuskryptów spoza</w:t>
      </w:r>
      <w:r>
        <w:t xml:space="preserve"> </w:t>
      </w:r>
      <w:r>
        <w:rPr>
          <w:bCs/>
          <w:b/>
        </w:rPr>
        <w:t xml:space="preserve">f</w:t>
      </w:r>
      <w:r>
        <w:rPr>
          <w:vertAlign w:val="superscript"/>
          <w:bCs/>
          <w:b/>
        </w:rPr>
        <w:t xml:space="preserve">35</w:t>
      </w:r>
      <w:r>
        <w:t xml:space="preserve"> </w:t>
      </w:r>
      <w:r>
        <w:t xml:space="preserve">(według</w:t>
      </w:r>
      <w:r>
        <w:t xml:space="preserve"> </w:t>
      </w:r>
      <w:r>
        <w:rPr>
          <w:iCs/>
          <w:i/>
        </w:rPr>
        <w:t xml:space="preserve">ECM</w:t>
      </w:r>
      <w:r>
        <w:t xml:space="preserve">), które poświadczają każdy wariant.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3,6 (20%)</w:t>
            </w:r>
          </w:p>
        </w:tc>
        <w:tc>
          <w:tcPr/>
          <w:p>
            <w:pPr>
              <w:pStyle w:val="Compact"/>
              <w:jc w:val="left"/>
            </w:pPr>
            <w:r>
              <w:t xml:space="preserve">5,11 (24%)</w:t>
            </w:r>
          </w:p>
        </w:tc>
        <w:tc>
          <w:tcPr/>
          <w:p>
            <w:pPr>
              <w:pStyle w:val="Compact"/>
              <w:jc w:val="left"/>
            </w:pPr>
            <w:r>
              <w:t xml:space="preserve">1,6 (29%)</w:t>
            </w:r>
          </w:p>
        </w:tc>
        <w:tc>
          <w:tcPr/>
          <w:p>
            <w:pPr>
              <w:pStyle w:val="Compact"/>
              <w:jc w:val="left"/>
            </w:pPr>
            <w:r>
              <w:t xml:space="preserve">3,24 (30%)</w:t>
            </w:r>
          </w:p>
        </w:tc>
      </w:tr>
      <w:tr>
        <w:tc>
          <w:tcPr/>
          <w:p>
            <w:pPr>
              <w:pStyle w:val="Compact"/>
              <w:jc w:val="left"/>
            </w:pPr>
            <w:r>
              <w:t xml:space="preserve">και</w:t>
            </w:r>
          </w:p>
        </w:tc>
        <w:tc>
          <w:tcPr/>
          <w:p>
            <w:pPr>
              <w:pStyle w:val="Compact"/>
              <w:jc w:val="left"/>
            </w:pPr>
            <w:r>
              <w:t xml:space="preserve">ο θεος ημιν</w:t>
            </w:r>
          </w:p>
        </w:tc>
        <w:tc>
          <w:tcPr/>
          <w:p>
            <w:pPr>
              <w:pStyle w:val="Compact"/>
              <w:jc w:val="left"/>
            </w:pPr>
            <w:r>
              <w:t xml:space="preserve">περιπατουμεν</w:t>
            </w:r>
          </w:p>
        </w:tc>
        <w:tc>
          <w:tcPr/>
          <w:p>
            <w:pPr>
              <w:pStyle w:val="Compact"/>
              <w:jc w:val="left"/>
            </w:pPr>
            <w:r>
              <w:t xml:space="preserve">--- εν</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w:t>
            </w:r>
          </w:p>
        </w:tc>
      </w:tr>
      <w:tr>
        <w:tc>
          <w:tcPr/>
          <w:p>
            <w:pPr>
              <w:pStyle w:val="Compact"/>
              <w:jc w:val="left"/>
            </w:pPr>
            <w:r>
              <w:t xml:space="preserve">---</w:t>
            </w:r>
          </w:p>
        </w:tc>
        <w:tc>
          <w:tcPr/>
          <w:p>
            <w:pPr>
              <w:pStyle w:val="Compact"/>
              <w:jc w:val="left"/>
            </w:pPr>
            <w:r>
              <w:t xml:space="preserve">03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0142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0296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33</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61</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69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94</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180</w:t>
            </w:r>
          </w:p>
        </w:tc>
        <w:tc>
          <w:tcPr/>
          <w:p>
            <w:pPr>
              <w:pStyle w:val="Compact"/>
              <w:jc w:val="left"/>
            </w:pPr>
            <w:r>
              <w:t xml:space="preserve">180</w:t>
            </w:r>
          </w:p>
        </w:tc>
      </w:tr>
      <w:tr>
        <w:tc>
          <w:tcPr/>
          <w:p>
            <w:pPr>
              <w:pStyle w:val="Compact"/>
              <w:jc w:val="left"/>
            </w:pPr>
            <w:r>
              <w:t xml:space="preserve">254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378</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607</w:t>
            </w:r>
          </w:p>
        </w:tc>
        <w:tc>
          <w:tcPr/>
          <w:p>
            <w:pPr>
              <w:pStyle w:val="Compact"/>
              <w:jc w:val="left"/>
            </w:pPr>
            <w:r>
              <w:t xml:space="preserve">607</w:t>
            </w:r>
          </w:p>
        </w:tc>
      </w:tr>
      <w:tr>
        <w:tc>
          <w:tcPr/>
          <w:p>
            <w:pPr>
              <w:pStyle w:val="Compact"/>
              <w:jc w:val="left"/>
            </w:pPr>
            <w:r>
              <w:t xml:space="preserve">---</w:t>
            </w:r>
          </w:p>
        </w:tc>
        <w:tc>
          <w:tcPr/>
          <w:p>
            <w:pPr>
              <w:pStyle w:val="Compact"/>
              <w:jc w:val="left"/>
            </w:pPr>
            <w:r>
              <w:t xml:space="preserve">614</w:t>
            </w:r>
          </w:p>
        </w:tc>
        <w:tc>
          <w:tcPr/>
          <w:p>
            <w:pPr>
              <w:pStyle w:val="Compact"/>
              <w:jc w:val="left"/>
            </w:pPr>
            <w:r>
              <w:t xml:space="preserve">---</w:t>
            </w:r>
          </w:p>
        </w:tc>
        <w:tc>
          <w:tcPr/>
          <w:p>
            <w:pPr>
              <w:pStyle w:val="Compact"/>
              <w:jc w:val="left"/>
            </w:pPr>
            <w:r>
              <w:t xml:space="preserve">614</w:t>
            </w:r>
          </w:p>
        </w:tc>
      </w:tr>
      <w:tr>
        <w:tc>
          <w:tcPr/>
          <w:p>
            <w:pPr>
              <w:pStyle w:val="Compact"/>
              <w:jc w:val="left"/>
            </w:pPr>
            <w:r>
              <w:t xml:space="preserve">---</w:t>
            </w:r>
          </w:p>
        </w:tc>
        <w:tc>
          <w:tcPr/>
          <w:p>
            <w:pPr>
              <w:pStyle w:val="Compact"/>
              <w:jc w:val="left"/>
            </w:pPr>
            <w:r>
              <w:t xml:space="preserve">630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1292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1501</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1505</w:t>
            </w:r>
          </w:p>
        </w:tc>
        <w:tc>
          <w:tcPr/>
          <w:p>
            <w:pPr>
              <w:pStyle w:val="Compact"/>
              <w:jc w:val="left"/>
            </w:pPr>
            <w:r>
              <w:t xml:space="preserve">1505</w:t>
            </w:r>
          </w:p>
        </w:tc>
        <w:tc>
          <w:tcPr/>
          <w:p>
            <w:pPr>
              <w:pStyle w:val="Compact"/>
              <w:jc w:val="left"/>
            </w:pPr>
            <w:r>
              <w:t xml:space="preserve">---</w:t>
            </w:r>
          </w:p>
        </w:tc>
      </w:tr>
      <w:tr>
        <w:tc>
          <w:tcPr/>
          <w:p>
            <w:pPr>
              <w:pStyle w:val="Compact"/>
              <w:jc w:val="left"/>
            </w:pPr>
            <w:r>
              <w:t xml:space="preserve">1523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1524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1739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1827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1836</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1842</w:t>
            </w:r>
          </w:p>
        </w:tc>
        <w:tc>
          <w:tcPr/>
          <w:p>
            <w:pPr>
              <w:pStyle w:val="Compact"/>
              <w:jc w:val="left"/>
            </w:pPr>
            <w:r>
              <w:t xml:space="preserve">---</w:t>
            </w:r>
          </w:p>
        </w:tc>
      </w:tr>
      <w:tr>
        <w:tc>
          <w:tcPr/>
          <w:p>
            <w:pPr>
              <w:pStyle w:val="Compact"/>
              <w:jc w:val="left"/>
            </w:pPr>
            <w:r>
              <w:t xml:space="preserve">1844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1852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1881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1890</w:t>
            </w:r>
          </w:p>
        </w:tc>
        <w:tc>
          <w:tcPr/>
          <w:p>
            <w:pPr>
              <w:pStyle w:val="Compact"/>
              <w:jc w:val="left"/>
            </w:pPr>
            <w:r>
              <w:t xml:space="preserve">1890</w:t>
            </w:r>
          </w:p>
        </w:tc>
      </w:tr>
      <w:tr>
        <w:tc>
          <w:tcPr/>
          <w:p>
            <w:pPr>
              <w:pStyle w:val="Compact"/>
              <w:jc w:val="left"/>
            </w:pPr>
            <w:r>
              <w:t xml:space="preserve">---</w:t>
            </w:r>
          </w:p>
        </w:tc>
        <w:tc>
          <w:tcPr/>
          <w:p>
            <w:pPr>
              <w:pStyle w:val="Compact"/>
              <w:jc w:val="left"/>
            </w:pPr>
            <w:r>
              <w:t xml:space="preserve">2138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2147</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2200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2298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2374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2412</w:t>
            </w:r>
          </w:p>
        </w:tc>
        <w:tc>
          <w:tcPr/>
          <w:p>
            <w:pPr>
              <w:pStyle w:val="Compact"/>
              <w:jc w:val="left"/>
            </w:pPr>
            <w:r>
              <w:t xml:space="preserve">---</w:t>
            </w:r>
          </w:p>
        </w:tc>
        <w:tc>
          <w:tcPr/>
          <w:p>
            <w:pPr>
              <w:pStyle w:val="Compact"/>
              <w:jc w:val="left"/>
            </w:pPr>
            <w:r>
              <w:t xml:space="preserve">2412</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2423</w:t>
            </w:r>
          </w:p>
        </w:tc>
      </w:tr>
      <w:tr>
        <w:tc>
          <w:tcPr/>
          <w:p>
            <w:pPr>
              <w:pStyle w:val="Compact"/>
              <w:jc w:val="left"/>
            </w:pPr>
            <w:r>
              <w:t xml:space="preserve">---</w:t>
            </w:r>
          </w:p>
        </w:tc>
        <w:tc>
          <w:tcPr/>
          <w:p>
            <w:pPr>
              <w:pStyle w:val="Compact"/>
              <w:jc w:val="left"/>
            </w:pPr>
            <w:r>
              <w:t xml:space="preserve">2492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2544</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2652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2805</w:t>
            </w:r>
          </w:p>
        </w:tc>
      </w:tr>
    </w:tbl>
    <w:p>
      <w:pPr>
        <w:pStyle w:val="BodyText"/>
      </w:pPr>
      <w:r>
        <w:t xml:space="preserve">Podobnie jak w Liście Jakuba, między dwiema pierwszymi kolumnami nie ma pokrywania się, a między drugą i trzecią istnieje tylko jeden wspólny manuskrypt! Wynika z tego, że</w:t>
      </w:r>
      <w:r>
        <w:t xml:space="preserve"> </w:t>
      </w:r>
      <w:r>
        <w:rPr>
          <w:bCs/>
          <w:b/>
        </w:rPr>
        <w:t xml:space="preserve">f</w:t>
      </w:r>
      <w:r>
        <w:rPr>
          <w:vertAlign w:val="superscript"/>
          <w:bCs/>
          <w:b/>
        </w:rPr>
        <w:t xml:space="preserve">35</w:t>
      </w:r>
      <w:r>
        <w:t xml:space="preserve"> </w:t>
      </w:r>
      <w:r>
        <w:t xml:space="preserve">jest niezależna od wszystkich linii przekazu reprezentowanych przez manuskrypty w tych kolumnach. W pierwszej kolumnie nie ma manuskryptów bizantyjskich, a w drugiej jest tylko jeden (niezbyt silny — 69). Dla kontrastu trzecia kolumna zawiera jeden bardzo silny manuskrypt bizantyjski (607), jeden silny (180), dwa dostateczne (0142, 1890) i dwa słabe (1501, 1842), mimo wszystko wyraźnie nie reprezentują one masy tradycji bizantyjskiej.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innych linii przekazu, jak uważam, wówczas sięga Oryginału — jakie inne rozsądne wyjaśnienie istnieje?</w:t>
      </w:r>
    </w:p>
    <w:bookmarkStart w:id="431" w:name="και-36-20"/>
    <w:p>
      <w:pPr>
        <w:pStyle w:val="Heading5"/>
      </w:pPr>
      <w:r>
        <w:rPr>
          <w:iCs/>
          <w:i/>
        </w:rPr>
        <w:t xml:space="preserve">και</w:t>
      </w:r>
      <w:r>
        <w:t xml:space="preserve"> </w:t>
      </w:r>
      <w:r>
        <w:t xml:space="preserve">3,6 (20%)</w:t>
      </w:r>
    </w:p>
    <w:p>
      <w:pPr>
        <w:pStyle w:val="FirstParagraph"/>
      </w:pPr>
      <w:r>
        <w:t xml:space="preserve">Spośród ośmiu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żaden nie jest bizantyjski. Rękopisy kursywne 1523 i 1524 prawdopodobnie łączą się jedno pokolenie wstecz, być może dwa pokolenia wstecz dołącza do nich 1844, być może trzy pokolenia wstecz dołącza do nich 254, te cztery manuskrypty redukują się więc do jednej linii przekazu. Jak sobie wyobrażam, w V wieku και jest poświadczone przez pięć niezależnych linii przekazu oprócz</w:t>
      </w:r>
      <w:r>
        <w:t xml:space="preserve"> </w:t>
      </w:r>
      <w:r>
        <w:rPr>
          <w:bCs/>
          <w:b/>
        </w:rPr>
        <w:t xml:space="preserve">f</w:t>
      </w:r>
      <w:r>
        <w:rPr>
          <w:vertAlign w:val="superscript"/>
          <w:bCs/>
          <w:b/>
        </w:rPr>
        <w:t xml:space="preserve">35</w:t>
      </w:r>
      <w:r>
        <w:t xml:space="preserve">. Ponieważ ich mozaiki/profile są bardzo odmienne, większość z nich prawdopodobnie sięga III wieku. Wariant ten jest z pewnością starożytny i niczego w ogóle nie zawdzięcza</w:t>
      </w:r>
      <w:r>
        <w:t xml:space="preserve"> </w:t>
      </w:r>
      <w:r>
        <w:rPr>
          <w:bCs/>
          <w:b/>
        </w:rPr>
        <w:t xml:space="preserve">K</w:t>
      </w:r>
      <w:r>
        <w:rPr>
          <w:vertAlign w:val="superscript"/>
          <w:bCs/>
          <w:b/>
        </w:rPr>
        <w:t xml:space="preserve">x</w:t>
      </w:r>
      <w:r>
        <w:t xml:space="preserve">. Uważam spójnik za emfatyczny i prawdopodobnie oryginalny. Porównując to z ιθυνοντος w Liście Jakuba (3,4 (21%)), nie ma pokrywania się z ośmioma manuskryptami spoza</w:t>
      </w:r>
      <w:r>
        <w:t xml:space="preserve"> </w:t>
      </w:r>
      <w:r>
        <w:rPr>
          <w:bCs/>
          <w:b/>
        </w:rPr>
        <w:t xml:space="preserve">f</w:t>
      </w:r>
      <w:r>
        <w:rPr>
          <w:vertAlign w:val="superscript"/>
          <w:bCs/>
          <w:b/>
        </w:rPr>
        <w:t xml:space="preserve">35</w:t>
      </w:r>
      <w:r>
        <w:t xml:space="preserve"> </w:t>
      </w:r>
      <w:r>
        <w:t xml:space="preserve">wymienionymi tam przez</w:t>
      </w:r>
      <w:r>
        <w:t xml:space="preserve"> </w:t>
      </w:r>
      <w:r>
        <w:rPr>
          <w:iCs/>
          <w:i/>
        </w:rPr>
        <w:t xml:space="preserve">ECM</w:t>
      </w:r>
      <w:r>
        <w:t xml:space="preserve">, między tymi dwoma odczytami mamy więc dziesięć niezależnych linii przekazu w V wieku, oprócz</w:t>
      </w:r>
      <w:r>
        <w:t xml:space="preserve"> </w:t>
      </w:r>
      <w:r>
        <w:rPr>
          <w:bCs/>
          <w:b/>
        </w:rPr>
        <w:t xml:space="preserve">f</w:t>
      </w:r>
      <w:r>
        <w:rPr>
          <w:vertAlign w:val="superscript"/>
          <w:bCs/>
          <w:b/>
        </w:rPr>
        <w:t xml:space="preserve">35</w:t>
      </w:r>
      <w:r>
        <w:t xml:space="preserve">.</w:t>
      </w:r>
    </w:p>
    <w:bookmarkEnd w:id="431"/>
    <w:bookmarkStart w:id="432" w:name="ο-θεος-ημιν-511-b-24"/>
    <w:p>
      <w:pPr>
        <w:pStyle w:val="Heading5"/>
      </w:pPr>
      <w:r>
        <w:rPr>
          <w:iCs/>
          <w:i/>
        </w:rPr>
        <w:t xml:space="preserve">ο Θεος ημιν</w:t>
      </w:r>
      <w:r>
        <w:t xml:space="preserve"> </w:t>
      </w:r>
      <w:r>
        <w:t xml:space="preserve">5,11 B (24%)</w:t>
      </w:r>
    </w:p>
    <w:p>
      <w:pPr>
        <w:pStyle w:val="FirstParagraph"/>
      </w:pPr>
      <w:r>
        <w:t xml:space="preserve">Spośród szesnastu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tylko jeden jest bizantyjski (69, dostateczny). Nie ma pokrywania się z ośmioma powyższymi. Kodeks B zapewnia jawne poświadczenie z IV wieku. 0296 jest fragmentem z VI wieku, zbyt małym, by go sklasyfikować. Rękopisy kursywne 630, 1292, 1611, 2138 i 2200 spotkają się do V wieku, reprezentują zatem jedną linię przekazu. Rękopisy kursywne 614 i 2412 tworzą parę. Jak sobie wyobrażam, w V wieku wariant ten jest poświadczony przez jedenaście niezależnych linii przekazu oprócz</w:t>
      </w:r>
      <w:r>
        <w:t xml:space="preserve"> </w:t>
      </w:r>
      <w:r>
        <w:rPr>
          <w:bCs/>
          <w:b/>
        </w:rPr>
        <w:t xml:space="preserve">f</w:t>
      </w:r>
      <w:r>
        <w:rPr>
          <w:vertAlign w:val="superscript"/>
          <w:bCs/>
          <w:b/>
        </w:rPr>
        <w:t xml:space="preserve">35</w:t>
      </w:r>
      <w:r>
        <w:t xml:space="preserve">. Ich profile są na tyle odmienne, że nie zdziwiłbym się, gdybym osiem z nich znalazł w III wieku. Odczyt ten jest z pewnością starożytny, niczego w ogóle nie zawdzięcza</w:t>
      </w:r>
      <w:r>
        <w:t xml:space="preserve"> </w:t>
      </w:r>
      <w:r>
        <w:rPr>
          <w:bCs/>
          <w:b/>
        </w:rPr>
        <w:t xml:space="preserve">K</w:t>
      </w:r>
      <w:r>
        <w:rPr>
          <w:vertAlign w:val="superscript"/>
          <w:bCs/>
          <w:b/>
        </w:rPr>
        <w:t xml:space="preserve">x</w:t>
      </w:r>
      <w:r>
        <w:t xml:space="preserve">, a moim zdaniem jest najprawdopodobniej oryginalny. Porównując to z δυναμενος w Liście Jakuba (3,2 (23%)), dzielą one trzy linie przekazu, lecz pozostaje trzynaście, które należy dodać do jedenastu tutaj — 11 + 13 = 24! Zachowane manuskrypty z pierwszych pięciu wieków absolutnie nie przedstawiają rzeczywistego stanu rzeczy w tamtym czasie.</w:t>
      </w:r>
    </w:p>
    <w:bookmarkEnd w:id="432"/>
    <w:bookmarkStart w:id="434" w:name="περιπατουμεν-16-29"/>
    <w:p>
      <w:pPr>
        <w:pStyle w:val="Heading5"/>
      </w:pPr>
      <w:r>
        <w:rPr>
          <w:iCs/>
          <w:i/>
        </w:rPr>
        <w:t xml:space="preserve">περιπατουμεν</w:t>
      </w:r>
      <w:r>
        <w:t xml:space="preserve"> </w:t>
      </w:r>
      <w:r>
        <w:t xml:space="preserve">1,6 (29%)</w:t>
      </w:r>
    </w:p>
    <w:p>
      <w:pPr>
        <w:pStyle w:val="FirstParagraph"/>
      </w:pPr>
      <w:r>
        <w:t xml:space="preserve">Spośród trzynastu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rękopisy kursywne 2147 i 2652 są bardzo bliskie, a do V wieku dołączy do nich 378. Wszystkie sześć manuskryptów bizantyjskich ma dość odmienne profile, wystarczająco odmienne, by w V wieku nadal reprezentowały sześć linii.</w:t>
      </w:r>
      <w:r>
        <w:rPr>
          <w:rStyle w:val="FootnoteReference"/>
        </w:rPr>
        <w:footnoteReference w:id="433"/>
      </w:r>
      <w:r>
        <w:t xml:space="preserve"> </w:t>
      </w:r>
      <w:r>
        <w:t xml:space="preserve">W V wieku wariant ten ma więc jedenaście niezależnych linii przekazu oprócz</w:t>
      </w:r>
      <w:r>
        <w:t xml:space="preserve"> </w:t>
      </w:r>
      <w:r>
        <w:rPr>
          <w:bCs/>
          <w:b/>
        </w:rPr>
        <w:t xml:space="preserve">f</w:t>
      </w:r>
      <w:r>
        <w:rPr>
          <w:vertAlign w:val="superscript"/>
          <w:bCs/>
          <w:b/>
        </w:rPr>
        <w:t xml:space="preserve">35</w:t>
      </w:r>
      <w:r>
        <w:t xml:space="preserve">, z których tylko jedna jest wspólna z drugą kolumną. Dla tych pierwszych trzech odczytów</w:t>
      </w:r>
      <w:r>
        <w:t xml:space="preserve"> </w:t>
      </w:r>
      <w:r>
        <w:rPr>
          <w:bCs/>
          <w:b/>
        </w:rPr>
        <w:t xml:space="preserve">f</w:t>
      </w:r>
      <w:r>
        <w:rPr>
          <w:vertAlign w:val="superscript"/>
          <w:bCs/>
          <w:b/>
        </w:rPr>
        <w:t xml:space="preserve">35</w:t>
      </w:r>
      <w:r>
        <w:t xml:space="preserve"> </w:t>
      </w:r>
      <w:r>
        <w:t xml:space="preserve">znajduje więc poparcie 26 niezależnych linii przekazu (5 + 11 + 10), sięgających, jak przypuszczam, V wieku, sama pozostając niezależna od nich wszystkich. W aparacie argumentowałem już na podstawie gramatyki i kontekstu, że περιπατουμεν jest poprawne, a zatem oryginalne — z pewnością jest starożytne. Jeśli każde słowo niezależnego typu tekstu jest starożytne, wynika z tego z konieczności, że sam typ tekstu jest starożytny.</w:t>
      </w:r>
    </w:p>
    <w:bookmarkEnd w:id="434"/>
    <w:bookmarkStart w:id="435" w:name="εν-324-ℵ-30"/>
    <w:p>
      <w:pPr>
        <w:pStyle w:val="Heading5"/>
      </w:pPr>
      <w:r>
        <w:t xml:space="preserve">---</w:t>
      </w:r>
      <w:r>
        <w:t xml:space="preserve"> </w:t>
      </w:r>
      <w:r>
        <w:rPr>
          <w:iCs/>
          <w:i/>
        </w:rPr>
        <w:t xml:space="preserve">εν</w:t>
      </w:r>
      <w:r>
        <w:t xml:space="preserve"> </w:t>
      </w:r>
      <w:r>
        <w:t xml:space="preserve">3,24 ℵ (30%)</w:t>
      </w:r>
    </w:p>
    <w:p>
      <w:pPr>
        <w:pStyle w:val="FirstParagraph"/>
      </w:pPr>
      <w:r>
        <w:t xml:space="preserve">Spośród dziesięciu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rękopisy kursywne 614 i 2412 reprezentują jedną linię. Rękopis kursywny 1836 zawiera tylko jedną trzecią całości, dlatego go pomijam. Kodeks ℵ zapewnia jawne poświadczenie z IV wieku. Spośród pięciu manuskryptów bizantyjskich 607 i 2423 reprezentują jedną linię. Pozostaje zatem siedem niezależnych linii przekazu w V wieku, poza</w:t>
      </w:r>
      <w:r>
        <w:t xml:space="preserve"> </w:t>
      </w:r>
      <w:r>
        <w:rPr>
          <w:bCs/>
          <w:b/>
        </w:rPr>
        <w:t xml:space="preserve">f</w:t>
      </w:r>
      <w:r>
        <w:rPr>
          <w:vertAlign w:val="superscript"/>
          <w:bCs/>
          <w:b/>
        </w:rPr>
        <w:t xml:space="preserve">35</w:t>
      </w:r>
      <w:r>
        <w:t xml:space="preserve">, z których trzy są wspólne z trzecią kolumną, a kolejna z drugą. Odczyt ten jest z pewnością starożytny, a moim zdaniem najprawdopodobniej oryginalny.</w:t>
      </w:r>
    </w:p>
    <w:bookmarkEnd w:id="435"/>
    <w:bookmarkEnd w:id="436"/>
    <w:bookmarkStart w:id="437" w:name="wniosek-5"/>
    <w:p>
      <w:pPr>
        <w:pStyle w:val="Heading4"/>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35%, 40% itd. Pozwolę sobie powtórzyć kilka najważniejszych punktów:</w:t>
      </w:r>
    </w:p>
    <w:p>
      <w:pPr>
        <w:numPr>
          <w:ilvl w:val="0"/>
          <w:numId w:val="1076"/>
        </w:numPr>
      </w:pPr>
      <w:r>
        <w:rPr>
          <w:bCs/>
          <w:b/>
        </w:rPr>
        <w:t xml:space="preserve">f</w:t>
      </w:r>
      <w:r>
        <w:rPr>
          <w:vertAlign w:val="superscript"/>
          <w:bCs/>
          <w:b/>
        </w:rPr>
        <w:t xml:space="preserve">35</w:t>
      </w:r>
      <w:r>
        <w:t xml:space="preserve"> </w:t>
      </w:r>
      <w:r>
        <w:t xml:space="preserve">jest wczesna i niezależna — niezależna od wszystkich innych znanych linii przekazu,</w:t>
      </w:r>
    </w:p>
    <w:p>
      <w:pPr>
        <w:numPr>
          <w:ilvl w:val="0"/>
          <w:numId w:val="1076"/>
        </w:numPr>
      </w:pPr>
      <w:r>
        <w:t xml:space="preserve">jeśli jest niezależna od wszystkich innych linii przekazu, z konieczności musi sięgać Autografów,</w:t>
      </w:r>
    </w:p>
    <w:p>
      <w:pPr>
        <w:numPr>
          <w:ilvl w:val="0"/>
          <w:numId w:val="1076"/>
        </w:numPr>
      </w:pPr>
      <w:r>
        <w:t xml:space="preserve">jeśli każde słowo niezależnego typu tekstu jest starożytne, wynika z tego z konieczności, że sam typ tekstu jest starożytny,</w:t>
      </w:r>
    </w:p>
    <w:p>
      <w:pPr>
        <w:numPr>
          <w:ilvl w:val="0"/>
          <w:numId w:val="1076"/>
        </w:numPr>
      </w:pPr>
      <w:r>
        <w:t xml:space="preserve">zachowane manuskrypty z pierwszych pięciu wieków absolutnie nie przedstawiają rzeczywistego stanu rzeczy w tamtym czasie.</w:t>
      </w:r>
    </w:p>
    <w:bookmarkEnd w:id="437"/>
    <w:bookmarkEnd w:id="438"/>
    <w:bookmarkEnd w:id="439"/>
    <w:bookmarkStart w:id="497" w:name="X2b6affaa876eb90dffbc754ab591c18f31e3f92"/>
    <w:p>
      <w:pPr>
        <w:pStyle w:val="Heading2"/>
      </w:pPr>
      <w:r>
        <w:t xml:space="preserve">Podstawowa przyczyna ciągłego odchodzenia od biblijnej nieomylności i wynikającego z niej obiektywnego autorytetu</w:t>
      </w:r>
    </w:p>
    <w:p>
      <w:pPr>
        <w:pStyle w:val="FirstParagraph"/>
      </w:pPr>
      <w:r>
        <w:t xml:space="preserve">Ta część świata akademickiego, która zajmuje się Tekstem biblijnym, łącznie z tymi, którzy nazywają siebie „ewangelikalnymi”, jest zdominowana przez pogląd, że oryginalne sformułowania zaginęły, w tym sensie, że nikt nie wie na pewno, jakie są lub były (jeśli rzeczywiście kiedykolwiek istniały jako Autograf).</w:t>
      </w:r>
      <w:r>
        <w:rPr>
          <w:rStyle w:val="FootnoteReference"/>
        </w:rPr>
        <w:footnoteReference w:id="440"/>
      </w:r>
      <w:r>
        <w:t xml:space="preserve"> </w:t>
      </w:r>
      <w:r>
        <w:t xml:space="preserve">Pogląd ten leży u podstaw wszystkiego, czego naucza się w dziedzinie krytyki tekstu Nowego Testamentu w większości szkół. Próbując zrozumieć, skąd pochodzi ten pogląd, naszkicuję nieco istotnej historii.</w:t>
      </w:r>
    </w:p>
    <w:bookmarkStart w:id="454" w:name="nieco-istotnej-historii"/>
    <w:p>
      <w:pPr>
        <w:pStyle w:val="Heading3"/>
      </w:pPr>
      <w:r>
        <w:t xml:space="preserve">Nieco istotnej historii</w:t>
      </w:r>
    </w:p>
    <w:p>
      <w:pPr>
        <w:pStyle w:val="FirstParagraph"/>
      </w:pPr>
      <w:r>
        <w:t xml:space="preserve">Dyscyplina krytyki tekstu Nowego Testamentu, jaką znamy, jest zasadniczo „dzieckiem” Europy Zachodniej i jej kolonii, Wschodnie Kościoły Prawosławne na ogół nie były w nią zaangażowane. (Zawsze wiedziały, że prawdziwy Tekst Nowego Testamentu znajduje się w tradycji bizantyjskiej). W roku 1500 chrześcijaństwo Europy Zachodniej było zdominowane przez Kościół rzymskokatolicki, którego papież rościł sobie wyłączne prawo do interpretowania Pisma. Tym Pismem była łacińska Wulgata, której świeckim nie wolno było czytać. Dziewięćdziesiąt pięć tez Marcina Lutra ogłoszono w 1517 roku. Czy było zwykłym przypadkiem, że pierwszy drukowany grecki Tekst Nowego Testamentu opublikowano rok wcześniej? W miarę postępów reformacji protestanckiej ogłoszono, że autorytet Pisma przewyższa autorytet papieża oraz że każdy wierzący ma prawo samodzielnie czytać i interpretować Pismo. Zakwestionowano również autorytet łacińskiej Wulgaty, ponieważ Nowy Testament został napisany po grecku. Biblioteka Watykańska posiadała oczywiście wiele greckich manuskryptów, z których żadne dwa nie były identyczne (przynajmniej w Ewangeliach), Kościół rzymski zakwestionował więc autentyczność greckiego Tekstu.</w:t>
      </w:r>
      <w:r>
        <w:rPr>
          <w:rStyle w:val="FootnoteReference"/>
        </w:rPr>
        <w:footnoteReference w:id="441"/>
      </w:r>
      <w:r>
        <w:t xml:space="preserve"> </w:t>
      </w:r>
      <w:r>
        <w:t xml:space="preserve">Krótko mówiąc, Kościół rzymski zmusił reformację do zmierzenia się ze zróżnicowaniem tekstowym wśród greckich manuskryptów. Reformatorzy nie wiedzieli jednak, jak się do tego zabrać, ponieważ była to nowa dziedzina badań i</w:t>
      </w:r>
      <w:r>
        <w:t xml:space="preserve"> </w:t>
      </w:r>
      <w:r>
        <w:rPr>
          <w:u w:val="single"/>
        </w:rPr>
        <w:t xml:space="preserve">po prostu nie posiadali wystarczającej części istotnych dowodów</w:t>
      </w:r>
      <w:r>
        <w:t xml:space="preserve">.</w:t>
      </w:r>
      <w:r>
        <w:rPr>
          <w:rStyle w:val="FootnoteReference"/>
        </w:rPr>
        <w:footnoteReference w:id="442"/>
      </w:r>
      <w:r>
        <w:t xml:space="preserve"> </w:t>
      </w:r>
      <w:r>
        <w:t xml:space="preserve">(Prawdopodobnie nie wiedzieli nawet o istnieniu półwyspu góry Athos z jego dwudziestoma klasztorami).</w:t>
      </w:r>
    </w:p>
    <w:p>
      <w:pPr>
        <w:pStyle w:val="BodyText"/>
      </w:pPr>
      <w:r>
        <w:t xml:space="preserve">W roku 1500 rzymskokatolicki establishment był skorumpowany, moralnie zbankrutowany i skompromitowany w oczach myślących ludzi. Na pierwszy plan wysuwały się epoka rozumu i humanizm. Coraz więcej ludzi dochodziło do wniosku, że lepiej poradzą sobie bez boga rzymskiego establishmentu. Nowo wyobrażona wolność od nadprzyrodzonego nadzoru była upajająca, wielu nie było też zainteresowanych przyjęciem autorytetu Pisma (</w:t>
      </w:r>
      <w:r>
        <w:rPr>
          <w:iCs/>
          <w:i/>
        </w:rPr>
        <w:t xml:space="preserve">sola Scriptura</w:t>
      </w:r>
      <w:r>
        <w:t xml:space="preserve">). Ponadto wykluczenie ze swoich rozważań sfery nadprzyrodzonej i nieuwzględnienie szatańskiej działalności za kulisami byłoby skrajnie naiwne. Rozważmy List do Efezjan 2,2: „w których niegdyś chodziliście, według Eonu tego świata, władcy dziedziny powietrza, ducha, który teraz działa w synach nieposłuszeństwa”. Ściśle rzecz biorąc, Tekst ma: „według Eonu tego świata, według władcy dziedziny powietrza”, wyrażenia są równoległe, a zatem „Eon” i „władca” mają ten sam desygnat, określoną osobę lub istotę. Duch ten działa obecnie (czas teraźniejszy) w „synach nieposłuszeństwa”. „Synowie” czegoś to ci, których to coś charakteryzuje, a tym czymś w tym przypadku jest „to” nieposłuszeństwo (Tekst ma rodzajnik określony) — kontynuacja pierwotnego buntu przeciwko Władcy wszechświata.</w:t>
      </w:r>
      <w:r>
        <w:rPr>
          <w:rStyle w:val="FootnoteReference"/>
        </w:rPr>
        <w:footnoteReference w:id="443"/>
      </w:r>
      <w:r>
        <w:t xml:space="preserve"> </w:t>
      </w:r>
      <w:r>
        <w:t xml:space="preserve">„Synowie nieposłuszeństwa” przyłączyli się do ataku na Pismo. Tak zwana „wyższa krytyka” całkowicie zaprzeczyła boskiemu natchnieniu.</w:t>
      </w:r>
      <w:r>
        <w:rPr>
          <w:rStyle w:val="FootnoteReference"/>
        </w:rPr>
        <w:footnoteReference w:id="444"/>
      </w:r>
      <w:r>
        <w:t xml:space="preserve"> </w:t>
      </w:r>
      <w:r>
        <w:t xml:space="preserve">Inni wykorzystali zróżnicowanie tekstowe, by argumentować, że w każdym razie oryginalne sformułowania „zaginęły”, ponieważ nie istnieje żaden obiektywny sposób ustalenia, jakie mogły być (niestety w tamtym czasie nikt nie był w stanie dostrzec takiego sposobu).</w:t>
      </w:r>
    </w:p>
    <w:p>
      <w:pPr>
        <w:pStyle w:val="BodyText"/>
      </w:pPr>
      <w:r>
        <w:t xml:space="preserve">Ważnym czynnikiem było bezkrytyczne założenie, że „najstarsze znaczy najlepsze”, a w miarę odkrywania wcześniejszych uncjałów nabierało ono coraz większego znaczenia.</w:t>
      </w:r>
      <w:r>
        <w:rPr>
          <w:rStyle w:val="FootnoteReference"/>
        </w:rPr>
        <w:footnoteReference w:id="445"/>
      </w:r>
      <w:r>
        <w:t xml:space="preserve"> </w:t>
      </w:r>
      <w:r>
        <w:t xml:space="preserve">Zarówno Kodeks Watykański, jak i Kodeks Bezy były dostępne od dawna, a tylko w Ewangeliach występują między nimi tysiące rozbieżności (w Dziejach Apostolskich Beza jest niepohamowany niemal ponad wszelką wiarę).</w:t>
      </w:r>
      <w:r>
        <w:t xml:space="preserve"> </w:t>
      </w:r>
      <w:r>
        <w:rPr>
          <w:u w:val="single"/>
          <w:bCs/>
          <w:b/>
        </w:rPr>
        <w:t xml:space="preserve">Jeśli</w:t>
      </w:r>
      <w:r>
        <w:t xml:space="preserve"> </w:t>
      </w:r>
      <w:r>
        <w:t xml:space="preserve">„najstarsze znaczy najlepsze”, a najstarsze manuskrypty nieustannie i masowo nie zgadzają się między sobą, wówczas odzyskanie zaginionego tekstu staje się beznadziejne. Czy to do ciebie dotarło?</w:t>
      </w:r>
      <w:r>
        <w:t xml:space="preserve"> </w:t>
      </w:r>
      <w:r>
        <w:rPr>
          <w:bCs/>
          <w:b/>
        </w:rPr>
        <w:t xml:space="preserve">Beznadziejne, całkowicie beznadziejne</w:t>
      </w:r>
      <w:r>
        <w:t xml:space="preserve">! Argumentowałem jednak (i nadal to czynię), że „najstarsze znaczy najgorsze”, a to radykalnie zmienia obraz. Wzorcowym dziełem na ten temat jest</w:t>
      </w:r>
      <w:r>
        <w:t xml:space="preserve"> </w:t>
      </w:r>
      <w:r>
        <w:rPr>
          <w:iCs/>
          <w:i/>
        </w:rPr>
        <w:t xml:space="preserve">Codex B and its Allies: A Study and an Indictment</w:t>
      </w:r>
      <w:r>
        <w:t xml:space="preserve"> </w:t>
      </w:r>
      <w:r>
        <w:t xml:space="preserve">Hermana C. Hoskiera (2 tomy, Londyn: Bernard Quaritch, 1914). Pierwszy tom (około 500 stron) zawiera szczegółowe i staranne omówienie setek oczywistych błędów w Kodeksie B, drugi (około 400 stron) czyni to samo dla Kodeksu Alef. Hoskier twierdzi, że w samych Ewangeliach te dwa manuskrypty różnią się znacznie ponad 3000 razy, przy czym liczba ta nie obejmuje drobniejszych błędów, takich jak pisownia (II, 1). (Gdyby zestawił wszystkie różnice, suma niewątpliwie wzrosłaby o kilkaset). Otóż prosta logika wymaga, by jeden albo drugi mylił się w tych ponad 3000 przypadkach, oba nie mogą mieć racji, zupełnie niezależnie od przypadków, w których oba się mylą.</w:t>
      </w:r>
      <w:r>
        <w:t xml:space="preserve"> </w:t>
      </w:r>
      <w:r>
        <w:rPr>
          <w:bCs/>
          <w:b/>
        </w:rPr>
        <w:t xml:space="preserve">Żadna ilość subiektywnych preferencji nie może przesłonić faktu, że obiektywnie rzecz biorąc, są to kiepskie kopie</w:t>
      </w:r>
      <w:r>
        <w:t xml:space="preserve">.</w:t>
      </w:r>
      <w:r>
        <w:rPr>
          <w:rStyle w:val="FootnoteReference"/>
        </w:rPr>
        <w:footnoteReference w:id="446"/>
      </w:r>
      <w:r>
        <w:t xml:space="preserve"> </w:t>
      </w:r>
      <w:r>
        <w:t xml:space="preserve">Były tak złe, że nikt nie mógł znieść ich używania, dlatego przetrwały fizycznie (nie miały jednak „dzieci”, ponieważ nikt nie chciał ich kopiować).</w:t>
      </w:r>
    </w:p>
    <w:p>
      <w:pPr>
        <w:pStyle w:val="BodyText"/>
      </w:pPr>
      <w:r>
        <w:t xml:space="preserve">Ponieważ każdy pozostaje pod wpływem swojego środowiska (choć niekoniecznie pod jego kontrolą), dotyczyło to również reformatorów. Reformacja była przynajmniej częściowo „dzieckiem” renesansu, z jego naciskiem na rozum. Przypomnijmy, że podczas procesu Luter powiedział, iż może odwołać swoje poglądy tylko wtedy, gdy przekona go Pismo</w:t>
      </w:r>
      <w:r>
        <w:t xml:space="preserve"> </w:t>
      </w:r>
      <w:r>
        <w:rPr>
          <w:u w:val="single"/>
        </w:rPr>
        <w:t xml:space="preserve">i rozum. Jak dotąd wszystko dobrze, lecz wielu nie chciało Pisma, pozostał im więc tylko</w:t>
      </w:r>
      <w:r>
        <w:t xml:space="preserve"> </w:t>
      </w:r>
      <w:r>
        <w:t xml:space="preserve">rozum. Ponadto, ponieważ rozum nie potrafi wyjaśnić sfery nadprzyrodzonej ani sobie z nią poradzić, ci, którzy kładą nacisk na rozum, są na ogół nieprzychylni wobec sfery nadprzyrodzonej. (Do dziś tak zwane historyczne lub tradycyjne denominacje protestanckie mają trudności z radzeniem sobie ze sferą nadprzyrodzoną).</w:t>
      </w:r>
    </w:p>
    <w:p>
      <w:pPr>
        <w:pStyle w:val="BodyText"/>
      </w:pPr>
      <w:r>
        <w:t xml:space="preserve">Zanim Adolf Deissmann opublikował</w:t>
      </w:r>
      <w:r>
        <w:t xml:space="preserve"> </w:t>
      </w:r>
      <w:r>
        <w:rPr>
          <w:iCs/>
          <w:i/>
        </w:rPr>
        <w:t xml:space="preserve">Light from the Ancient East</w:t>
      </w:r>
      <w:r>
        <w:t xml:space="preserve"> </w:t>
      </w:r>
      <w:r>
        <w:t xml:space="preserve">(1910) (przekład</w:t>
      </w:r>
      <w:r>
        <w:t xml:space="preserve"> </w:t>
      </w:r>
      <w:r>
        <w:rPr>
          <w:iCs/>
          <w:i/>
        </w:rPr>
        <w:t xml:space="preserve">Licht vom Osten</w:t>
      </w:r>
      <w:r>
        <w:t xml:space="preserve">, 1908), gdzie wykazał, że greka koine była</w:t>
      </w:r>
      <w:r>
        <w:t xml:space="preserve"> </w:t>
      </w:r>
      <w:r>
        <w:rPr>
          <w:iCs/>
          <w:i/>
        </w:rPr>
        <w:t xml:space="preserve">lingua franca</w:t>
      </w:r>
      <w:r>
        <w:t xml:space="preserve"> </w:t>
      </w:r>
      <w:r>
        <w:t xml:space="preserve">w czasach Jezusa i istniała nawet opublikowana gramatyka wyjaśniająca jej reguły, na uniwersytetach nauczano wyłącznie greki klasycznej. Nowy Testament napisano jednak w koine. Przed wzorcowym dziełem Deissmanna istniały dwa stanowiska dotyczące greki Nowego Testamentu: 1) była ona zdegenerowaną formą greki klasycznej albo 2) była greką „Ducha Świętego”, wymyśloną dla Nowego Testamentu. Drugie stanowisko zajmowali głównie pietyści, świat akademicki preferował pierwsze, które rodziło naturalne pytanie: jeśli Bóg zamierzał natchnąć Nowy Testament, dlaczego nie uczynił tego w „przyzwoitej” grece? Panujące przekonanie, że koine była złą greką, uprzedziło wielu do Nowego Testamentu.</w:t>
      </w:r>
    </w:p>
    <w:p>
      <w:pPr>
        <w:pStyle w:val="BodyText"/>
      </w:pPr>
      <w:r>
        <w:t xml:space="preserve">Wszystko to postawiło obrońców natchnionej greckiej Biblii w defensywie, przed bardzo realnym problemem ustalenia, gdzie najlepiej wyznaczyć możliwy do obrony obwód. Przy panującej niewiedzy o istotnych dowodach ich najlepszym wyborem wydawało się odwołanie do Boskiej Opatrzności. Bóg opatrznościowo wybrał TR, a zatem to właśnie tego tekstu należało używać (tekstu „tradycyjnego”).</w:t>
      </w:r>
      <w:r>
        <w:rPr>
          <w:rStyle w:val="FootnoteReference"/>
        </w:rPr>
        <w:footnoteReference w:id="447"/>
      </w:r>
      <w:r>
        <w:t xml:space="preserve"> </w:t>
      </w:r>
      <w:r>
        <w:t xml:space="preserve">Powiedziałbym, że Boska Opatrzność istotnie działała, ponieważ TR jest dobrym Tekstem, znacznie lepszym od tekstu eklektycznego będącego obecnie w modzie.</w:t>
      </w:r>
    </w:p>
    <w:p>
      <w:pPr>
        <w:pStyle w:val="BodyText"/>
      </w:pPr>
      <w:r>
        <w:t xml:space="preserve">Wszystko wskazywało na to, że Szatan wygrywa, lecz nadal miał problem: główne przekłady protestanckie (niemieckie, angielskie, hiszpańskie itd.) opierały się na</w:t>
      </w:r>
      <w:r>
        <w:t xml:space="preserve"> </w:t>
      </w:r>
      <w:r>
        <w:rPr>
          <w:iCs/>
          <w:i/>
        </w:rPr>
        <w:t xml:space="preserve">Textus Receptus</w:t>
      </w:r>
      <w:r>
        <w:t xml:space="preserve">, podobnie jak wyznania wiary i „modlitewniki”. Na scenę wchodzi F.J.A. Hort, typowy „syn nieposłuszeństwa”. Hort nie wierzył ani w boskie natchnienie Biblii, ani w boskość Jezusa Chrystusa. Ponieważ przyjął teorię darwinowską, gdy tylko się pojawiła, przypuszczalnie nie wierzył w Boga.</w:t>
      </w:r>
      <w:r>
        <w:rPr>
          <w:rStyle w:val="FootnoteReference"/>
        </w:rPr>
        <w:footnoteReference w:id="448"/>
      </w:r>
      <w:r>
        <w:t xml:space="preserve"> </w:t>
      </w:r>
      <w:r>
        <w:t xml:space="preserve">Jego teoria krytyki tekstu Nowego Testamentu, opublikowana w 1881 roku,</w:t>
      </w:r>
      <w:r>
        <w:rPr>
          <w:rStyle w:val="FootnoteReference"/>
        </w:rPr>
        <w:footnoteReference w:id="449"/>
      </w:r>
      <w:r>
        <w:t xml:space="preserve"> </w:t>
      </w:r>
      <w:r>
        <w:t xml:space="preserve">opierała się wprost na założeniach, że Nowy Testament nie był natchniony, że w pierwszych dziesięcioleciach nie otaczano go szczególną troską i że w konsekwencji oryginalne sformułowania zaginęły — przynajmniej niemożliwe było ich odzyskanie obiektywnymi środkami. Jego teoria zawładnęła światem akademickim i do dziś dominuje w tej dyscyplinie.</w:t>
      </w:r>
      <w:r>
        <w:rPr>
          <w:rStyle w:val="FootnoteReference"/>
        </w:rPr>
        <w:footnoteReference w:id="450"/>
      </w:r>
    </w:p>
    <w:p>
      <w:pPr>
        <w:pStyle w:val="BodyText"/>
      </w:pPr>
      <w:r>
        <w:t xml:space="preserve">Jak jednak doszło do tego, że teoria Horta zdołała przejąć wydziały greki konserwatywnych szkół w Ameryce Północnej? Odpowiedź zaczyna się od natarcia liberalnej teologii na protestanckie kościoły tego kontynentu na początku XX wieku. Wielkim obrońcą boskiego natchnienia Pisma był prezbiterianin Benjamin B. Warfield. Jego obrona natchnienia jest tak dobra, że trudno ją ulepszyć. W którymś momencie postanowił jednak wyjechać na studia do Niemiec, jak sądzę, do Tybingi. Gdy wrócił, dziękował Bogu za wzbudzenie Westcotta i Horta, aby przywrócili tekst Nowego Testamentu (zastanów się nad konsekwencją słowa „przywrócili”). Jeden z jego studentów, baptysta Archibald T. Robertson, poszedł za Warfieldem. Prestiż tych dwóch ludzi był tak wielki, że ich pogląd ogarnął szkoły teologiczne kontynentu. Proszę czytelnika o cierpliwość, gdy spróbuję zdiagnozować, co przydarzyło się Warfieldowi w Tybindze.</w:t>
      </w:r>
    </w:p>
    <w:p>
      <w:pPr>
        <w:pStyle w:val="BodyText"/>
      </w:pPr>
      <w:r>
        <w:t xml:space="preserve">W Tybindze Warfield znalazł się wśród wrogów natchnionej Biblii. Był obrońcą boskiego natchnienia, lecz aby natchniony tekst miał dzisiaj obiektywny autorytet, musiał zostać zachowany.</w:t>
      </w:r>
      <w:r>
        <w:rPr>
          <w:rStyle w:val="FootnoteReference"/>
        </w:rPr>
        <w:footnoteReference w:id="451"/>
      </w:r>
      <w:r>
        <w:t xml:space="preserve"> </w:t>
      </w:r>
      <w:r>
        <w:t xml:space="preserve">Przy panującej wówczas niewiedzy o istotnych dowodach Warfield po prostu nie potrafił bronić zachowania na gruncie obiektywnym (nie potrafił też nikt inny — ma to decydujące znaczenie dla zrozumienia tego, co się stało). Stanął wobec faktu szerokiego zróżnicowania między zachowanymi greckimi manuskryptami. Jeszcze gorsze — o wiele gorsze — było założenie, że „najstarsze znaczy najlepsze”, ponieważ najstarsze manuskrypty są beznadziejnie skłócone między sobą. Na przykład dwa wielkie wczesne kodeksy, Watykański i Synajski, różnią się między sobą znacznie ponad 3000 razy tylko w czterech Ewangeliach. Otóż oba nie mogą mieć racji, jeden albo drugi</w:t>
      </w:r>
      <w:r>
        <w:t xml:space="preserve"> </w:t>
      </w:r>
      <w:r>
        <w:rPr>
          <w:bCs/>
          <w:b/>
        </w:rPr>
        <w:t xml:space="preserve">musi</w:t>
      </w:r>
      <w:r>
        <w:t xml:space="preserve"> </w:t>
      </w:r>
      <w:r>
        <w:t xml:space="preserve">się mylić, zupełnie niezależnie od miejsc, w których mylą się</w:t>
      </w:r>
      <w:r>
        <w:t xml:space="preserve"> </w:t>
      </w:r>
      <w:r>
        <w:rPr>
          <w:u w:val="single"/>
        </w:rPr>
        <w:t xml:space="preserve">oba</w:t>
      </w:r>
      <w:r>
        <w:t xml:space="preserve">. Co zatem biedny Warfield miał zrobić? Na scenę wchodzą Westcott i Hort. Hort twierdził, że wskutek ich pracy tylko jedna tysięczna część tekstu Nowego Testamentu może być uznawana za wątpliwą, a zwykli ludzie przyjęli to z radością, ponieważ zdawało się zapewniać o wiarygodności tego tekstu — twierdzenie to dotyczyło jednak oczywiście tylko tekstu W-H (prawdopodobnie najgorszego opublikowanego Nowego Testamentu, jaki istnieje do dziś, twierdzenie było więc fałszywe).</w:t>
      </w:r>
      <w:r>
        <w:rPr>
          <w:rStyle w:val="FootnoteReference"/>
        </w:rPr>
        <w:footnoteReference w:id="452"/>
      </w:r>
      <w:r>
        <w:t xml:space="preserve"> </w:t>
      </w:r>
      <w:r>
        <w:t xml:space="preserve">Warfield uchwycił się tego jak tonący brzytwy, wyrządzając tym poważną szkodę północnoamerykańskiemu ewangelikalizmowi.</w:t>
      </w:r>
      <w:r>
        <w:rPr>
          <w:rStyle w:val="FootnoteReference"/>
        </w:rPr>
        <w:footnoteReference w:id="453"/>
      </w:r>
    </w:p>
    <w:bookmarkEnd w:id="454"/>
    <w:bookmarkStart w:id="462" w:name="dlaczego-odchodzenie-trwa-nieustannie"/>
    <w:p>
      <w:pPr>
        <w:pStyle w:val="Heading3"/>
      </w:pPr>
      <w:r>
        <w:t xml:space="preserve">Dlaczego odchodzenie trwa nieustannie</w:t>
      </w:r>
    </w:p>
    <w:p>
      <w:pPr>
        <w:pStyle w:val="FirstParagraph"/>
      </w:pPr>
      <w:r>
        <w:t xml:space="preserve">Aby zrozumieć pełny wpływ natarcia liberalnej teologii, trzeba uwzględnić środowisko. Rozum zawsze był ważny dla historycznych lub tradycyjnych denominacji protestanckich. W konsekwencji akademicka poważalność zawsze była ważna dla ich szkół podyplomowych teologii. Trudność tkwi w następującej okoliczności: od co najmniej dwóch stuleci światem akademickim włada Szatan, dlatego to on dyktuje warunki „poważalności”. Obejmują one „publikuj albo giń”, lecz oczywiście to on kontroluje czasopisma specjalistyczne. Ponieważ jest ojcem kłamstw (Ewangelia Jana 8,44), każdy, kto chciał powiedzieć całą prawdę, zawsze miał trudności z opublikowaniem artykułu, niezależnie od jego jakości. Aby artykuł został opublikowany, trzeba było trzymać się linii partyjnej. „Uwzględnianie istniejącej literatury” zmusza człowieka do marnowania mnóstwa czasu na czytanie nonsensów wytworzonych przez sługi Szatana, a wszystko to miało odciągnąć czytelnika od prawdy.</w:t>
      </w:r>
    </w:p>
    <w:p>
      <w:pPr>
        <w:pStyle w:val="BodyText"/>
      </w:pPr>
      <w:r>
        <w:t xml:space="preserve">PRAWDA — otóż to jest sedno. Rozważmy 2 List do Tesaloniczan 2,9-12: „Przyjście</w:t>
      </w:r>
      <w:r>
        <w:t xml:space="preserve"> </w:t>
      </w:r>
      <w:r>
        <w:rPr>
          <w:iCs/>
          <w:i/>
        </w:rPr>
        <w:t xml:space="preserve">niegodziwca</w:t>
      </w:r>
      <w:r>
        <w:t xml:space="preserve"> </w:t>
      </w:r>
      <w:r>
        <w:t xml:space="preserve">jest według działania Szatana, z wszelką mocą, znakami i kłamliwymi cudami, 10 i z wszelkim zwodzeniem nieprawości wśród tych, którzy giną, ponieważ nie przyjęli miłości prawdy, aby zostali zbawieni. 11 I dlatego Bóg pośle im silne zwiedzenie, aby uwierzyli kłamstwu, 12 żeby zostali osądzeni wszyscy, którzy nie uwierzyli prawdzie, lecz upodobali sobie nieprawość” (NKJV). Chociaż werset dziesiąty występuje w kontekście działalności Antychrysta, który znajdzie łatwy cel w „tych, którzy sami siebie wyniszczają” (mój przekład), nie wynika z tego, że nikt nie będzie wyniszczał samego siebie przed tą działalnością. Ludzie oczywiście wyniszczali samych siebie w całej historii, a podstawowa przyczyna tego „wyniszczania” nigdy się nie zmieniła — „nie przyjęli miłości prawdy”. (Zaczęło się w Ogrodzie).</w:t>
      </w:r>
    </w:p>
    <w:p>
      <w:pPr>
        <w:pStyle w:val="BodyText"/>
      </w:pPr>
      <w:r>
        <w:t xml:space="preserve">Proszę uważnie zauważyć, co jest tutaj powiedziane: to sam Bóg posyła silne zwiedzenie! A na kogo je posyła? Na tych, którzy nie przyjmują miłości prawdy.</w:t>
      </w:r>
      <w:r>
        <w:rPr>
          <w:rStyle w:val="FootnoteReference"/>
        </w:rPr>
        <w:footnoteReference w:id="455"/>
      </w:r>
      <w:r>
        <w:t xml:space="preserve"> </w:t>
      </w:r>
      <w:r>
        <w:t xml:space="preserve">Jaki jest cel silnego zwiedzenia? — potępienie tych, którzy nie wierzą prawdzie. Ojej, to jest ciężkie. Zauważ, że prawda ma</w:t>
      </w:r>
      <w:r>
        <w:t xml:space="preserve"> </w:t>
      </w:r>
      <w:r>
        <w:rPr>
          <w:bCs/>
          <w:b/>
        </w:rPr>
        <w:t xml:space="preserve">centralne</w:t>
      </w:r>
      <w:r>
        <w:t xml:space="preserve"> </w:t>
      </w:r>
      <w:r>
        <w:t xml:space="preserve">znaczenie dla zbawienia każdego człowieka. Rodzi to konieczne pytanie: co właściwie znaczy „prawda”? W Ewangelii Jana 14,6 Władca Jezus oświadczył, że sam jest „prawdą”. Modląc się do Ojca w Ewangelii Jana 17,17, powiedział: „Twoje Słowo jest prawdą”. Po jednym razie w rozdziałach 14, 15 i 16 Ewangelii Jana odniósł się do trzeciej osoby Trójcy jako „Ducha prawdy”. Ponieważ Syn wrócił do Nieba, na prawicę Ojca, Duch zaś przez większość czasu nie jest dla większości z nas zbyt dostrzegalny, a Słowo jest mieczem Ducha (List do Efezjan 6,17), nasz główny dostęp do „prawdy” prowadzi przez Słowo Boga, Biblię. Biblia przedstawia prawdę zdaniową, lecz potrzebujemy Ducha Świętego, by tę prawdę oświecił, a żeby mieć Ducha Świętego, musimy pozostawać we właściwej relacji z Władcą Jezusem.</w:t>
      </w:r>
    </w:p>
    <w:p>
      <w:pPr>
        <w:pStyle w:val="BodyText"/>
      </w:pPr>
      <w:r>
        <w:t xml:space="preserve">Otóż aby coś mogło zostać przyjęte, musi być zaoferowane, człowiek nie może uwierzyć w coś, o czym nigdy nie słyszał (List do Rzymian 10,14). Użycie czasownika „przyjąć” wyraźnie implikuje akt woli ze strony tych, którzy nie przyjmują prawdy, miłość ta została im zaoferowana lub udostępniona, lecz jej nie chcieli, chcieli móc kłamać i przyjmować kłamstwa opowiadane przez innych. Konsekwencje takiego wyboru są jednak straszne, odwrócili się plecami do zbawienia. Podejrzewam, że niewielu chrześcijan w tak zwanym „pierwszym świecie” naprawdę wierzy temu, co Władca Jezus powiedział w Ewangelii Mateusza 7,14: tych, którzy znajdują drogę Życia, jest</w:t>
      </w:r>
      <w:r>
        <w:t xml:space="preserve"> </w:t>
      </w:r>
      <w:r>
        <w:rPr>
          <w:bCs/>
          <w:b/>
        </w:rPr>
        <w:t xml:space="preserve">niewielu</w:t>
      </w:r>
      <w:r>
        <w:t xml:space="preserve">! Nie zapominaj też o Objawieniu Jana 22,15, „każdy, kto miłuje i czyni kłamstwo”, jest wykluczony z niebiańskiego Miasta (każde kłamstwo, łącznie z kłamstwem Horta).</w:t>
      </w:r>
      <w:r>
        <w:rPr>
          <w:rStyle w:val="FootnoteReference"/>
        </w:rPr>
        <w:footnoteReference w:id="456"/>
      </w:r>
      <w:r>
        <w:t xml:space="preserve"> </w:t>
      </w:r>
      <w:r>
        <w:t xml:space="preserve">Rozważę teraz konsekwencje dla studenta rozpoczynającego studia podyplomowe z teologii ze względu na to, co się dzieje, gdy sam zostaje później profesorem albo badaczem Nowego Testamentu.</w:t>
      </w:r>
      <w:r>
        <w:rPr>
          <w:rStyle w:val="FootnoteReference"/>
        </w:rPr>
        <w:footnoteReference w:id="457"/>
      </w:r>
    </w:p>
    <w:p>
      <w:pPr>
        <w:pStyle w:val="BodyText"/>
      </w:pPr>
      <w:r>
        <w:t xml:space="preserve">Większość takich studentów przypuszczalnie pochodzi ze środowiska ewangelikalnego i niewątpliwie uczono ich, że Biblia jest Słowem Boga, a zatem jest natchniona. Niektórzy mogli być nawet nauczani o natchnieniu werbalnym i pełnym. Jednak w większości szkół teologicznych nie możesz otrzymać posady nauczyciela, jeśli nie zgodzisz się używać eklektycznego tekstu greckiego wraz ze wszystkim, co to za sobą pociąga. (Podobnie nie możesz otrzymać posady nauczyciela na większości uniwersytetów, jeśli przynajmniej nie udajesz, że wierzysz w ewolucję). Jeśli szkoła jest przynajmniej nominalnie konserwatywna, nadal będzie mówić, że Biblia jest natchniona. Jeśli jednak student poruszy na zajęciach kwestię zachowania tekstu, zapadnie niezręczna cisza. Jeśli został zachowany, nikt nie wie, czym lub gdzie jest. Pranie mózgu było tak zupełne, że wielu (większość?) absolwentów seminariów nawet nie wie, że istnieje jakiekolwiek pytanie dotyczące tego, czego ich nauczono. Nauczono ich eklektyzmu opartego na teorii Horta i dla nich nic poza tym nie istnieje.</w:t>
      </w:r>
    </w:p>
    <w:p>
      <w:pPr>
        <w:pStyle w:val="BodyText"/>
      </w:pPr>
      <w:r>
        <w:t xml:space="preserve">Wracając jednak do naszego studenta, znajduje się on w otoczeniu profesorów, których zadaniem jest zniszczenie jego wiary w natchnioną Biblię mającą obiektywny autorytet. Oczywiście przypuszczalnie bardzo niewielu takich profesorów kiedykolwiek myślało w tych kategoriach (sprzeciwiliby się więc mojemu stwierdzeniu). Powiedzieliby, że po prostu wykonują swoją pracę, robią to, za co im płacą, nie zaprzątając sobie głowy przyczynami i szczegółami.</w:t>
      </w:r>
      <w:r>
        <w:rPr>
          <w:rStyle w:val="FootnoteReference"/>
        </w:rPr>
        <w:footnoteReference w:id="458"/>
      </w:r>
      <w:r>
        <w:t xml:space="preserve"> </w:t>
      </w:r>
      <w:r>
        <w:t xml:space="preserve">Student jednak oczywiście się tego nie spodziewa, wierzy, że jego profesorowie muszą być ludźmi Bożymi, dlatego jest predysponowany, by im wierzyć. Poza tą predyspozycją (a jest ona potężna), jakimi narzędziami dysponują, by wykonywać swoją pracę? Otóż mają na początek ośmieszanie, sarkazm, pranie mózgu, presję rówieśniczą, fortel „nowych szat cesarza” i szatańską pomoc. (Mogą również występować groźby, niedostateczne oceny, działania dyscyplinarne, nieczysta gra i tak dalej — piszę z doświadczenia). Większość powyższych terminów nie wymaga wyjaśnienia, lecz niektórzy czytelnicy mogą nie znać dawnej baśni o cesarzu, sprowadza się ona do tego: nie chcesz przyznać, że tego nie „widzisz”, gdy wszyscy pozostali twierdzą, że widzą. Zdecydowanie najpoważniejsza jest jednak „szatańska pomoc” i tutaj muszę przejść do szczegółów.</w:t>
      </w:r>
    </w:p>
    <w:p>
      <w:pPr>
        <w:pStyle w:val="BodyText"/>
      </w:pPr>
      <w:r>
        <w:t xml:space="preserve">Wracając do 2 Listu do Tesaloniczan 2,10 i „miłości prawdy”, jak wyjaśniono wyżej, nasz główny dostęp do „prawdy” prowadzi przez Słowo Boga, Biblię. Nasz student mógł chodzić do szkółki niedzielnej, prawdopodobnie słyszał kazania zawierające przynajmniej pewne treści biblijne i z pewnością ma własny egzemplarz Biblii. Krótko mówiąc, miał i nadal ma dostęp do „prawdy”. Duch Święty jednak „mówi” do nas, jeśli tylko zechcemy słuchać. Na przykład mój ojciec urodził się w 1906 roku, a w stosownym czasie uczęszczał do Moody Bible Institute i Wheaton College. W tamtych czasach American Standard Version (ASV) zachwalano jako najlepszą rzecz od czasów Ogrodu Eden, była „skałą biblijnej rzetelności” itd., itd. Mój ojciec miał zwyczaj czytania całej Biblii raz w roku, który zachował przez całe życie. Z powodu rozgłosu wokół ASV zdobył egzemplarz i zaczął go czytać. Od początku szło mu ciężko i wkrótce musiał przestać — Duch Święty po prostu nie pozwolił mu kontynuować. Wrócił do swojego niezawodnego AV.</w:t>
      </w:r>
    </w:p>
    <w:p>
      <w:pPr>
        <w:pStyle w:val="BodyText"/>
      </w:pPr>
      <w:r>
        <w:t xml:space="preserve">Wyobrażam sobie, że przynajmniej niektórzy z moich czytelników będą w tym miejscu mieli pytanie. Czy sugeruję, że każdy, kto przyjął ASV, nie słuchał Ducha Świętego, gdy podejmował tę decyzję? Odpowiedź brzmi: „Tak”. To samo odnosi się oczywiście do teorii Horta itd. Niestety niewielu studentów teologii ma zwyczaj zasięgania rady Ducha Świętego, a ci, którzy to czynią, zostają przeznaczeni do prześladowania. Żaden establishment nie może tolerować człowieka, który słucha Ducha Świętego. Z pewnością, czy zapomniałeś o Ewangelii Jana 3,8? „Wiatr wieje, dokąd chce, i słyszysz jego szum, lecz nie wiesz, skąd przychodzi i dokąd idzie. Tak jest z każdym, kto został zrodzony z Ducha”. Zauważ, że Pan mówi tutaj, iż to</w:t>
      </w:r>
      <w:r>
        <w:t xml:space="preserve"> </w:t>
      </w:r>
      <w:r>
        <w:rPr>
          <w:bCs/>
          <w:b/>
        </w:rPr>
        <w:t xml:space="preserve">my</w:t>
      </w:r>
      <w:r>
        <w:t xml:space="preserve"> </w:t>
      </w:r>
      <w:r>
        <w:t xml:space="preserve">mamy być nieprzewidywalni, jak wiatr lub Duch („przychodzi” i „idzie” są w czasie teraźniejszym). Jeśli naprawdę jesteś pod kontrolą Ducha, będziesz robił nieoczekiwane rzeczy, tak jak On.</w:t>
      </w:r>
      <w:r>
        <w:rPr>
          <w:rStyle w:val="FootnoteReference"/>
        </w:rPr>
        <w:footnoteReference w:id="459"/>
      </w:r>
      <w:r>
        <w:t xml:space="preserve"> </w:t>
      </w:r>
      <w:r>
        <w:t xml:space="preserve">Establishment jest definiowany przez swój „kaftan bezpieczeństwa”, a Duch Święty nie lubi kaftanów bezpieczeństwa i vice versa.</w:t>
      </w:r>
    </w:p>
    <w:p>
      <w:pPr>
        <w:pStyle w:val="BodyText"/>
      </w:pPr>
      <w:r>
        <w:t xml:space="preserve">W Ewangelii Jana 8,44 Władca Jezus oświadczył, że w Szatanie „nie ma prawdy” i że jest on ojcem kłamstwa. Ponieważ Bóg nie może kłamać, List do Tytusa 1,2, jako że jest to sprzeczne z Jego istotą, wszelkie kłamstwa pochodzą od wroga. Co się zatem dzieje, gdy przyjmujesz kłamstwo? Zapraszasz Szatana do swojego umysłu. A co on tam robi? Buduje warownię, która więzi cię w tym kłamstwie, stajesz się ślepy na prawdę w tej sprawie.</w:t>
      </w:r>
      <w:r>
        <w:rPr>
          <w:rStyle w:val="FootnoteReference"/>
        </w:rPr>
        <w:footnoteReference w:id="460"/>
      </w:r>
      <w:r>
        <w:t xml:space="preserve"> </w:t>
      </w:r>
      <w:r>
        <w:t xml:space="preserve">Jest to szczególne zastosowanie prawdy wyrażonej w 2 Liście do Koryntian 4,4 — Szatan zaślepia umysły. Co się zatem dzieje z naszym studentem? Z bardzo nielicznymi wyjątkami ulega naciskowi wywieranemu przez wspomniane już narzędzia. Przyjmuje linię partyjną, a ponieważ jest ona kłamstwem, Szatan zabiera się do zaślepiania go na prawdę. Jeśli zostanie później wpływowym uczonym, niemal na pewno znajdzie się pod demonicznym nadzorem (ponieważ Szatan nie jest wszechobecny).</w:t>
      </w:r>
    </w:p>
    <w:p>
      <w:pPr>
        <w:pStyle w:val="BodyText"/>
      </w:pPr>
      <w:r>
        <w:t xml:space="preserve">W tym miejscu ludziom podcina nogi pewne powszechne błędne przekonanie. Skoro w każdej prawdziwie odrodzonej osobie mieszka Duch Święty, jak Szatan albo demon może znajdować się w umyśle tej osoby? Istnieje fundamentalna różnica między obecnością a kontrolą. Bardzo niewielu chrześcijan świadomie oddało pod kontrolę Ducha Świętego każdą dziedzinę swojego życia. Duch Święty jest dżentelmenem, nie przejmie żadnej dziedziny wbrew twojej woli (zob. Ewangelia Jana 4,23-24). Każda dziedzina niepozostająca pod kontrolą Ducha jest otwarta na ingerencję wroga, zwłaszcza jeśli przyjmujesz kłamstwo. Przyjmując kłamstwo, zasmucasz Ducha Świętego, co nie jest mądre (List do Efezjan 4,30). Również Mu się sprzeciwiasz, co także nie jest mądre (Dzieje Apostolskie 7,51). Dlaczego więc Bóg cię nie chroni? Ponieważ odrzuciłeś miłość prawdy, a to zwróciło Boga przeciwko tobie! Jakie masz szanse, gdy Bóg zwraca się przeciwko tobie? Bez ochrony Boga stajesz się łupem Szatana (1 List Piotra 5,8).</w:t>
      </w:r>
      <w:r>
        <w:rPr>
          <w:rStyle w:val="FootnoteReference"/>
        </w:rPr>
        <w:footnoteReference w:id="461"/>
      </w:r>
    </w:p>
    <w:p>
      <w:pPr>
        <w:pStyle w:val="BodyText"/>
      </w:pPr>
      <w:r>
        <w:t xml:space="preserve">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p>
      <w:pPr>
        <w:pStyle w:val="BodyText"/>
      </w:pPr>
      <w:r>
        <w:t xml:space="preserve">Sprzedawanie kłamstwa trwa z pokolenia na pokolenie, czego skutkiem jest ciągłe odchodzenie. Większość profesorów to „papugi”, po prostu powtarzają to, czego ich nauczono, nigdy nie wracając, by sprawdzić fakty. Niektórzy starsi uczeni mogli zdać sobie sprawę z faktów, lecz ze względu na swój własny interes nie wspominają o nich studentom, podtrzymują linię partyjną.</w:t>
      </w:r>
    </w:p>
    <w:bookmarkEnd w:id="462"/>
    <w:bookmarkStart w:id="486" w:name="X5a36d414664065b3342360b800915351414fe8b"/>
    <w:p>
      <w:pPr>
        <w:pStyle w:val="Heading3"/>
      </w:pPr>
      <w:r>
        <w:t xml:space="preserve">Czy istnieje sposób, by powstrzymać odchodzenie?</w:t>
      </w:r>
    </w:p>
    <w:p>
      <w:pPr>
        <w:pStyle w:val="FirstParagraph"/>
      </w:pPr>
      <w:r>
        <w:t xml:space="preserve">Uważam, że istnieje i musi się zaczynać od PRAWDY. Mówiąc dokładniej, musi zaczynać się od miłości prawdy, co wymaga, by prawda została udostępniona. Musimy krzewić miłość prawdy, a żeby to czynić, musimy również potępiać kłamstwo.</w:t>
      </w:r>
      <w:r>
        <w:rPr>
          <w:rStyle w:val="FootnoteReference"/>
        </w:rPr>
        <w:footnoteReference w:id="463"/>
      </w:r>
      <w:r>
        <w:t xml:space="preserve"> </w:t>
      </w:r>
      <w:r>
        <w:t xml:space="preserve">Aby coś krzewić, potrzebujemy służących temu środków. Aby odnieść sukces, musimy być przekonujący. Co najważniejsze, musimy coś zrobić z ingerencją w umysły ludzi.</w:t>
      </w:r>
    </w:p>
    <w:bookmarkStart w:id="465" w:name="środki-krzewienia-prawdy"/>
    <w:p>
      <w:pPr>
        <w:pStyle w:val="Heading4"/>
      </w:pPr>
      <w:r>
        <w:rPr>
          <w:iCs/>
          <w:i/>
        </w:rPr>
        <w:t xml:space="preserve">Środki krzewienia prawdy</w:t>
      </w:r>
    </w:p>
    <w:p>
      <w:pPr>
        <w:pStyle w:val="FirstParagraph"/>
      </w:pPr>
      <w:r>
        <w:t xml:space="preserve">Z pomocą przychodzi nam tutaj współczesna technologia. Blogi służą do promowania wszystkiego i czegokolwiek. Możemy wykorzystać je do krzewienia prawdy. Przygotowałem piętnastogodzinną serię wykładów (po portugalsku) o boskim zachowaniu Tekstu Nowego Testamentu. Została sfilmowana i jest dostępna w Internecie za pośrednictwem bloga. Wykorzystuje się strony internetowe.</w:t>
      </w:r>
      <w:r>
        <w:t xml:space="preserve"> </w:t>
      </w:r>
      <w:r>
        <w:rPr>
          <w:u w:val="single"/>
        </w:rPr>
        <w:t xml:space="preserve">Większość mojej twórczości jest dostępna na www.walkjustashewalked.com, a jeszcze więcej na mojej własnej stronie www.prunch.org. Istnieją też Twitter, Facebook i tak dalej — faktem</w:t>
      </w:r>
      <w:r>
        <w:t xml:space="preserve"> </w:t>
      </w:r>
      <w:r>
        <w:t xml:space="preserve">jest, że czasopisma specjalistyczne nie trzymają już żadnej dyscypliny żelaznym uściskiem, istnieją inne sposoby „publikowania” swoich idei. Zawsze istniało też przekazywanie z ust do ust, ludzie opowiadali swoim przyjaciołom i znajomym. Podejrzewam, że wkrótce możemy zobaczyć narastającą falę tego rodzaju działań.</w:t>
      </w:r>
    </w:p>
    <w:p>
      <w:pPr>
        <w:pStyle w:val="BodyText"/>
      </w:pPr>
      <w:r>
        <w:t xml:space="preserve">Pojawienie się samodzielnego publikowania stanowi prawdziwe dobrodziejstwo dla tych z nas, którzy odrzucają linię partyjną i nie mają środków finansowych, by skorzystać z uznanego wydawnictwa. Z różnych powodów korzystanie z wydawcy staje się coraz trudniejsze. Umowy przerzucają cały ciężar na autora (łącznie z kosztami procesów sądowych). Trzeba z góry pokryć koszt kilku tysięcy egzemplarzy, a nawet wtedy książka ukaże się tylko wtedy, gdy wydawca uzna, że może na niej zarobić, nie wspominając o „akceptowalnej” treści (wydawcy nie są instytucjami charytatywnymi). Tych z nas, którzy nie mają pieniędzy, ratuje pojawienie się „druku na żądanie”, egzemplarze produkuje się dopiero po ich zamówieniu. Ponieważ wszystko robi maszyna, można zamówić jeden egzemplarz po aktualnej cenie i go otrzymać.</w:t>
      </w:r>
    </w:p>
    <w:p>
      <w:pPr>
        <w:pStyle w:val="BodyText"/>
      </w:pPr>
      <w:r>
        <w:t xml:space="preserve">Pozwolę sobie przytoczyć własne doświadczenie. Moją pierwszą książkę,</w:t>
      </w:r>
      <w:r>
        <w:t xml:space="preserve"> </w:t>
      </w:r>
      <w:r>
        <w:rPr>
          <w:iCs/>
          <w:i/>
        </w:rPr>
        <w:t xml:space="preserve">The Identity of the New Testament Text</w:t>
      </w:r>
      <w:r>
        <w:t xml:space="preserve">, opublikowało w 1977 roku Thomas Nelson Publishers. Za każdym razem, gdy wydawca chciał przygotować kolejny nakład, łaskawie pozwalał mi dokonać pewnych poprawek. Jego ostatni (czwarty?) nakład ukazał się w 1990 roku, utrzymywał zatem książkę w druku przez co najmniej piętnaście lat, za co składam mu szczere podziękowania.</w:t>
      </w:r>
      <w:r>
        <w:rPr>
          <w:rStyle w:val="FootnoteReference"/>
        </w:rPr>
        <w:footnoteReference w:id="464"/>
      </w:r>
      <w:r>
        <w:t xml:space="preserve"> </w:t>
      </w:r>
      <w:r>
        <w:t xml:space="preserve">Od kilku lat była wyczerpana, gdy Wipf and Stock Publishers poprosiło o zgodę na opublikowanie jej jako akademickiego reprintu. Zrewidowane wydanie ukazało się więc w 2003 roku jako</w:t>
      </w:r>
      <w:r>
        <w:t xml:space="preserve"> </w:t>
      </w:r>
      <w:r>
        <w:rPr>
          <w:iCs/>
          <w:i/>
        </w:rPr>
        <w:t xml:space="preserve">The Identity of the New Testament Text II</w:t>
      </w:r>
      <w:r>
        <w:t xml:space="preserve">. Wipf &amp; Stock opublikowało również</w:t>
      </w:r>
      <w:r>
        <w:t xml:space="preserve"> </w:t>
      </w:r>
      <w:r>
        <w:rPr>
          <w:iCs/>
          <w:i/>
        </w:rPr>
        <w:t xml:space="preserve">Identity III</w:t>
      </w:r>
      <w:r>
        <w:t xml:space="preserve"> </w:t>
      </w:r>
      <w:r>
        <w:t xml:space="preserve">w 2012 roku. To właśnie w tym okresie dostroiłem się do Rodziny 35, dlatego</w:t>
      </w:r>
      <w:r>
        <w:t xml:space="preserve"> </w:t>
      </w:r>
      <w:r>
        <w:rPr>
          <w:iCs/>
          <w:i/>
        </w:rPr>
        <w:t xml:space="preserve">Identity III</w:t>
      </w:r>
      <w:r>
        <w:t xml:space="preserve"> </w:t>
      </w:r>
      <w:r>
        <w:t xml:space="preserve">było pierwszym wydaniem, które przedstawiło tę rodzinę i jej broniło. Obecne</w:t>
      </w:r>
      <w:r>
        <w:t xml:space="preserve"> </w:t>
      </w:r>
      <w:r>
        <w:rPr>
          <w:iCs/>
          <w:i/>
        </w:rPr>
        <w:t xml:space="preserve">Identity IV</w:t>
      </w:r>
      <w:r>
        <w:t xml:space="preserve">, ponownie gruntownie zrewidowane, opublikowałem samodzielnie za pośrednictwem Amazon. Moje inne książki również są tam dostępne — jakie uznane wydawnictwo przyjęłoby</w:t>
      </w:r>
      <w:r>
        <w:t xml:space="preserve"> </w:t>
      </w:r>
      <w:r>
        <w:rPr>
          <w:iCs/>
          <w:i/>
        </w:rPr>
        <w:t xml:space="preserve">The Greek New Testament According to Family 35</w:t>
      </w:r>
      <w:r>
        <w:t xml:space="preserve">?</w:t>
      </w:r>
    </w:p>
    <w:p>
      <w:pPr>
        <w:pStyle w:val="BodyText"/>
      </w:pPr>
      <w:r>
        <w:t xml:space="preserve">Samodzielne publikowanie pozwala również udostępnić książkę w formie elektronicznej, tak jak uczyniłem z moimi. Dzięki temu ludzie mogą pobrać je na swoje notebooki czy inne urządzenia i nie muszą nosić ze sobą książki (lub kilku). Nabiera to coraz większego znaczenia, ponieważ coraz więcej ludzi dołącza do kultury smartfonów. Mimo to nie powinniśmy jednak pogardzać dobrym, starym egzemplarzem papierowym, w przypadku poważnych studiów wielu nadal woli książkę (można w niej robić notatki). Krótko mówiąc, powinniśmy korzystać z obu form, elektronicznej i drukowanej.</w:t>
      </w:r>
    </w:p>
    <w:p>
      <w:pPr>
        <w:pStyle w:val="BodyText"/>
      </w:pPr>
      <w:r>
        <w:t xml:space="preserve">Zwłaszcza w kulturach, w których ważniejsze jest „kogo znasz” niż „co wiesz”, lecz także w innych, powinniśmy promować środek „społeczny”, dzielenie się z przyjaciółmi i znajomymi. Możemy zapraszać ludzi na filiżankę kawy (lub herbaty), rozpowszechniać wieść wszędzie tam, gdzie mamy kontakty.</w:t>
      </w:r>
    </w:p>
    <w:bookmarkEnd w:id="465"/>
    <w:bookmarkStart w:id="470" w:name="przekonujące-przedstawienie"/>
    <w:p>
      <w:pPr>
        <w:pStyle w:val="Heading4"/>
      </w:pPr>
      <w:r>
        <w:rPr>
          <w:iCs/>
          <w:i/>
        </w:rPr>
        <w:t xml:space="preserve">Przekonujące przedstawienie</w:t>
      </w:r>
    </w:p>
    <w:p>
      <w:pPr>
        <w:pStyle w:val="FirstParagraph"/>
      </w:pPr>
      <w:r>
        <w:t xml:space="preserve">Jaki jest najlepszy sposób ochrony lwa w klatce? Po prostu otwórz klatkę! Jaki jest najlepszy sposób krzewienia Prawdy? Po prostu wypuść ją na wolność! Jak Władca Jezus powiedział w Ewangelii Jana 8,31-32: „Jeśli wytrwacie w moim słowie, prawdziwie jesteście moimi uczniami. I poznacie prawdę, a prawda uczyni was wolnymi” (NKJV). Od czego prawda uczyni nas wolnymi? W bezpośrednim kontekście (werset 34) od grzechu, lecz w odniesieniu do omawianego tematu może uwolnić nas od zaślepiania przez Szatana i od jego kłamstw. Słowo jest mieczem Ducha, a miecz tnie niezależnie od tego, czy ktoś w to wierzy. Skoro to zostało powiedziane, co jednak możemy zrobić, aby ludzie nas słuchali?</w:t>
      </w:r>
    </w:p>
    <w:p>
      <w:pPr>
        <w:pStyle w:val="BodyText"/>
      </w:pPr>
      <w:r>
        <w:t xml:space="preserve">Należy unikać napuszonych przemów i tyrad. Mogą przemawiać do emocji tych, którzy już są po naszej stronie, lecz wywrą negatywny wpływ na tych, do których próbujemy dotrzeć. Prawdzie najlepiej służą fakty, dowody. Dowody zaś należy przedstawiać wprost, bez nadmiernego odwoływania się do emocji. Emocje trzeba jednak odróżnić od założeń wstępnych (a także od zasad rozumnej debaty). Nie można pracować bez założeń wstępnych, każdy je ma. Wynika z tego, że jeśli ktoś krytykuje mnie za posiadanie założeń wstępnych, udając jednocześnie, że sam ich nie ma, zachowuje się nieuczciwie i przewrotnie (albo być może ma tylko wyprany mózg i jest zaślepiony).</w:t>
      </w:r>
    </w:p>
    <w:p>
      <w:pPr>
        <w:pStyle w:val="BodyText"/>
      </w:pPr>
      <w:r>
        <w:t xml:space="preserve">Od czasów Burgona, który uczciwie i otwarcie przedstawiał swoje założenia wstępne (jak powinien czynić każdy prawdziwy uczony), trwa nieustanny i uporczywy atak na te założenia, a nawet na samo ich przedstawianie. Wytworzono psychozę do tego stopnia, że nawet niektórzy współcześni obrońcy Tekstu Większościowego popadli w tej kwestii w paranoję, faktycznie doszli do punktu, w którym wykluczają sferę nadprzyrodzoną ze swojego modelu. Jednak w Ewangelii Łukasza 11,23 Władca i Stwórca, wcielony Jehowa Syn, oświadcza: „Kto nie jest ze Mną, jest przeciwko Mnie, a kto nie gromadzi ze Mną, rozprasza”. Oto wyraźne stwierdzenie, na tym świecie istnieją tylko dwie drużyny, są tylko dwie strony, dwa królestwa, nie ma neutralnego gruntu, nie ma prawdziwego agnostycyzmu.</w:t>
      </w:r>
      <w:r>
        <w:rPr>
          <w:rStyle w:val="FootnoteReference"/>
        </w:rPr>
        <w:footnoteReference w:id="466"/>
      </w:r>
      <w:r>
        <w:t xml:space="preserve"> </w:t>
      </w:r>
      <w:r>
        <w:t xml:space="preserve">Jeśli nie jesteś z Jezusem, automatycznie jesteś przeciwko Niemu, jeśli nie gromadzisz z Nim, automatycznie rozpraszasz. Jeśli nie przyjmujesz twierdzeń Jezusa o Piśmie, odrzuciłeś je. Neutralność nie istnieje.</w:t>
      </w:r>
    </w:p>
    <w:p>
      <w:pPr>
        <w:pStyle w:val="BodyText"/>
      </w:pPr>
      <w:r>
        <w:t xml:space="preserve">Jak jednak możemy dotrzeć do tych, którzy udają, że nie mają założeń wstępnych, którzy odmawiają ich otwartego przedstawienia albo w każdym razie tego nie czynią? Jeśli ci sami ludzie krytykują nas za przedstawianie naszych, możemy zakwestionować ich podstawową uczciwość, lecz jak możemy skłonić ich do słuchania? Jak sprawić, by niewidomy zobaczył? Jak sprawić, by głuchy usłyszał? Trzeba coś zrobić z przyczyną tego stanu. „Przyczyną tego stanu” w omawianej przez nas dziedzinie jest szatańska ingerencja w ich procesy myślowe, którą Tekst w 2 Liście do Koryntian 4,4 nazywa „zaślepianiem” (pranie mózgu jest konsekwencją i środkiem wspomagającym tego zaślepiania). Sposób odniesienia się do tej przyczyny zostanie omówiony w następnej części. Tymczasem trzeba omówić kwestię założeń wstępnych, powinniśmy jednak próbować robić to w spokojnym i pokojowym duchu.</w:t>
      </w:r>
      <w:r>
        <w:rPr>
          <w:rStyle w:val="FootnoteReference"/>
        </w:rPr>
        <w:footnoteReference w:id="467"/>
      </w:r>
    </w:p>
    <w:p>
      <w:pPr>
        <w:pStyle w:val="BodyText"/>
      </w:pPr>
      <w:r>
        <w:t xml:space="preserve">Wracając jednak do kwestii przekonującego przedstawienia dowodów, musimy pamiętać, że ludzie z wypranymi mózgami na ogół nie znają dowodów. Większość profesorów to „papugi”, po prostu powtarzają to, czego ich nauczono, nigdy nie wracając, by sprawdzić fakty. Niektórzy starsi uczeni mogli zdać sobie sprawę z faktów, lecz ze względu na swój własny interes nie wspominają o nich studentom, podtrzymują linię partyjną. Aby prawda uwolniła ludzi, musi zostać przedstawiona. Powtarzam więc: musimy przedstawiać dowody wprost.</w:t>
      </w:r>
    </w:p>
    <w:p>
      <w:pPr>
        <w:pStyle w:val="BodyText"/>
      </w:pPr>
      <w:r>
        <w:t xml:space="preserve">Pierwszorzędnych dowodów dostarczają greckie manuskrypty Nowego Testamentu o tekście ciągłym. Dowody dostarczane przez lekcjonarze są drugorzędne. Dowody dostarczane przez starożytne przekłady i cytaty patrystyczne są trzeciorzędne. Autentyczne dowody historyczne (w takim zakresie, w jakim można to ustalić) mają charakter pomocniczy. Tam, gdzie dowody pierwszorzędne są jednoznaczne, pozostałe rodzaje nie powinny wchodzić w grę. Na przykład w dowolnym miejscu czterech Ewangelii będzie około 1700 zachowanych manuskryptów o tekście ciągłym, reprezentujących wszystkie linie przekazu i wszystkie miejsca.</w:t>
      </w:r>
      <w:r>
        <w:rPr>
          <w:rStyle w:val="FootnoteReference"/>
        </w:rPr>
        <w:footnoteReference w:id="468"/>
      </w:r>
      <w:r>
        <w:t xml:space="preserve"> </w:t>
      </w:r>
      <w:r>
        <w:t xml:space="preserve">Tam, gdzie wszystkie są zgodne, nie może istnieć żadna uzasadniona wątpliwość co do oryginalnych sformułowań.</w:t>
      </w:r>
    </w:p>
    <w:p>
      <w:pPr>
        <w:pStyle w:val="BodyText"/>
      </w:pPr>
      <w:r>
        <w:t xml:space="preserve">Powinno być również oczywiste, że wariant w pojedynczym manuskrypcie, niezależnie od jego wieku, jest nieistotny, w tym miejscu jest on fałszywym świadkiem archetypu swojej rodziny, niczym więcej. Jeśli kilka manuskryptów dzieli wariant, lecz nie należy do tej samej rodziny, popełniły błąd niezależnie i są fałszywymi świadkami archetypów swoich rodzin, nie ma zależności. Tam, gdzie grupa manuskryptów wyraźnie poprawnie odzwierciedla archetypalną formę swojej rodziny, mamy do czynienia z rodziną (nie z pojedynczymi manuskryptami). Rodziny trzeba oceniać tak samo, jak oceniamy poszczególne manuskrypty.</w:t>
      </w:r>
      <w:r>
        <w:t xml:space="preserve"> </w:t>
      </w:r>
      <w:r>
        <w:rPr>
          <w:u w:val="single"/>
        </w:rPr>
        <w:t xml:space="preserve">Można przypisać rodzinie współczynnik wiarygodności oparty na obiektywnych kryteriach. Oczywiście jednak każda rodzina musi najpierw zostać empirycznie rozpoznana</w:t>
      </w:r>
      <w:r>
        <w:t xml:space="preserve"> </w:t>
      </w:r>
      <w:r>
        <w:t xml:space="preserve">i zdefiniowana, a takie rozpoznanie zależy od pełnego kolacjonowania manuskryptów.</w:t>
      </w:r>
    </w:p>
    <w:p>
      <w:pPr>
        <w:pStyle w:val="BodyText"/>
      </w:pPr>
      <w:r>
        <w:t xml:space="preserve">Chociaż dyscyplina ta (jak dotąd) zaniedbała odrobienia swojej pracy domowej (kolacjonowania manuskryptów), ogromna większość manuskryptów nadal powinna być przekonująca. Na przykład jeśli wariant ma 99% poświadczenia świadków pierwszorzędnych, oznacza to, że całkowicie dominuje w każdym „drzewie” genealogicznym, ponieważ zdominował globalny przekaz tekstu. Seria</w:t>
      </w:r>
      <w:r>
        <w:t xml:space="preserve"> </w:t>
      </w:r>
      <w:r>
        <w:rPr>
          <w:iCs/>
          <w:i/>
        </w:rPr>
        <w:t xml:space="preserve">Text und Textwert</w:t>
      </w:r>
      <w:r>
        <w:t xml:space="preserve"> </w:t>
      </w:r>
      <w:r>
        <w:t xml:space="preserve">INTF, praktycy metody profilu Claremont, H.C. Hoskier, von Soden, Burgon, Scrivener — krótko mówiąc, każdy, kto skolacjonował jakąkolwiek liczbę manuskryptów — wszyscy wykazali, że bizantyjska masa manuskryptów w żadnym razie nie jest monolityczna. Istnieje dowolna liczba strumieni i strumyczków. (Przypomnijmy, że F. Wisse postulował trzydzieści cztery grupy w masie bizantyjskiej, z siedemdziesięcioma podgrupami). Jest jasne, że nie było „upychania urny wyborczej”, nie było „papieskiego” dekretu, nie było recenzji narzuconej przez władzę kościelną. Krótko mówiąc, przekaz był przeważająco normalny.</w:t>
      </w:r>
      <w:r>
        <w:rPr>
          <w:rStyle w:val="FootnoteReference"/>
        </w:rPr>
        <w:footnoteReference w:id="469"/>
      </w:r>
    </w:p>
    <w:p>
      <w:pPr>
        <w:pStyle w:val="BodyText"/>
      </w:pPr>
      <w:r>
        <w:t xml:space="preserve">Wracając jednak do przedstawiania dowodów, powinniśmy zwracać uwagę na dowody przedstawiane na przestrzeni lat:</w:t>
      </w:r>
      <w:r>
        <w:t xml:space="preserve"> </w:t>
      </w:r>
      <w:r>
        <w:rPr>
          <w:iCs/>
          <w:i/>
        </w:rPr>
        <w:t xml:space="preserve">Concerning the Text of the Apocalypse</w:t>
      </w:r>
      <w:r>
        <w:t xml:space="preserve"> </w:t>
      </w:r>
      <w:r>
        <w:t xml:space="preserve">oraz</w:t>
      </w:r>
      <w:r>
        <w:t xml:space="preserve"> </w:t>
      </w:r>
      <w:r>
        <w:rPr>
          <w:iCs/>
          <w:i/>
        </w:rPr>
        <w:t xml:space="preserve">Codex B and its Allies, a Study and an Indictment</w:t>
      </w:r>
      <w:r>
        <w:t xml:space="preserve"> </w:t>
      </w:r>
      <w:r>
        <w:t xml:space="preserve">Hermana C. Hoskiera,</w:t>
      </w:r>
      <w:r>
        <w:t xml:space="preserve"> </w:t>
      </w:r>
      <w:r>
        <w:rPr>
          <w:iCs/>
          <w:i/>
        </w:rPr>
        <w:t xml:space="preserve">magnum opus</w:t>
      </w:r>
      <w:r>
        <w:t xml:space="preserve"> </w:t>
      </w:r>
      <w:r>
        <w:t xml:space="preserve">Hermanna von Sodena — mimo swoich niedoskonałości zawiera wartościowe informacje, wydania Ewangelii Mateusza i Ewangelii Marka S.C.E. Legga, wydanie Ewangelii Łukasza IGNTP, wydania od Ewangelii Mateusza do Listu do Galacjan Reubena J. Swansona, pracę Frederika Wissego o Ewangelii Łukasza,</w:t>
      </w:r>
      <w:r>
        <w:t xml:space="preserve"> </w:t>
      </w:r>
      <w:r>
        <w:rPr>
          <w:iCs/>
          <w:i/>
        </w:rPr>
        <w:t xml:space="preserve">Assimilation as a Criterion for the Establishment of the Text</w:t>
      </w:r>
      <w:r>
        <w:t xml:space="preserve"> </w:t>
      </w:r>
      <w:r>
        <w:t xml:space="preserve">W.F. Wisselinka, pracę Tommy’ego Wassermana o Liście Judy, serię</w:t>
      </w:r>
      <w:r>
        <w:t xml:space="preserve"> </w:t>
      </w:r>
      <w:r>
        <w:rPr>
          <w:iCs/>
          <w:i/>
        </w:rPr>
        <w:t xml:space="preserve">Text und Textwert</w:t>
      </w:r>
      <w:r>
        <w:t xml:space="preserve"> </w:t>
      </w:r>
      <w:r>
        <w:t xml:space="preserve">INTF, a jeszcze lepiej jego serię</w:t>
      </w:r>
      <w:r>
        <w:t xml:space="preserve"> </w:t>
      </w:r>
      <w:r>
        <w:rPr>
          <w:iCs/>
          <w:i/>
        </w:rPr>
        <w:t xml:space="preserve">Editio Critica Maior</w:t>
      </w:r>
      <w:r>
        <w:t xml:space="preserve">.</w:t>
      </w:r>
    </w:p>
    <w:p>
      <w:pPr>
        <w:pStyle w:val="BodyText"/>
      </w:pPr>
      <w:r>
        <w:t xml:space="preserve">Ostatnia, lecz nie mniej ważna jest moja własna praca. Mój grecki Nowy Testament jest pierwszym, który podaje archetyp Rodziny 35, a jego aparat krytyczny jest pierwszym, który podaje przy wariantach odsetki, poza uwzględnieniem sześciu opublikowanych wydań. Seria dotycząca wariantów</w:t>
      </w:r>
      <w:r>
        <w:t xml:space="preserve"> </w:t>
      </w:r>
      <w:r>
        <w:rPr>
          <w:bCs/>
          <w:b/>
        </w:rPr>
        <w:t xml:space="preserve">f</w:t>
      </w:r>
      <w:r>
        <w:rPr>
          <w:vertAlign w:val="superscript"/>
          <w:bCs/>
          <w:b/>
        </w:rPr>
        <w:t xml:space="preserve">35</w:t>
      </w:r>
      <w:r>
        <w:t xml:space="preserve">, księga po księdze, podaje szczegółowe wyniki moich kolacjonowań reprezentatywnych manuskryptów, zwykle co najmniej trzydziestu dla każdej księgi. Wszystko to jest obecnie bezpłatnie dostępne w Internecie na mojej stronie www.prunch.org (głównie po angielsku, lecz częściowo także po portugalsku). Dysponujemy sposobami udostępniania dowodów, lecz jak możemy skłonić ludzi, by się im przyjrzeli? Najlepszym, jeśli nie jedynym sposobem, jest użycie duchowego autorytetu, który dał nam Władca Jezus.</w:t>
      </w:r>
    </w:p>
    <w:bookmarkEnd w:id="470"/>
    <w:bookmarkStart w:id="485" w:name="neutralizowanie-ingerencji"/>
    <w:p>
      <w:pPr>
        <w:pStyle w:val="Heading4"/>
      </w:pPr>
      <w:r>
        <w:rPr>
          <w:iCs/>
          <w:i/>
        </w:rPr>
        <w:t xml:space="preserve">Neutralizowanie ingerencji</w:t>
      </w:r>
    </w:p>
    <w:p>
      <w:pPr>
        <w:pStyle w:val="FirstParagraph"/>
      </w:pPr>
      <w:r>
        <w:t xml:space="preserve">Na jakiej podstawie moglibyśmy neutralizować ingerencję? Najbardziej fundamentalnym pytaniem dla ludzkiego życia na tej planecie jest pytanie o autorytet: kto go ma, w jakim stopniu i na jakich warunkach? Jak naczelni kapłani powiedzieli Jezusowi: „Jakim autorytetem to czynisz?” (Ewangelia Łukasza 20,2). Po swojej śmierci i zmartwychwstaniu Władca Jezus powiedział: „Został mi dany wszelki autorytet w niebie i na ziemi” (Ewangelia Mateusza 28,18). Ma zatem pełne prawo i jest wyraźnie kompetentny, by przekazać nam część tego autorytetu. Rozważmy Ewangelię Łukasza 10,19: „Zwróćcie uwagę, daję wam autorytet, aby deptać węże i skorpiony,</w:t>
      </w:r>
      <w:r>
        <w:rPr>
          <w:rStyle w:val="FootnoteReference"/>
        </w:rPr>
        <w:footnoteReference w:id="471"/>
      </w:r>
      <w:r>
        <w:t xml:space="preserve"> </w:t>
      </w:r>
      <w:r>
        <w:t xml:space="preserve">i nad całą mocą wroga, a nic w ogóle nie może wam zaszkodzić”. Zamiast „daję” być może 2,5% greckich manuskryptów, obiektywnie gorszej jakości, ma „dałem” (jak w NIV, NASB, LB, TEV itd.) — poważny błąd. Jezus powiedział to być może pięć miesięcy przed swoją śmiercią i zmartwychwstaniem, zwracając się do siedemdziesięciu (nie tylko do dwunastu). Pan mówi o przyszłości, nie o przeszłości, o przyszłości, która obejmuje nas!</w:t>
      </w:r>
    </w:p>
    <w:p>
      <w:pPr>
        <w:pStyle w:val="BodyText"/>
      </w:pPr>
      <w:r>
        <w:t xml:space="preserve">Rozważmy dalej Ewangelię Jana 20,21, Jezus ponownie powiedział do nich: „Pokój wam! Jak Ojciec posłał Mnie, tak i Ja was posyłam”. „Jak… tak i” — Jezus posyła nas tak samo, jak Ojciec posłał Jego. Jak zatem Oni to zrobili? Ojciec postanowił, a Syn był posłuszny: „Oto przyszedłem, aby czynić Twoją wolę, Boże” (List do Hebrajczyków 10,7). A jaka była ta wola? Zniszczyć Szatana (List do Hebrajczyków 2,14) i zniweczyć jego dzieła (1 List Jana 3,8). Ponieważ Jezus rzeczywiście pokonał Szatana (List do Kolosan 2,15, List do Efezjan 1,20-21 itd.), lecz następnie wrócił do Nieba, dla nas pozostało niweczenie jego dzieł.</w:t>
      </w:r>
      <w:r>
        <w:rPr>
          <w:rStyle w:val="FootnoteReference"/>
        </w:rPr>
        <w:footnoteReference w:id="472"/>
      </w:r>
      <w:r>
        <w:t xml:space="preserve"> </w:t>
      </w:r>
      <w:r>
        <w:t xml:space="preserve">Wydaje mi się jasne, że aby zniweczyć jakiekolwiek dzieło, musimy również zniweczyć jego konsekwencje (w takim zakresie, w jakim może to być możliwe).</w:t>
      </w:r>
    </w:p>
    <w:p>
      <w:pPr>
        <w:pStyle w:val="BodyText"/>
      </w:pPr>
      <w:r>
        <w:t xml:space="preserve">Rozważmy także List do Efezjan 2,4-6: „Lecz Bóg — będąc bogaty w miłosierdzie, z powodu swojej wielkiej miłości, którą nas umiłował, nawet gdy byliśmy martwi w swoich występkach — ożywił nas razem z Chrystusem (łaską jesteście zbawieni), razem wskrzesił i razem posadził w sferach niebiańskich w Chrystusie Jezusie”. To jest ogromne! Tutaj mamy nasz autorytet. Chrystus siedzi teraz po prawicy Ojca, „daleko ponad” wrogiem i jego zastępami. Werset ten stwierdza, że my, którzy jesteśmy w Chrystusie, również tam jesteśmy! W Chrystusie także jesteśmy więc daleko ponad wrogiem i jego zastępami.</w:t>
      </w:r>
      <w:r>
        <w:rPr>
          <w:rStyle w:val="FootnoteReference"/>
        </w:rPr>
        <w:footnoteReference w:id="473"/>
      </w:r>
      <w:r>
        <w:t xml:space="preserve"> </w:t>
      </w:r>
      <w:r>
        <w:t xml:space="preserve">Z pewnością, czyż nie to stwierdza List do Efezjan 1,16-21?</w:t>
      </w:r>
    </w:p>
    <w:p>
      <w:pPr>
        <w:pStyle w:val="BlockText"/>
      </w:pPr>
      <w:r>
        <w:t xml:space="preserve">Doprawdy nie przestaję dziękować za was, wspominając was w moich modlitwach, aby Bóg naszego Pana, Jezusa Chrystusa, Ojciec chwały, dał wam ducha mądrości i objawienia w rzeczywistym poznaniu</w:t>
      </w:r>
      <w:r>
        <w:rPr>
          <w:rStyle w:val="FootnoteReference"/>
        </w:rPr>
        <w:footnoteReference w:id="474"/>
      </w:r>
      <w:r>
        <w:t xml:space="preserve"> </w:t>
      </w:r>
      <w:r>
        <w:t xml:space="preserve">samego siebie, aby oczy waszego serca zostały oświecone, żebyście wiedzieli, jaka jest nadzieja Jego</w:t>
      </w:r>
      <w:r>
        <w:rPr>
          <w:vertAlign w:val="superscript"/>
        </w:rPr>
        <w:t xml:space="preserve">[O]</w:t>
      </w:r>
      <w:r>
        <w:t xml:space="preserve"> </w:t>
      </w:r>
      <w:r>
        <w:t xml:space="preserve">powołania i jakie bogactwo chwały Jego dziedzictwa w świętych, i jaka jest przewyższająca wielkość Jego mocy skierowanej do</w:t>
      </w:r>
      <w:r>
        <w:rPr>
          <w:rStyle w:val="FootnoteReference"/>
        </w:rPr>
        <w:footnoteReference w:id="475"/>
      </w:r>
      <w:r>
        <w:t xml:space="preserve"> </w:t>
      </w:r>
      <w:r>
        <w:t xml:space="preserve">nas, którzy wierzymy, według ukazania rozmiaru Jego potęgi, którą okazał w Chrystusie, gdy wskrzesił Go</w:t>
      </w:r>
      <w:r>
        <w:rPr>
          <w:vertAlign w:val="superscript"/>
        </w:rPr>
        <w:t xml:space="preserve">[S]</w:t>
      </w:r>
      <w:r>
        <w:t xml:space="preserve"> </w:t>
      </w:r>
      <w:r>
        <w:t xml:space="preserve">spośród umarłych i posadził po swojej</w:t>
      </w:r>
      <w:r>
        <w:rPr>
          <w:vertAlign w:val="superscript"/>
        </w:rPr>
        <w:t xml:space="preserve">[O]</w:t>
      </w:r>
      <w:r>
        <w:t xml:space="preserve"> </w:t>
      </w:r>
      <w:r>
        <w:t xml:space="preserve">prawicy, w sferach niebiańskich, daleko ponad wszelkim władcą i autorytetem, i mocą, i panowaniem — nawet ponad każdym imieniem, jakie można nazwać, nie tylko w tym wieku, lecz także w przyszłym.</w:t>
      </w:r>
    </w:p>
    <w:p>
      <w:pPr>
        <w:pStyle w:val="FirstParagraph"/>
      </w:pPr>
      <w:r>
        <w:t xml:space="preserve">Otóż „daleko ponad wszelkim władcą i autorytetem, i mocą, i panowaniem — nawet ponad każdym imieniem, jakie można nazwać, nie tylko w tym wieku, lecz także w przyszłym” musi obejmować Szatana i jego aniołów. Jeśli Chrystus, siedzący po prawicy Ojca, jest</w:t>
      </w:r>
      <w:r>
        <w:t xml:space="preserve"> </w:t>
      </w:r>
      <w:r>
        <w:rPr>
          <w:u w:val="single"/>
          <w:bCs/>
          <w:b/>
        </w:rPr>
        <w:t xml:space="preserve">daleko</w:t>
      </w:r>
      <w:r>
        <w:rPr>
          <w:bCs/>
          <w:b/>
        </w:rPr>
        <w:t xml:space="preserve"> </w:t>
      </w:r>
      <w:r>
        <w:rPr>
          <w:bCs/>
          <w:b/>
        </w:rPr>
        <w:t xml:space="preserve">ponad</w:t>
      </w:r>
      <w:r>
        <w:t xml:space="preserve"> </w:t>
      </w:r>
      <w:r>
        <w:t xml:space="preserve">nimi, a my jesteśmy w Nim, posadzeni po prawicy Ojca, wówczas my również jesteśmy ponad wszystkimi zastępami wroga. Taka jest nasza pozycja i autorytet do neutralizowania ingerencji.</w:t>
      </w:r>
    </w:p>
    <w:p>
      <w:pPr>
        <w:pStyle w:val="BodyText"/>
      </w:pPr>
      <w:r>
        <w:t xml:space="preserve">Dobrze i pięknie, lecz jak właściwie mamy się do tego zabrać? Otóż na jakim poziomie powinniśmy „neutralizować”? Nasuwa się pięciu kandydatów: instytucje, nauczyciele, studenci, przywódcy kościelni i świeccy. Może działać na wszystkich poziomach? Następnie jakimi procedurami dysponujemy, by dokonać neutralizacji? Proponuję następujące: a) zakazać dalszego używania mocy Szatana w konkretnym przypadku, b) zażądać zniweczenia zaistniałych konsekwencji używania tej mocy (w takim zakresie, w jakim może to być możliwe), c) zniszczyć wszelkie warownie Szatana w ich umysłach (łącznie z martwymi punktami), d) związać wszystkie zaangażowane demony i posłać je do Otchłani, zakazując dalszej aktywności demonicznej, e) wziąć ich myśli w niewolę posłuszeństwa Chrystusowi. Z mojego doświadczenia wynika, że aby działać skutecznie, musimy być konkretni: nazwać instytucję, nazwać osobę.</w:t>
      </w:r>
    </w:p>
    <w:p>
      <w:pPr>
        <w:pStyle w:val="BodyText"/>
      </w:pPr>
      <w:r>
        <w:t xml:space="preserve">Ale chwileczkę, poddaję pod rozwagę, że wiara jest podstawowym warunkiem korzystania z naszej pozycji i autorytetu. Wykształcenie teologiczne, które sam otrzymałem, zaprogramowało mnie tak, bym nie oczekiwał nadprzyrodzonych przejawów mocy w moim życiu i służbie ani za ich pośrednictwem. W rezultacie osobiście trudno mi przejawiać ten rodzaj wiary, którego wymaga Pan Jezus. Rozważmy:</w:t>
      </w:r>
    </w:p>
    <w:p>
      <w:pPr>
        <w:pStyle w:val="BodyText"/>
      </w:pPr>
      <w:r>
        <w:t xml:space="preserve">W Ewangelii Mateusza 8,5-13 centurion rozumiał autorytet, wydawał rozkazy, a one były wykonywane bezzwłocznie i bez zastrzeżeń.</w:t>
      </w:r>
      <w:r>
        <w:rPr>
          <w:rStyle w:val="FootnoteReference"/>
        </w:rPr>
        <w:footnoteReference w:id="476"/>
      </w:r>
      <w:r>
        <w:t xml:space="preserve"> </w:t>
      </w:r>
      <w:r>
        <w:t xml:space="preserve">Pan Jezus powiedział jednak, że miał on niezwykle wielką wiarę — wiarę w co? W duchowy autorytet Pana, mógł po prostu wydać rozkaz i tak by się stało. Być może ten rodzaj wiary powinniśmy rozumieć jako absolutną pewność, bez śladu wątpliwości czy lęku. W Ewangelii Mateusza 21,21 Pan powiedział: „Zaprawdę… jeśli macie wiarę i nie wątpicie” (zob. Ewangelia Marka 11,23: „nie wątpi w swoim sercu”), możecie (właściwie: „sprawicie”) ususzyć drzewo albo posłać górę do morza. Zobacz także List do Hebrajczyków 10,22: „pełna pewność wiary”, 1 List do Tymoteusza 2,8: „modlić się… bez powątpiewania”, List Jakuba 1,6: „prosić w wierze, bez powątpiewania”. Ewangelia Marka 5,34 i Ewangelia Mateusza 15,28 przedstawiają pozytywne przykłady, Piotr natomiast zawiódł (Ewangelia Mateusza 14,31: „dlaczego zwątpiłeś?”).</w:t>
      </w:r>
    </w:p>
    <w:p>
      <w:pPr>
        <w:pStyle w:val="BodyText"/>
      </w:pPr>
      <w:r>
        <w:t xml:space="preserve">Jeśli ktoś udziela pełnomocnictwa, przypuszczalnie poprze je do granic swoich możliwości. Ponieważ możliwości Chrystusa nie mają granic, Jego wsparcie nie ma granic (z Jego strony). W Ewangelii Mateusza 28,18 powiedział: „Został mi dany wszelki autorytet w niebie i na ziemi”. Potem następuje posłannictwo: „Idąc, czyńcie uczniami… ucząc ich przestrzegać wszystkiego, co wam nakazałem” — zaimek odsyła do jedenastu Apostołów (werset 16). Jakie zatem polecenia Jezus dał Jedenastu? Między innymi: „uzdrawiajcie chorych, oczyszczajcie trędowatych, wypędzajcie demony” (w Ewangelii Mateusza 10,8 być może 94% greckich manuskryptów</w:t>
      </w:r>
      <w:r>
        <w:t xml:space="preserve"> </w:t>
      </w:r>
      <w:r>
        <w:rPr>
          <w:u w:val="single"/>
        </w:rPr>
        <w:t xml:space="preserve">nie</w:t>
      </w:r>
      <w:r>
        <w:t xml:space="preserve"> </w:t>
      </w:r>
      <w:r>
        <w:t xml:space="preserve">ma „wskrzeszajcie umarłych”). Jedenastu słyszało również Ewangelię Jana 20,21. Wiedząc, że wspiera nas Władca wszechświata, który ma wszelki autorytet i moc, możemy i powinniśmy działać z całkowitą pewnością.</w:t>
      </w:r>
    </w:p>
    <w:p>
      <w:pPr>
        <w:pStyle w:val="BodyText"/>
      </w:pPr>
      <w:r>
        <w:t xml:space="preserve">W tym miejscu konieczne jest słowo przestrogi. Rozważmy List Jakuba 4,7: „Poddajcie się więc Bogu. Przeciwstawcie się diabłu, a ucieknie od was”. Zauważ kolejność, zanim podejmiemy walkę z diabłem, musimy sprawdzić, czy jesteśmy poddani Bogu. Następnie powinniśmy powołać się na naszą pozycję w Chrystusie po prawicy Ojca. Ponieważ niewielu chrześcijan otrzymało choćby w przybliżeniu odpowiedni poziom pouczenia w dziedzinie biblijnej wojny duchowej (większość nie otrzymała żadnego), muszę wyjaśnić procedury.</w:t>
      </w:r>
    </w:p>
    <w:bookmarkStart w:id="477" w:name="zakazać-dalszego-używania-mocy-szatana"/>
    <w:p>
      <w:pPr>
        <w:pStyle w:val="Heading5"/>
      </w:pPr>
      <w:r>
        <w:t xml:space="preserve">Zakazać dalszego używania mocy Szatana</w:t>
      </w:r>
    </w:p>
    <w:p>
      <w:pPr>
        <w:pStyle w:val="FirstParagraph"/>
      </w:pPr>
      <w:r>
        <w:t xml:space="preserve">Procedura ta opiera się na Ewangelii Łukasza 10,19. Władca Jezus daje nam „ten” autorytet nad całą mocą wroga. Autorytet kontroluje moc, lecz ponieważ mamy dostęp do nieograniczonej mocy Boga (List do Efezjan 3,20), nie powinniśmy dawać Szatanowi satysfakcji z korzystania z jego mocy (a mógłby nas łatwo zwieść do robienia rzeczy, których nie powinniśmy robić). Powinniśmy używać naszego autorytetu, aby zakazywać używania mocy Szatana w odniesieniu do konkretnych sytuacji, z mojego doświadczenia wynika, że musimy być konkretni. (Próbowałem związać Szatana raz na zawsze, aż do końca świata, lecz to nie działa, przypuszczalnie dlatego, że plan Boga przewiduje dalszą aktywność wroga na tym świecie. Możemy ograniczyć działania wroga, lecz nie możemy całkowicie zakończyć jego działalności, a przynajmniej tak sądzę). Jak jednak właściwie mamy się do tego zabrać?</w:t>
      </w:r>
    </w:p>
    <w:p>
      <w:pPr>
        <w:pStyle w:val="BodyText"/>
      </w:pPr>
      <w:r>
        <w:t xml:space="preserve">W zbroi opisanej w Liście do Efezjan 6 znajdujemy „miecz Ducha” (werset 17). Miecz jest bronią zaczepną, choć służy również do obrony. Tekst mówi nam, że tym mieczem jest „ρημα Boga” — ρημα, nie λογος. Jest to wypowiedziane lub zastosowane Słowo Boga. Naprawdę, jaki pożytek z miecza pozostawionego w pochwie? Choć nasz Miecz jest cudowny (List do Hebrajczyków 4,12), aby wywołał skutek, musi wyjść z pochwy. Słowo musi być wypowiedziane albo napisane, zastosowane w konkretny sposób.</w:t>
      </w:r>
    </w:p>
    <w:p>
      <w:pPr>
        <w:pStyle w:val="BodyText"/>
      </w:pPr>
      <w:r>
        <w:t xml:space="preserve">W Biblii mamy wiele przykładów, w których ludzie uruchamiali moc Boga przez mówienie. Nasz świat zaczął się od stwórczego słowa Boga — wypowiedzianego (1 Księga Mojżeszowa 1,3.6.9.11.14.20.24.26, zob. też List do Hebrajczyków 11,3). Mojżesz wiele mówił. Eliasz mówił (1 Księga Królewska 17,1, 18,36, 2 Księga Królewska 1,10). Elizeusz mówił (2 Księga Królewska 2,14.21.24, 4,16.43, 6,19). Jezus bardzo wiele mówił. Ananiasz mówił (Dzieje Apostolskie 9,17). Piotr mówił (Dzieje Apostolskie 9,34.40). Paweł mówił (Dzieje Apostolskie 13,11, 14,3.10, 16,18, 20,10, 28,8). Krótko mówiąc, musimy mówić!</w:t>
      </w:r>
    </w:p>
    <w:bookmarkEnd w:id="477"/>
    <w:bookmarkStart w:id="478" w:name="X0f526a0a2f441185fd0de1d2aa0d90fab1e0a22"/>
    <w:p>
      <w:pPr>
        <w:pStyle w:val="Heading5"/>
      </w:pPr>
      <w:r>
        <w:t xml:space="preserve">Zażądać zniweczenia zaistniałych konsekwencji używania tej mocy</w:t>
      </w:r>
    </w:p>
    <w:p>
      <w:pPr>
        <w:pStyle w:val="FirstParagraph"/>
      </w:pPr>
      <w:r>
        <w:t xml:space="preserve">Procedura ta opiera się na 1 Liście Jana 3,8, w połączeniu z Ewangelią Łukasza 10,19. Powinniśmy móc nakazać Szatanowi, aby użył własnej mocy do naprawienia szkód, które wyrządził, zmuszając go tym samym do uznania swojej porażki (co nie będzie odpowiadać jego pysze). Syn Boga objawił się w celu „zniweczenia dzieł diabła” (1 List Jana 3,8), a na nas spoczywa obowiązek kontynuowania Jego dzieła tutaj, na tym świecie (Ewangelia Jana 20,21). Jak można zniweczyć dzieło, nie niwecząc również jego konsekwencji? Ojciec posłał Syna, aby zniweczył dzieła Szatana, a Pan Jezus Chrystus posyła nas, abyśmy niweczyli dzieła Szatana. Ponownie rozumiem, że musimy być konkretni.</w:t>
      </w:r>
    </w:p>
    <w:bookmarkEnd w:id="478"/>
    <w:bookmarkStart w:id="479" w:name="X0a20cec6c01584c7752d84d17719c0d5e506521"/>
    <w:p>
      <w:pPr>
        <w:pStyle w:val="Heading5"/>
      </w:pPr>
      <w:r>
        <w:t xml:space="preserve">Zniszczyć wszelkie warownie Szatana w umyśle danej osoby</w:t>
      </w:r>
    </w:p>
    <w:p>
      <w:pPr>
        <w:pStyle w:val="FirstParagraph"/>
      </w:pPr>
      <w:r>
        <w:t xml:space="preserve">Procedura ta opiera się na 2 Liście do Koryntian 10,4 oraz 1 Liście Jana 3,8. Ponieważ warownie i martwe punkty w umyśle są dziełem Szatana, a my jesteśmy tutaj po to, by niweczyć takie dzieła, mieści się to w zakresie naszych kompetencji. Dokonuje się tego, domagając się takiego zniszczenia wyraźnymi słowami i będąc konkretnym.</w:t>
      </w:r>
    </w:p>
    <w:bookmarkEnd w:id="479"/>
    <w:bookmarkStart w:id="482" w:name="X4ed9f750286e3ae75787aed5837bdf71cedb48d"/>
    <w:p>
      <w:pPr>
        <w:pStyle w:val="Heading5"/>
      </w:pPr>
      <w:r>
        <w:t xml:space="preserve">Związać wszystkie zaangażowane demony i posłać je do Otchłani</w:t>
      </w:r>
    </w:p>
    <w:p>
      <w:pPr>
        <w:pStyle w:val="FirstParagraph"/>
      </w:pPr>
      <w:r>
        <w:t xml:space="preserve">Procedura ta opiera się na Ewangelii Marka 3,27 i Ewangelii Łukasza 8,31. „Nikt nie może zrabować dóbr mocarza, wdzierając się do jego domu, jeśli najpierw nie zwiąże mocarza — wtedy może ograbić dom” (Ewangelia Marka 3,27). Ponieważ przy pierwszym wystąpieniu słowa „mocarz” znajduje się rodzajnik określony, istota ta została już przedstawiona, odniesienie dotyczy więc Szatana. Oto biblijna podstawa wiązania Szatana, co jest teraz możliwe dzięki zwycięstwu Chrystusa. Jeśli możemy związać Szatana, najwyraźniej możemy również związać każdego z jego podwładnych. „I błagał Go usilnie, aby nie nakazywał im odejść do Otchłani” (Ewangelia Łukasza 8,31).</w:t>
      </w:r>
      <w:r>
        <w:rPr>
          <w:rStyle w:val="FootnoteReference"/>
        </w:rPr>
        <w:footnoteReference w:id="480"/>
      </w:r>
      <w:r>
        <w:rPr>
          <w:rStyle w:val="FootnoteReference"/>
        </w:rPr>
        <w:footnoteReference w:id="481"/>
      </w:r>
      <w:r>
        <w:t xml:space="preserve"> </w:t>
      </w:r>
      <w:r>
        <w:t xml:space="preserve">Uważam, że Jezus nie posłał ich wówczas do Otchłani, ponieważ nie odniósł jeszcze zwycięstwa, a demony działały „w granicach swoich praw” podlegając Szatanowi, który nadal był bogiem tego świata. Demony były jednak wyraźnie zaniepokojone! (Bardzo dobrze wiedziały, kim jest Jezus i co może uczynić). Powiedziałbym, że jest to jedna z „większych rzeczy” (Ewangelia Jana 14,12), które możemy teraz czynić — a raczej które powinniśmy czynić. Jeśli chodzi o zakazywanie dalszej aktywności demonicznej, mamy przykład Pana (Ewangelia Marka 9,25), a mamy czynić to, co czynił On (Ewangelia Jana 14,12).</w:t>
      </w:r>
    </w:p>
    <w:bookmarkEnd w:id="482"/>
    <w:bookmarkStart w:id="484" w:name="X1cad799430c6a8eed5553f0a768a4614be044b7"/>
    <w:p>
      <w:pPr>
        <w:pStyle w:val="Heading5"/>
      </w:pPr>
      <w:r>
        <w:t xml:space="preserve">Wziąć ich myśli w niewolę posłuszeństwa Chrystusowi</w:t>
      </w:r>
    </w:p>
    <w:p>
      <w:pPr>
        <w:pStyle w:val="FirstParagraph"/>
      </w:pPr>
      <w:r>
        <w:t xml:space="preserve">Procedura ta opiera się na 2 Liście do Koryntian 10,5. W kontekście chodzi o myśli ludzi, którzy służą Szatanowi (nawet jeśli nieświadomie). (Oczywiście zawsze powinniśmy sprawdzać, czy sami działamy w obrębie „umysłu Chrystusa”, 1 List do Koryntian 2,15-16). Procedura ta wykracza poza samo neutralizowanie ingerencji wroga, ponieważ wprowadza pozytywną „ingerencję”, lecz jest istotna dla omawianej tutaj kwestii, gdyż stanowi ochronę przed ponownym popadnięciem w poprzedni błąd. Ponownie musimy być konkretni.</w:t>
      </w:r>
    </w:p>
    <w:p>
      <w:pPr>
        <w:pStyle w:val="BodyText"/>
      </w:pPr>
      <w:r>
        <w:t xml:space="preserve">Kilka dalszych tekstów, które mogą mieć zastosowanie: Ewangelia Łukasza 4,18-21, Księga Psalmów 149,5-9, Ewangelia Jana 14,12.</w:t>
      </w:r>
    </w:p>
    <w:p>
      <w:pPr>
        <w:pStyle w:val="BodyText"/>
      </w:pPr>
      <w:r>
        <w:t xml:space="preserve">W Ewangelii Łukasza 4,18-21 Jezus wymienia „wypuszczenie uciśnionych na wolność” (Księga Izajasza 58,6) jako jedną z rzeczy, do których został posłany. Przechodząc do Księgi Izajasza 58,6, znajdujemy oświadczenie Jehowy, jaki rodzaj „postu” chciałby zobaczyć: „Rozwiązać więzy niegodziwości (a), rozluźnić powrozy jarzma (b), wypuścić uciśnionych na wolność (a) i abyście złamali każde jarzmo (b)”. Jak to jest typowe dla gramatyki hebrajskiej, obie połowy są równoległe. „Rozwiązać więzy niegodziwości” i „wypuścić uciśnionych na wolność” są równoległe. Kto nałożył „więzy” i kto uciska? Otóż chociaż ludzie z pewnością mogą sami wykuć swoje więzy przez własny niegodziwy styl życia, uważam, że chodzi tutaj o to, iż niegodziwe istoty nałożyły więzy na innych. „Rozluźnić powrozy jarzma” i „abyście złamali każde jarzmo” idą w parze. Najpierw powinniśmy rozwiązać powrozy mocujące jarzmo do szyi, następnie powinniśmy złamać same jarzma. Odnoszę wyraźne wrażenie, że tekst ten mówi o działalności sług Szatana, ludzi i aniołów. Posługując się kulturą, światopoglądem, środkami prawnymi, groźbami, szantażem, kłamstwami, zwodzeniem oraz zwyczajnym demonizowaniem i czarami, wiążą jednostki, rodziny, grupy etniczne itd. rozmaitymi więzami i narzędziami ucisku.</w:t>
      </w:r>
    </w:p>
    <w:p>
      <w:pPr>
        <w:pStyle w:val="BodyText"/>
      </w:pPr>
      <w:r>
        <w:t xml:space="preserve">Co to ma zatem wspólnego z naszym tematem? Otóż post był ważnym i wymaganym elementem ich czci oddawanej Bogu. Ten rodzaj „postu” jest więc czymś, co Jehowa wyraźnie chce widzieć, jest wprost Jego wolą. Gdy zatem widzimy w czyimś życiu jakiekolwiek dzieło Szatana, wolą Boga jest, abyśmy je zniweczyli. Jeśli wiemy, że jest to wola Boga, możemy postępować z całkowitą pewnością. Stanowi to także część naszego posłannictwa (Ewangelia Jana 20,21).</w:t>
      </w:r>
    </w:p>
    <w:p>
      <w:pPr>
        <w:pStyle w:val="BodyText"/>
      </w:pPr>
      <w:r>
        <w:t xml:space="preserve">Zauważmy również Księgę Psalmów 149,5-9: „Niech święci radują się w chwale, niech śpiewają radośnie na swoich łożach. Niech wzniosłe pochwały Boga będą w ich ustach, a miecz obosieczny w ich ręku — aby dokonać pomsty na narodach i kar na ludach, aby związać ich królów łańcuchami, a ich dostojników żelaznymi kajdanami, aby wykonać na nich zapisany wyrok. Taki zaszczyt jest dla wszystkich Jego świętych”. Zauważ, że święci są na swoich łożach, dlatego działalność opisana w kolejnych wersetach musi odbywać się w sferze duchowej. Zakładam, że „królowie” i „dostojnicy” obejmują zarówno ludzi, jak i upadłych aniołów. Opisana działalność jest prerogatywą „wszystkich Jego świętych”, jeśli jesteś jednym z tych świętych, należy to do ciebie. W Tekście istnieje pewna liczba „zapisanych wyroków”: Księga Zachariasza 5,2-4, Księga Przysłów 20,10, Księga Izajasza 10,1-2, List do Rzymian 1,26-36 i 1 List do Koryntian 6,9-10, przynajmniej.</w:t>
      </w:r>
    </w:p>
    <w:p>
      <w:pPr>
        <w:pStyle w:val="BodyText"/>
      </w:pPr>
      <w:r>
        <w:t xml:space="preserve">W Ewangelii Jana 14,12 Pan Jezus powiedział: „Zaprawdę, zaprawdę, mówię wam, ten, kto wierzy we Mnie, on także będzie czynił dzieła, które Ja czynię, istotnie będzie czynił większe dzieła niż te, ponieważ idę do mojego Ojca”. „Zaprawdę, zaprawdę” to w istocie „amen, amen” — w AV oddane jako „verily, verily”. Tylko Jan odnotowuje to słowo jako powtórzone, w pozostałych Ewangeliach jest to po prostu „amen”. W ówczesnej literaturze nie mamy przykładu, by ktokolwiek inny używał tego słowa w taki sposób. Wydaje się, że Jezus stworzył własne zastosowanie, a jego celem zdaje się być zwrócenie uwagi na ważne oświadczenie: „Zatrzymajcie się i słuchajcie!”. Często poprzedza ono formalne stwierdzenie doktryny lub zasady, tak jak tutaj.</w:t>
      </w:r>
    </w:p>
    <w:p>
      <w:pPr>
        <w:pStyle w:val="BodyText"/>
      </w:pPr>
      <w:r>
        <w:t xml:space="preserve">„Ten, kto wierzy we Mnie, on także będzie czynił dzieła, które Ja czynię”. Jest to ogromne stwierdzenie i niemało niepokojące. Zauważ, że Pan powiedział: „będzie czynił”, nie „może”, „być może”, „jeśli będzie miał ochotę”, a już z pewnością nie: „jeśli pozwala na to doktryna twojego kościoła”! Jeśli wierzysz,</w:t>
      </w:r>
      <w:r>
        <w:t xml:space="preserve"> </w:t>
      </w:r>
      <w:r>
        <w:rPr>
          <w:bCs/>
          <w:b/>
        </w:rPr>
        <w:t xml:space="preserve">będziesz czynił!</w:t>
      </w:r>
      <w:r>
        <w:t xml:space="preserve"> </w:t>
      </w:r>
      <w:r>
        <w:t xml:space="preserve">Czasownik „wierzyć” jest w czasie teraźniejszym, jeśli wierzysz, będziesz czynił, wynika z tego, że jeśli nie czynisz, to dlatego, że nie wierzysz. 2 + 2 = 4. Co czynić? „Dzieła, które Ja czynię”. Otóż Jezus głosił Ewangelię, nauczał, wypędzał demony, uzdrawiał choroby i schorzenia wszelkich rodzajów i rozmiarów, od czasu do czasu wskrzeszał umarłego i dokonywał różnych cudów (woda w wino, chodzenie po wodzie, natychmiastowe uciszenie burzy, natychmiastowe przeniesienie łodzi o kilka kilometrów, rozmnożenie żywności, ususzenie drzewa — zasugerował też, że uczniowie powinni byli uciszyć burzę i rozmnożyć żywność, oraz stwierdził, że mogą ususzyć drzewo (Piotr rzeczywiście zrobił kilka kroków po wodzie)). A co z nami? Z głoszeniem i nauczaniem potrafimy sobie poradzić, lecz co z resztą? Słyszałem kiedyś, jak rektor pewnej chrześcijańskiej uczelni twierdził, że werset ten oczywiście nie może znaczyć tego, co mówi, ponieważ to się nie dzieje! Cóż, przypuszczam, że w jego własnym doświadczeniu i doświadczeniu jego współpracowników się nie dzieje. Wielu ludzi wypędza jednak dzisiaj demony i uzdrawia, a ja osobiście znam kogoś, kto wskrzesił umarłego. Cuda również się zdarzają. Co więc ze mną? I z tobą?</w:t>
      </w:r>
    </w:p>
    <w:p>
      <w:pPr>
        <w:pStyle w:val="BodyText"/>
      </w:pPr>
      <w:r>
        <w:t xml:space="preserve">„Istotnie będzie czynił większe dzieła niż te”. Otóż jeśli wypędzamy demony, uzdrawiamy i dokonujemy cudów, czy to nie wystarczy? Jezus chce czegoś więcej, chce „większych rzeczy” niż właśnie wymienione (nie zapominaj, co powiedział w Ewangelii Mateusza 7,22-23). Ponownie zauważ, że powiedział „będzie czynił”, nie „może”, „być może” albo „jeśli pozwoli twój kościół”. Co jednak może być „większe” od cudów? Nie może to dotyczyć współczesnej technologii, ponieważ w takim przypadku podobne „większe rzeczy” nie byłyby dostępne dla wierzących przez pierwszych 1900 lat. Zauważ, że klucz znajduje się w ostatnim stwierdzeniu Pana (w wersecie 12): „ponieważ idę do mojego Ojca”. Tylko jeśli zwycięży, może wrócić do Ojca, oznajmia więc tutaj swoje zwycięstwo, zanim do niego doszło. To na podstawie tego zwycięstwa można dokonywać „większych rzeczy”. Czym właściwie są te „większe” rzeczy? Moją odpowiedź przedstawiam w zarysie „Biblical Spiritual Warfare”.</w:t>
      </w:r>
    </w:p>
    <w:p>
      <w:pPr>
        <w:pStyle w:val="BodyText"/>
      </w:pPr>
      <w:r>
        <w:t xml:space="preserve">W wersecie 12 czasownik „będzie czynił” jest za każdym razem w liczbie pojedynczej, dotyczy więc jednostki. Zauważ, że Pan</w:t>
      </w:r>
      <w:r>
        <w:t xml:space="preserve"> </w:t>
      </w:r>
      <w:r>
        <w:rPr>
          <w:u w:val="single"/>
          <w:bCs/>
          <w:b/>
        </w:rPr>
        <w:t xml:space="preserve">nie</w:t>
      </w:r>
      <w:r>
        <w:t xml:space="preserve"> </w:t>
      </w:r>
      <w:r>
        <w:t xml:space="preserve">powiedział: „wy, Apostołowie”, „tylko w epoce apostolskiej”, „tylko do ukończenia kanonu” czy cokolwiek podobnego. Powiedział: „ten, kto wierzy”, czas teraźniejszy, dotyczy to zatem każdego późniejszego momentu aż po nasze czasy. Zaprzeczanie prawdzie zawartej w tym wersecie oznacza czynienie z Pana Jezusa Chrystusa kłamcy. Jakoś nie wydaje mi się to zbyt mądre.</w:t>
      </w:r>
      <w:r>
        <w:rPr>
          <w:rStyle w:val="FootnoteReference"/>
        </w:rPr>
        <w:footnoteReference w:id="483"/>
      </w:r>
    </w:p>
    <w:bookmarkEnd w:id="484"/>
    <w:bookmarkEnd w:id="485"/>
    <w:bookmarkEnd w:id="486"/>
    <w:bookmarkStart w:id="496" w:name="sedno-zaginionego-oryginału"/>
    <w:p>
      <w:pPr>
        <w:pStyle w:val="Heading3"/>
      </w:pPr>
      <w:r>
        <w:t xml:space="preserve">„Sedno” „zaginionego” Oryginału</w:t>
      </w:r>
    </w:p>
    <w:p>
      <w:pPr>
        <w:pStyle w:val="FirstParagraph"/>
      </w:pPr>
      <w:r>
        <w:t xml:space="preserve">Wracając do początkowego akapitu, czy oryginalne sformułowania zaginęły? Odpowiadam stanowczo: „</w:t>
      </w:r>
      <w:r>
        <w:rPr>
          <w:bCs/>
          <w:b/>
        </w:rPr>
        <w:t xml:space="preserve">Nie</w:t>
      </w:r>
      <w:r>
        <w:t xml:space="preserve">”. Z pewnością istnieją w masie bizantyjskiej. W moim rozumieniu za każdym razem, gdy zgadza się co najmniej 90% świadków pierwszorzędnych, nie może istnieć rozsądna wątpliwość, statystycznie niemożliwe jest, by nieoryginalny odczyt osiągnął tak wysoki wynik.</w:t>
      </w:r>
      <w:r>
        <w:rPr>
          <w:rStyle w:val="FootnoteReference"/>
        </w:rPr>
        <w:footnoteReference w:id="487"/>
      </w:r>
      <w:r>
        <w:t xml:space="preserve"> </w:t>
      </w:r>
      <w:r>
        <w:t xml:space="preserve">Za każdym razem, gdy odczyt zdobywa poświadczenie wynoszące co najmniej 80%, jego prawdopodobieństwo jest wysokie. Jednak w przypadku być może 2% słów Nowego Testamentu poświadczenie spada poniżej 80% (nieproporcjonalnie wiele z nich znajduje się w Objawieniu Jana), w tym miejscu musimy więc przenieść uwagę z manuskryptów na rodziny. Gdy wszystkie manuskrypty zostaną skolacjonowane i empirycznie przypisane do rodzin, będziemy mogli od początku ograniczyć uwagę do tych rodzin (jak uczyniłem w Objawieniu Jana). W innym miejscu wspomniałem o przypisaniu każdej rodzinie współczynnika wiarygodności opartego na obiektywnych kryteriach, trzeba tego dokonać. Niestety w tej dziedzinie czeka do odrobienia mnóstwo „pracy domowej”. O ile mi wiadomo, przynajmniej do chwili obecnej tylko Rodzina 35 ma empirycznie zdefiniowany profil (określony przez pełne kolacjonowanie reprezentatywnej liczby manuskryptów tworzących rodzinę).</w:t>
      </w:r>
      <w:r>
        <w:rPr>
          <w:rStyle w:val="FootnoteReference"/>
        </w:rPr>
        <w:footnoteReference w:id="488"/>
      </w:r>
    </w:p>
    <w:p>
      <w:pPr>
        <w:pStyle w:val="BodyText"/>
      </w:pPr>
      <w:r>
        <w:t xml:space="preserve">Wśród tych 2% o poświadczeniu poniżej 80% w zdecydowanej większości przypadków różnicy niemal nie da się odzwierciedlić w przekładzie. Czytelnik zrozumie zamierzone znaczenie przy dowolnym z wariantów. W obrębie Rodziny 35 istnieje jednak bardzo niewiele znaczącego zróżnicowania, a formę archetypalną można wykazać. Na przykład spośród czterdziestu trzech członków rodziny, których skolacjonowałem dla Listów Ogólnych, dwadzieścia osiem jest identycznych (doskonałych) dla 2 i 3 Listu Jana (lecz nie zawsze są to te same manuskrypty), dwadzieścia dwa dla Listu Judy, pięć dla 2 Listu Piotra, po cztery dla Listu Jakuba i 1 Listu Jana oraz trzy dla 1 Listu Piotra.</w:t>
      </w:r>
    </w:p>
    <w:p>
      <w:pPr>
        <w:pStyle w:val="BodyText"/>
      </w:pPr>
      <w:r>
        <w:t xml:space="preserve">Do mojego artykułu „Współczynnik staranności kopisty” (zob. wyżej, Część II) skolacjonowałem pięćdziesięciu jeden (obecnie 53) przedstawicieli Rodziny 35 dla Ewangelii Marka. Przeanalizowałem warianty zawarte w manuskrypcie 1384 (eapr, XI, Andros), spośród pięćdziesięciu trzech skolacjonowanych przeze mnie manuskryptów co najmniej czterdzieści cztery są lepsze niż 1384, jest on więc zaledwie przeciętnym przedstawicielem. Jednak z czterema wyjątkami wszędzie chodzi tylko o jedną literę lub sylabę i nigdzie znaczenie nie zostaje poważnie naruszone.</w:t>
      </w:r>
      <w:r>
        <w:t xml:space="preserve"> </w:t>
      </w:r>
      <w:r>
        <w:rPr>
          <w:bCs/>
          <w:b/>
        </w:rPr>
        <w:t xml:space="preserve">Ktoś czytający manuskrypt 1384 nie zostałby w żadnym miejscu księgi wprowadzony w błąd co do zamierzonego znaczenia</w:t>
      </w:r>
      <w:r>
        <w:t xml:space="preserve">. Twierdzę, że jest to godne uwagi i typowe dla niemal wszystkich manuskryptów</w:t>
      </w:r>
      <w:r>
        <w:t xml:space="preserve"> </w:t>
      </w:r>
      <w:r>
        <w:rPr>
          <w:bCs/>
          <w:b/>
        </w:rPr>
        <w:t xml:space="preserve">f</w:t>
      </w:r>
      <w:r>
        <w:rPr>
          <w:vertAlign w:val="superscript"/>
          <w:bCs/>
          <w:b/>
        </w:rPr>
        <w:t xml:space="preserve">35</w:t>
      </w:r>
      <w:r>
        <w:t xml:space="preserve">.</w:t>
      </w:r>
      <w:r>
        <w:t xml:space="preserve"> </w:t>
      </w:r>
      <w:r>
        <w:rPr>
          <w:u w:val="single"/>
        </w:rPr>
        <w:t xml:space="preserve">Na przestrzeni stuleci przekazu każdy, kto miał dostęp do przedstawiciela</w:t>
      </w:r>
      <w:r>
        <w:rPr>
          <w:u w:val="single"/>
        </w:rPr>
        <w:t xml:space="preserve"> </w:t>
      </w:r>
      <w:r>
        <w:rPr>
          <w:bCs/>
          <w:b/>
          <w:u w:val="single"/>
        </w:rPr>
        <w:t xml:space="preserve">f</w:t>
      </w:r>
      <w:r>
        <w:rPr>
          <w:vertAlign w:val="superscript"/>
          <w:bCs/>
          <w:b/>
          <w:u w:val="single"/>
        </w:rPr>
        <w:t xml:space="preserve">35</w:t>
      </w:r>
      <w:r>
        <w:rPr>
          <w:u w:val="single"/>
        </w:rPr>
        <w:t xml:space="preserve">, mógł znać zamierzone znaczenie Autografu</w:t>
      </w:r>
      <w:r>
        <w:t xml:space="preserve">.</w:t>
      </w:r>
      <w:r>
        <w:rPr>
          <w:rStyle w:val="FootnoteReference"/>
        </w:rPr>
        <w:footnoteReference w:id="489"/>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p>
    <w:p>
      <w:pPr>
        <w:pStyle w:val="BodyText"/>
      </w:pPr>
      <w:r>
        <w:t xml:space="preserve">Kilka lat temu Maurice Robinson dokonał pełnego kolacjonowania 1389 manuskryptów zawierających</w:t>
      </w:r>
      <w:r>
        <w:t xml:space="preserve"> </w:t>
      </w:r>
      <w:r>
        <w:rPr>
          <w:iCs/>
          <w:i/>
        </w:rPr>
        <w:t xml:space="preserve">PA</w:t>
      </w:r>
      <w:r>
        <w:t xml:space="preserve"> </w:t>
      </w:r>
      <w:r>
        <w:t xml:space="preserve">(Ewangelia Jana 7,53-8,11),</w:t>
      </w:r>
      <w:r>
        <w:rPr>
          <w:rStyle w:val="FootnoteReference"/>
        </w:rPr>
        <w:footnoteReference w:id="490"/>
      </w:r>
      <w:r>
        <w:t xml:space="preserve"> </w:t>
      </w:r>
      <w:r>
        <w:t xml:space="preserve">a ja przez dwa miesiące miałem w swoim posiadaniu fotokopię tych kolacjonowań należącą do Williama Pierponta i większość tego czasu spędziłem na ich badaniu. W miarę badania stało się dla mnie oczywiste, że von Soden „uregularnił” swoje dane, arbitralnie „tworząc” rzekomą formę archetypalną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mają wyraźne profile wystarczające do wykazania, że są odmienne, są jednak nieco „rozmyte”, z dostatecznie dużym wewnętrznym pomieszaniem, by wybór formy archetypalnej był arbitralny. W istocie podejrzewam, że trzeba będzie je podzielić. Dla kontrastu jego</w:t>
      </w:r>
      <w:r>
        <w:t xml:space="preserve"> </w:t>
      </w:r>
      <w:r>
        <w:rPr>
          <w:bCs/>
          <w:b/>
        </w:rPr>
        <w:t xml:space="preserve">M</w:t>
      </w:r>
      <w:r>
        <w:rPr>
          <w:vertAlign w:val="superscript"/>
          <w:bCs/>
          <w:b/>
        </w:rPr>
        <w:t xml:space="preserve">7</w:t>
      </w:r>
      <w:r>
        <w:t xml:space="preserve"> </w:t>
      </w:r>
      <w:r>
        <w:t xml:space="preserve">(którą nazywam Rodziną 35) ma solidny, jednoznaczny profil, formę archetypalną można wykazać, została ustalona empirycznie.</w:t>
      </w:r>
    </w:p>
    <w:p>
      <w:pPr>
        <w:pStyle w:val="BodyText"/>
      </w:pPr>
      <w:r>
        <w:t xml:space="preserve">Jeśli chodzi o Objawienie Jana, spośród dziewięciu grup rozpoznanych przez Hoskiera jednorodna jest tylko jego kompluteńska (którą nazywam Rodziną 35). Spośród pozostałych wszystkie główne mają podziały, które będą wymagały własnego profilu.</w:t>
      </w:r>
    </w:p>
    <w:p>
      <w:pPr>
        <w:pStyle w:val="BodyText"/>
      </w:pPr>
      <w:r>
        <w:t xml:space="preserve">Przy moich założeniach wstępnych uważam, że mam wystarczający powód, by ogłosić boskie zachowanie do dziś precyzyjnych oryginalnych sformułowań kompletnego Tekstu Nowego Testamentu. Sformułowania te zostały odtworzone w moim wydaniu greckiego Nowego Testamentu. Moje założenia wstępne obejmują: istnieje Władca i Stwórca, natchnął Tekst biblijny, obiecał zachować go przez tysiąc pokoleń (1 Księga Kronik 16,15), musi więc czynnie i nieustannie interesować się tym zachowaniem (od Adama minęło mniej niż 300 pokoleń, ma więc jeszcze trochę do zrobienia!). Gdyby zachowywał oryginalne sformułowania w jakiejś innej linii przekazu niż</w:t>
      </w:r>
      <w:r>
        <w:t xml:space="preserve"> </w:t>
      </w:r>
      <w:r>
        <w:rPr>
          <w:bCs/>
          <w:b/>
        </w:rPr>
        <w:t xml:space="preserve">f</w:t>
      </w:r>
      <w:r>
        <w:rPr>
          <w:vertAlign w:val="superscript"/>
          <w:bCs/>
          <w:b/>
        </w:rPr>
        <w:t xml:space="preserve">35</w:t>
      </w:r>
      <w:r>
        <w:t xml:space="preserve">, czy przekaz ten byłby mniej staranny niż ten, który wykazałem dla</w:t>
      </w:r>
      <w:r>
        <w:t xml:space="preserve"> </w:t>
      </w:r>
      <w:r>
        <w:rPr>
          <w:bCs/>
          <w:b/>
        </w:rPr>
        <w:t xml:space="preserve">f</w:t>
      </w:r>
      <w:r>
        <w:rPr>
          <w:vertAlign w:val="superscript"/>
          <w:bCs/>
          <w:b/>
        </w:rPr>
        <w:t xml:space="preserve">35</w:t>
      </w:r>
      <w:r>
        <w:t xml:space="preserve">? Nie sądzę. Każda linia przekazu charakteryzująca się wewnętrznym pomieszaniem zostaje więc zdyskwalifikowana — obejmuje to</w:t>
      </w:r>
      <w:r>
        <w:t xml:space="preserve"> </w:t>
      </w:r>
      <w:r>
        <w:rPr>
          <w:u w:val="single"/>
          <w:bCs/>
          <w:b/>
        </w:rPr>
        <w:t xml:space="preserve">wszystkie</w:t>
      </w:r>
      <w:r>
        <w:t xml:space="preserve"> </w:t>
      </w:r>
      <w:r>
        <w:t xml:space="preserve">inne linie przekazu, jakie dotąd widziałem!</w:t>
      </w:r>
      <w:r>
        <w:rPr>
          <w:rStyle w:val="FootnoteReference"/>
        </w:rPr>
        <w:footnoteReference w:id="491"/>
      </w:r>
    </w:p>
    <w:p>
      <w:pPr>
        <w:pStyle w:val="BodyText"/>
      </w:pPr>
      <w:r>
        <w:t xml:space="preserve">Na podstawie dostępnych dotąd dowodów twierdzę, co następuje:</w:t>
      </w:r>
    </w:p>
    <w:p>
      <w:pPr>
        <w:numPr>
          <w:ilvl w:val="0"/>
          <w:numId w:val="1077"/>
        </w:numPr>
      </w:pPr>
      <w:r>
        <w:t xml:space="preserve">Oryginalne sformułowania nigdy nie „zaginęły”, a ich przekaz na przestrzeni lat był zasadniczo normalny, ponieważ od początku uznawano je za materiał natchniony.</w:t>
      </w:r>
    </w:p>
    <w:p>
      <w:pPr>
        <w:numPr>
          <w:ilvl w:val="0"/>
          <w:numId w:val="1077"/>
        </w:numPr>
      </w:pPr>
      <w:r>
        <w:t xml:space="preserve">Ten normalny proces doprowadził do powstania linii przekazu.</w:t>
      </w:r>
    </w:p>
    <w:p>
      <w:pPr>
        <w:numPr>
          <w:ilvl w:val="0"/>
          <w:numId w:val="1077"/>
        </w:numPr>
      </w:pPr>
      <w:r>
        <w:t xml:space="preserve">Aby wyznaczyć takie linie, manuskrypty trzeba empirycznie grupować na podstawie wspólnej mozaiki odczytów.</w:t>
      </w:r>
    </w:p>
    <w:p>
      <w:pPr>
        <w:numPr>
          <w:ilvl w:val="0"/>
          <w:numId w:val="1077"/>
        </w:numPr>
      </w:pPr>
      <w:r>
        <w:t xml:space="preserve">Takie grupy lub rodziny trzeba ocenić pod względem niezależności i wiarygodności.</w:t>
      </w:r>
    </w:p>
    <w:p>
      <w:pPr>
        <w:numPr>
          <w:ilvl w:val="0"/>
          <w:numId w:val="1077"/>
        </w:numPr>
      </w:pPr>
      <w:r>
        <w:t xml:space="preserve">Największą jasno zdefiniowaną grupą jest Rodzina 35.</w:t>
      </w:r>
    </w:p>
    <w:p>
      <w:pPr>
        <w:numPr>
          <w:ilvl w:val="0"/>
          <w:numId w:val="1077"/>
        </w:numPr>
      </w:pPr>
      <w:r>
        <w:t xml:space="preserve">Rodzina 35 jest w sposób możliwy do wykazania niezależna od wszystkich innych linii przekazu w całym Nowym Testamencie.</w:t>
      </w:r>
    </w:p>
    <w:p>
      <w:pPr>
        <w:numPr>
          <w:ilvl w:val="0"/>
          <w:numId w:val="1077"/>
        </w:numPr>
      </w:pPr>
      <w:r>
        <w:t xml:space="preserve">Rodzina 35 jest w sposób możliwy do wykazania starożytna, sięga co najmniej III wieku.</w:t>
      </w:r>
      <w:r>
        <w:rPr>
          <w:rStyle w:val="FootnoteReference"/>
        </w:rPr>
        <w:footnoteReference w:id="492"/>
      </w:r>
    </w:p>
    <w:p>
      <w:pPr>
        <w:numPr>
          <w:ilvl w:val="0"/>
          <w:numId w:val="1077"/>
        </w:numPr>
      </w:pPr>
      <w:r>
        <w:t xml:space="preserve">Przedstawiciele Rodziny 35 pochodzą z całego obszaru śródziemnomorskiego, rozmieszczenie geograficzne jest niemal całkowite.</w:t>
      </w:r>
      <w:r>
        <w:rPr>
          <w:rStyle w:val="FootnoteReference"/>
        </w:rPr>
        <w:footnoteReference w:id="493"/>
      </w:r>
    </w:p>
    <w:p>
      <w:pPr>
        <w:numPr>
          <w:ilvl w:val="0"/>
          <w:numId w:val="1077"/>
        </w:numPr>
      </w:pPr>
      <w:r>
        <w:t xml:space="preserve">Rodzina 35 nie jest recenzją, nie powstała w żadnym momencie późniejszym od Autografów.</w:t>
      </w:r>
    </w:p>
    <w:p>
      <w:pPr>
        <w:numPr>
          <w:ilvl w:val="0"/>
          <w:numId w:val="1077"/>
        </w:numPr>
      </w:pPr>
      <w:r>
        <w:t xml:space="preserve">Rodzina 35 jest obiektywnie/empirycznie zdefiniowaną jednostką w całym Nowym Testamencie, ma możliwy do wykazania, diagnostyczny profil od Ewangelii Mateusza 1,1 do Objawienia Jana 22,21.</w:t>
      </w:r>
    </w:p>
    <w:p>
      <w:pPr>
        <w:numPr>
          <w:ilvl w:val="0"/>
          <w:numId w:val="1077"/>
        </w:numPr>
      </w:pPr>
      <w:r>
        <w:t xml:space="preserve">Archetypalną formę Rodziny 35 można wykazać — została wykazana (zob. „Profil” wyżej, w Części II).</w:t>
      </w:r>
    </w:p>
    <w:p>
      <w:pPr>
        <w:numPr>
          <w:ilvl w:val="0"/>
          <w:numId w:val="1077"/>
        </w:numPr>
      </w:pPr>
      <w:r>
        <w:t xml:space="preserve">Tekst Oryginalny jest ostatecznym archetypem, każdy kandydat musi być również archetypem — rzeczywistym, najzupełniej prawdziwym, obiektywnie weryfikowalnym archetypem — istnieje tylko jeden (jak dotąd), Rodzina 35.</w:t>
      </w:r>
      <w:r>
        <w:rPr>
          <w:rStyle w:val="FootnoteReference"/>
        </w:rPr>
        <w:footnoteReference w:id="494"/>
      </w:r>
    </w:p>
    <w:p>
      <w:pPr>
        <w:numPr>
          <w:ilvl w:val="0"/>
          <w:numId w:val="1077"/>
        </w:numPr>
      </w:pPr>
      <w:r>
        <w:t xml:space="preserve">Troska Boga o zachowanie Tekstu biblijnego jest oczywista, uważam, że fragmenty takie jak 1 Księga Kronik 16,15, Księga Psalmów 119,89, Księga Izajasza 40,8, Ewangelia Mateusza 5,18, Ewangelia Łukasza 16,17 i 21,33, Ewangelia Jana 10,35, 1 List Piotra 1,23-25 oraz Ewangelia Łukasza 4,4 można rozsądnie uznać za implikujące obietnicę, że Pismo zostanie zachowane (co do joty) do użytku człowieka (mamy żyć „każdym</w:t>
      </w:r>
      <w:r>
        <w:t xml:space="preserve"> </w:t>
      </w:r>
      <w:r>
        <w:rPr>
          <w:iCs/>
          <w:i/>
        </w:rPr>
        <w:t xml:space="preserve">słowem</w:t>
      </w:r>
      <w:r>
        <w:t xml:space="preserve"> </w:t>
      </w:r>
      <w:r>
        <w:t xml:space="preserve">Boga”) i aż do końca świata („przez tysiąc pokoleń”), nie podano jednak żadnej wskazówki, w jaki sposób Bóg zamierzał tego dokonać. Musimy wywnioskować odpowiedź z tego, co rzeczywiście uczynił — odkrywamy, że</w:t>
      </w:r>
      <w:r>
        <w:t xml:space="preserve"> </w:t>
      </w:r>
      <w:r>
        <w:rPr>
          <w:bCs/>
          <w:b/>
        </w:rPr>
        <w:t xml:space="preserve">to uczynił</w:t>
      </w:r>
      <w:r>
        <w:t xml:space="preserve">!</w:t>
      </w:r>
    </w:p>
    <w:p>
      <w:pPr>
        <w:numPr>
          <w:ilvl w:val="0"/>
          <w:numId w:val="1077"/>
        </w:numPr>
      </w:pPr>
      <w:r>
        <w:t xml:space="preserve">Troska ta znajduje odzwierciedlenie w Rodzinie 35, charakteryzuje ją niewiarygodnie staranny przekaz (w przeciwieństwie do innych linii). (Mam doskonałą kopię archetypalnego tekstu Rodziny 35 dla większości ksiąg Nowego Testamentu (22), mam kopie sporządzone z doskonałego egzemplarza (przypuszczalnie) dla kolejnych czterech (4), w miarę dalszego kolacjonowania manuskryptów mam nadzieję dodać ostatnią (Dzieje Apostolskie), lecz nawet dla niej formę archetypalną można wykazać).</w:t>
      </w:r>
    </w:p>
    <w:p>
      <w:pPr>
        <w:numPr>
          <w:ilvl w:val="0"/>
          <w:numId w:val="1077"/>
        </w:numPr>
      </w:pPr>
      <w:r>
        <w:t xml:space="preserve">Gdyby Bóg zachowywał oryginalne sformułowania w jakiejś innej linii przekazu niż Rodzina 35, czy linia ta byłaby mniej staranna? Nie sądzę. Każda linia przekazu charakteryzująca się wewnętrznym pomieszaniem zostaje więc zdyskwalifikowana — obejmuje to</w:t>
      </w:r>
      <w:r>
        <w:t xml:space="preserve"> </w:t>
      </w:r>
      <w:r>
        <w:rPr>
          <w:bCs/>
          <w:b/>
        </w:rPr>
        <w:t xml:space="preserve">wszystkie</w:t>
      </w:r>
      <w:r>
        <w:t xml:space="preserve"> </w:t>
      </w:r>
      <w:r>
        <w:t xml:space="preserve">inne linie przekazu, jakie dotąd widziałem.</w:t>
      </w:r>
    </w:p>
    <w:p>
      <w:pPr>
        <w:numPr>
          <w:ilvl w:val="0"/>
          <w:numId w:val="1077"/>
        </w:numPr>
      </w:pPr>
      <w:r>
        <w:t xml:space="preserve">Twierdzę, że Bóg posłużył się Rodziną 35, by zachować precyzyjne oryginalne sformułowania Tekstu Nowego Testamentu, zostały one odtworzone w moim wydaniu greckiego Tekstu.</w:t>
      </w:r>
      <w:r>
        <w:rPr>
          <w:rStyle w:val="FootnoteReference"/>
        </w:rPr>
        <w:footnoteReference w:id="495"/>
      </w:r>
    </w:p>
    <w:p>
      <w:pPr>
        <w:pStyle w:val="FirstParagraph"/>
      </w:pPr>
      <w:r>
        <w:t xml:space="preserve">Twierdzę, że wykazałem wyższość Rodziny 35 na podstawie</w:t>
      </w:r>
      <w:r>
        <w:t xml:space="preserve"> </w:t>
      </w:r>
      <w:r>
        <w:rPr>
          <w:u w:val="single"/>
        </w:rPr>
        <w:t xml:space="preserve">liczebności (liczby przedstawicieli), niezależności, wieku, rozmieszczenia geograficznego, profilu (ustalonego empirycznie), staranności (zob. „Współczynnik staranności kopisty”</w:t>
      </w:r>
      <w:r>
        <w:t xml:space="preserve"> </w:t>
      </w:r>
      <w:r>
        <w:t xml:space="preserve">w Części II) i zakresu (wszystkie 27 ksiąg). Rzucam wyzwanie każdemu bez wyjątku, aby uczynił to samo dla jakiejkolwiek innej linii przekazu!</w:t>
      </w:r>
    </w:p>
    <w:bookmarkEnd w:id="496"/>
    <w:bookmarkEnd w:id="497"/>
    <w:bookmarkEnd w:id="498"/>
    <w:bookmarkStart w:id="583" w:name="dodatek"/>
    <w:p>
      <w:pPr>
        <w:pStyle w:val="Heading1"/>
      </w:pPr>
      <w:r>
        <w:t xml:space="preserve">DODATEK</w:t>
      </w:r>
    </w:p>
    <w:bookmarkStart w:id="501" w:name="nagromadzone-błędy-czternastu-stuleci"/>
    <w:p>
      <w:pPr>
        <w:pStyle w:val="Heading2"/>
      </w:pPr>
      <w:r>
        <w:t xml:space="preserve">„Nagromadzone błędy czternastu stuleci”</w:t>
      </w:r>
    </w:p>
    <w:p>
      <w:pPr>
        <w:pStyle w:val="FirstParagraph"/>
      </w:pPr>
      <w:r>
        <w:t xml:space="preserve">Manuskrypt Ewangelii GA 1700 jest najpóźniejszym datowanym manuskryptem reprezentującym Rodzinę 35, jaki zwrócił moją uwagę. Jest datowany na 1623 rok po Chr. i przechowywany w Bibliotece Narodowej Grecji. Pragnę wyrazić szczere podziękowania Center for the Study of New Testament Manuscripts za udostępnienie cyfrowej kopii tego manuskryptu. Choć pochodzi z XVII wieku, pismo jest bardzo czytelne. Dokonałem pełnego kolacjonowania tego manuskryptu dla Ewangelii Jana i zwracam uwagę na wynik. Chcę jednak przeanalizować ten wynik na tle poniższego cytatu zaczerpniętego z przedmowy do Revised Standard Version, s. ix.</w:t>
      </w:r>
    </w:p>
    <w:p>
      <w:pPr>
        <w:pStyle w:val="BlockText"/>
      </w:pPr>
      <w:r>
        <w:t xml:space="preserve">King James Version Nowego Testamentu opierała się na tekście greckim oszpeconym błędami, zawierającym nagromadzone błędy czternastu stuleci kopiowania manuskryptów… Posiadamy obecnie znacznie więcej starożytnych manuskryptów Nowego Testamentu i jesteśmy o wiele lepiej wyposażeni, by dążyć do odzyskania oryginalnych sformułowań tekstu greckiego.</w:t>
      </w:r>
    </w:p>
    <w:p>
      <w:pPr>
        <w:pStyle w:val="FirstParagraph"/>
      </w:pPr>
      <w:r>
        <w:t xml:space="preserve">Pierwszą rzeczą, która mnie tutaj interesuje, jest zarzut, że TR zawiera „nagromadzone błędy czternastu stuleci kopiowania manuskryptów”. Jeśli jest to prawdą, manuskrypt z XVII wieku powinien być prawdziwym koszem „nagromadzonych błędów”. Zobaczmy więc, jak radzi sobie GA 1700.</w:t>
      </w:r>
    </w:p>
    <w:p>
      <w:pPr>
        <w:pStyle w:val="BodyText"/>
      </w:pPr>
      <w:r>
        <w:t xml:space="preserve">Na początek ma nie mniej niż 136 odstępstw od archetypu rodziny (w Ewangelii Jana), co czyni go zdecydowanie najgorszym spośród 54 przedstawicieli rodziny, których skolacjonowałem dla tej księgi, drugi najgorszy ma „tylko” 41 odstępstw. Chociaż z powodu niedbałości i domieszki 1700 jest marginalnym członkiem Rodziny 35 w Ewangelii Jana, mimo wszystko wyraźnie jest jej członkiem. Spośród 12 odczytów, które klasyfikuję jako +++, pomija jeden, spośród 17 odczytów klasyfikowanych jako ++-- pomija jeden, spośród 17 odczytów klasyfikowanych jako ++ pomija jeden, spośród 15 odczytów klasyfikowanych jako +-- nie pomija żadnego, spośród 12 odczytów klasyfikowanych jako + pomija trzy, łącznie sześć z 44. Choć w żadnym razie nie jest to rzecz o nieskazitelnym pięknie, należy do rodziny.</w:t>
      </w:r>
      <w:r>
        <w:rPr>
          <w:rStyle w:val="FootnoteReference"/>
        </w:rPr>
        <w:footnoteReference w:id="499"/>
      </w:r>
    </w:p>
    <w:p>
      <w:pPr>
        <w:pStyle w:val="BodyText"/>
      </w:pPr>
      <w:r>
        <w:t xml:space="preserve">Wymienię teraz 136 odstępstw, podając wybrane dalsze poświadczenie wariantu 1700, wszystkie skolacjonowane przeze mnie manuskrypty</w:t>
      </w:r>
      <w:r>
        <w:t xml:space="preserve"> </w:t>
      </w:r>
      <w:r>
        <w:rPr>
          <w:bCs/>
          <w:b/>
        </w:rPr>
        <w:t xml:space="preserve">f</w:t>
      </w:r>
      <w:r>
        <w:rPr>
          <w:vertAlign w:val="superscript"/>
          <w:bCs/>
          <w:b/>
        </w:rPr>
        <w:t xml:space="preserve">35</w:t>
      </w:r>
      <w:r>
        <w:t xml:space="preserve"> </w:t>
      </w:r>
      <w:r>
        <w:t xml:space="preserve">są wymienione najpierw, a po nawiasach znajduje się wszystko inne. Moje wykazy dowodów są selektywne, wystarczają do mojego celu. Pierwszy odczyt należy do archetypu rodziny, drugi do GA 1700,</w:t>
      </w:r>
      <w:r>
        <w:rPr>
          <w:rStyle w:val="FootnoteReference"/>
        </w:rPr>
        <w:footnoteReference w:id="500"/>
      </w:r>
      <w:r>
        <w:t xml:space="preserve"> </w:t>
      </w:r>
      <w:r>
        <w:t xml:space="preserve">jeśli nie wymieniono żadnych dalszych manuskryptów, traktuję wariant jako odczyt singularny — spośród 136 łącznie co najmniej 54 są singularne, co wskazuje, że kopista był dość niedbały (powinno być oczywiste, że odczyt singularny nie może być „nagromadzonym błędem”, jest błędem prywatnym). Pozostałe 82 dają jednak do myślenia. Oto wykaz, który ponumerowałem, by ułatwić późniejszą dyskusję (numery pogrubione oznaczają odczyty singularne):</w:t>
      </w:r>
    </w:p>
    <w:p>
      <w:pPr>
        <w:numPr>
          <w:ilvl w:val="0"/>
          <w:numId w:val="1078"/>
        </w:numPr>
      </w:pPr>
      <w:r>
        <w:t xml:space="preserve">1,5 σκοτια || σκοτεια (2%) P</w:t>
      </w:r>
      <w:r>
        <w:rPr>
          <w:vertAlign w:val="superscript"/>
        </w:rPr>
        <w:t xml:space="preserve">75</w:t>
      </w:r>
      <w:r>
        <w:t xml:space="preserve"> </w:t>
      </w:r>
      <w:r>
        <w:t xml:space="preserve">C, 579 (jest to po prostu alternatywna pisownia, a zatem nie właściwy wariant, powtarza się w 12,35 i 20,1).</w:t>
      </w:r>
    </w:p>
    <w:p>
      <w:pPr>
        <w:numPr>
          <w:ilvl w:val="0"/>
          <w:numId w:val="1078"/>
        </w:numPr>
      </w:pPr>
      <w:r>
        <w:t xml:space="preserve">1,18 εις τον κολπον || εν τοις κολποις () 565 (ten przypadek jest dziwny, oba wyrażenia najwyraźniej uznawano za synonimiczne, jeśli nie można ustalić zależności, obaj kopiści dokonali zmiany niezależnie).</w:t>
      </w:r>
    </w:p>
    <w:p>
      <w:pPr>
        <w:pStyle w:val="FirstParagraph"/>
      </w:pPr>
      <w:r>
        <w:rPr>
          <w:bCs/>
          <w:b/>
        </w:rPr>
        <w:t xml:space="preserve">3.</w:t>
      </w:r>
      <w:r>
        <w:t xml:space="preserve"> </w:t>
      </w:r>
      <w:r>
        <w:t xml:space="preserve">1,19 οτε || οταν (odczyt singularny, który nie wpływa na znaczenie).</w:t>
      </w:r>
    </w:p>
    <w:p>
      <w:pPr>
        <w:numPr>
          <w:ilvl w:val="0"/>
          <w:numId w:val="1079"/>
        </w:numPr>
      </w:pPr>
      <w:r>
        <w:t xml:space="preserve">1,28 βιθαβαρα || βηθανια (65%) P</w:t>
      </w:r>
      <w:r>
        <w:rPr>
          <w:vertAlign w:val="superscript"/>
        </w:rPr>
        <w:t xml:space="preserve">66,75</w:t>
      </w:r>
      <w:r>
        <w:t xml:space="preserve"> </w:t>
      </w:r>
      <w:r>
        <w:t xml:space="preserve">ℵ A, B, C, W, Θ, 28, 579, 1424 (jest to jedno z miejsc, w których 1700 odchodzi od rodziny, nazwa miejsca rzuca się w oczy, a wariant jest odczytem dominującego typu lekcjonarza, mnich przyzwyczajony do słyszenia wariantu naturalnie zmieniłby tekst).</w:t>
      </w:r>
    </w:p>
    <w:p>
      <w:pPr>
        <w:numPr>
          <w:ilvl w:val="0"/>
          <w:numId w:val="1079"/>
        </w:numPr>
      </w:pPr>
      <w:r>
        <w:t xml:space="preserve">1,38 λεγεται || λεγετε 553, 1617, 2352 () W (formy są praktycznie synonimiczne, a zmiany dokonano przypuszczalnie niezależnie, fakt, że W również ma tę zmianę, jest jedynie ciekawostką).</w:t>
      </w:r>
    </w:p>
    <w:p>
      <w:pPr>
        <w:numPr>
          <w:ilvl w:val="0"/>
          <w:numId w:val="1079"/>
        </w:numPr>
      </w:pPr>
      <w:r>
        <w:t xml:space="preserve">1,40</w:t>
      </w:r>
      <w:r>
        <w:rPr>
          <w:vertAlign w:val="superscript"/>
        </w:rPr>
        <w:t xml:space="preserve">a</w:t>
      </w:r>
      <w:r>
        <w:t xml:space="preserve"> </w:t>
      </w:r>
      <w:r>
        <w:t xml:space="preserve">ην || 1 δε (2%) A, W, Λ, f</w:t>
      </w:r>
      <w:r>
        <w:rPr>
          <w:vertAlign w:val="superscript"/>
        </w:rPr>
        <w:t xml:space="preserve">13</w:t>
      </w:r>
      <w:r>
        <w:t xml:space="preserve">, 579, 1424 (dodatek jest „naturalny” i mógł powstać niezależnie, znaczenie nie zostaje naruszone, 1700 często zgadza się z 1424).</w:t>
      </w:r>
    </w:p>
    <w:p>
      <w:pPr>
        <w:pStyle w:val="FirstParagraph"/>
      </w:pPr>
      <w:r>
        <w:rPr>
          <w:bCs/>
          <w:b/>
        </w:rPr>
        <w:t xml:space="preserve">7.</w:t>
      </w:r>
      <w:r>
        <w:t xml:space="preserve"> </w:t>
      </w:r>
      <w:r>
        <w:t xml:space="preserve">1,40</w:t>
      </w:r>
      <w:r>
        <w:rPr>
          <w:vertAlign w:val="superscript"/>
        </w:rPr>
        <w:t xml:space="preserve">b</w:t>
      </w:r>
      <w:r>
        <w:t xml:space="preserve"> </w:t>
      </w:r>
      <w:r>
        <w:t xml:space="preserve">των δυο των ακουσαντων || ~ 3412 (odczyt singularny, który nie wpływa na znaczenie).</w:t>
      </w:r>
    </w:p>
    <w:p>
      <w:pPr>
        <w:numPr>
          <w:ilvl w:val="0"/>
          <w:numId w:val="1080"/>
        </w:numPr>
        <w:pStyle w:val="Compact"/>
      </w:pPr>
      <w:r>
        <w:t xml:space="preserve">1,42 εμβλεψας || 1 δε 1384, 1667 (20%) P</w:t>
      </w:r>
      <w:r>
        <w:rPr>
          <w:vertAlign w:val="superscript"/>
        </w:rPr>
        <w:t xml:space="preserve">75</w:t>
      </w:r>
      <w:r>
        <w:t xml:space="preserve"> </w:t>
      </w:r>
      <w:r>
        <w:t xml:space="preserve">Θ, Λ, f</w:t>
      </w:r>
      <w:r>
        <w:rPr>
          <w:vertAlign w:val="superscript"/>
        </w:rPr>
        <w:t xml:space="preserve">13</w:t>
      </w:r>
      <w:r>
        <w:t xml:space="preserve">, 1071, 1424 (dodatek jest „naturalny” i mógł powstać niezależnie, znaczenie nie zostaje naruszone).</w:t>
      </w:r>
    </w:p>
    <w:p>
      <w:pPr>
        <w:pStyle w:val="FirstParagraph"/>
      </w:pPr>
      <w:r>
        <w:rPr>
          <w:bCs/>
          <w:b/>
        </w:rPr>
        <w:t xml:space="preserve">9.</w:t>
      </w:r>
      <w:r>
        <w:t xml:space="preserve"> </w:t>
      </w:r>
      <w:r>
        <w:t xml:space="preserve">1,45 ευρηκαμεν || 1 τον (odczyt singularny, który nie wpływa na znaczenie).</w:t>
      </w:r>
    </w:p>
    <w:p>
      <w:pPr>
        <w:numPr>
          <w:ilvl w:val="0"/>
          <w:numId w:val="1081"/>
        </w:numPr>
      </w:pPr>
      <w:r>
        <w:t xml:space="preserve">1,50 μειζω || μειζονα () P</w:t>
      </w:r>
      <w:r>
        <w:rPr>
          <w:vertAlign w:val="superscript"/>
        </w:rPr>
        <w:t xml:space="preserve">66</w:t>
      </w:r>
      <w:r>
        <w:t xml:space="preserve"> </w:t>
      </w:r>
      <w:r>
        <w:t xml:space="preserve">ℵ (kopista przypuszczalnie nie miał dostępu do żadnego z wczesnych manuskryptów, jest to więc niezależna zmiana, zmiana rodzaju podyktowana wyobrażonym desygnatem, znaczenie nie zostaje naruszone).</w:t>
      </w:r>
    </w:p>
    <w:p>
      <w:pPr>
        <w:numPr>
          <w:ilvl w:val="0"/>
          <w:numId w:val="1081"/>
        </w:numPr>
      </w:pPr>
      <w:r>
        <w:t xml:space="preserve">2,5 λεγη || λεγει 1559, 1667 (30%) Θ, Λ, f</w:t>
      </w:r>
      <w:r>
        <w:rPr>
          <w:vertAlign w:val="superscript"/>
        </w:rPr>
        <w:t xml:space="preserve">13</w:t>
      </w:r>
      <w:r>
        <w:t xml:space="preserve">, 579, 1071, 1424 (oczekiwany jest tryb łączący, lecz tryb oznajmujący jest możliwy, prawdopodobnie nie jest to itacyzm, znaczenie nie zostaje naruszone).</w:t>
      </w:r>
    </w:p>
    <w:p>
      <w:pPr>
        <w:numPr>
          <w:ilvl w:val="0"/>
          <w:numId w:val="1081"/>
        </w:numPr>
      </w:pPr>
      <w:r>
        <w:t xml:space="preserve">2,10 συ || 1 δε (2%) ℵ, Λ, f</w:t>
      </w:r>
      <w:r>
        <w:rPr>
          <w:vertAlign w:val="superscript"/>
        </w:rPr>
        <w:t xml:space="preserve">13</w:t>
      </w:r>
      <w:r>
        <w:t xml:space="preserve">, 1071, 1346 (dodatek jest „naturalny” i mógł powstać niezależnie, znaczenie nie zostaje naruszone).</w:t>
      </w:r>
    </w:p>
    <w:p>
      <w:pPr>
        <w:numPr>
          <w:ilvl w:val="0"/>
          <w:numId w:val="1081"/>
        </w:numPr>
      </w:pPr>
      <w:r>
        <w:t xml:space="preserve">2,15 φραγελλιον || φραγγελιον 141, 685, 1694, 2466 (jest to po prostu alternatywna pisownia, a zatem nie właściwy wariant).</w:t>
      </w:r>
    </w:p>
    <w:p>
      <w:pPr>
        <w:numPr>
          <w:ilvl w:val="0"/>
          <w:numId w:val="1081"/>
        </w:numPr>
      </w:pPr>
      <w:r>
        <w:t xml:space="preserve">2,17 καταφαγεται || κατεφαγε (5%) 69, 1071 (jest to różnica czasu, która nie wpływa na znaczenie).</w:t>
      </w:r>
    </w:p>
    <w:p>
      <w:pPr>
        <w:numPr>
          <w:ilvl w:val="0"/>
          <w:numId w:val="1081"/>
        </w:numPr>
      </w:pPr>
      <w:r>
        <w:t xml:space="preserve">3,15 εχη || εχει 824, 1713, 2322 (40%) Θ, Λ, f</w:t>
      </w:r>
      <w:r>
        <w:rPr>
          <w:vertAlign w:val="superscript"/>
        </w:rPr>
        <w:t xml:space="preserve">13</w:t>
      </w:r>
      <w:r>
        <w:t xml:space="preserve">, 579, 1071, 1346, 1424 (oczekiwany jest tryb łączący, lecz tryb oznajmujący jest możliwy, prawdopodobnie nie jest to itacyzm, znaczenie nie zostaje naruszone).</w:t>
      </w:r>
    </w:p>
    <w:p>
      <w:pPr>
        <w:numPr>
          <w:ilvl w:val="0"/>
          <w:numId w:val="1081"/>
        </w:numPr>
      </w:pPr>
      <w:r>
        <w:t xml:space="preserve">3,16 εχη || εχει 824, 1686, 1559, 2322 (30%) Λ, f</w:t>
      </w:r>
      <w:r>
        <w:rPr>
          <w:vertAlign w:val="superscript"/>
        </w:rPr>
        <w:t xml:space="preserve">13</w:t>
      </w:r>
      <w:r>
        <w:t xml:space="preserve">, 579, 1071, 1424 (oczekiwany jest tryb łączący, lecz tryb oznajmujący jest możliwy, prawdopodobnie nie jest to itacyzm, znaczenie nie zostaje naruszone).</w:t>
      </w:r>
    </w:p>
    <w:p>
      <w:pPr>
        <w:numPr>
          <w:ilvl w:val="0"/>
          <w:numId w:val="1081"/>
        </w:numPr>
      </w:pPr>
      <w:r>
        <w:t xml:space="preserve">3,22 μετ αυτων || μετα των μαθητων αυτου () 28 (w kontekście wyrażenia są synonimiczne, znaczenie nie zostaje naruszone, zmiana jest prawdopodobnie niezależna, co czyniłoby ją odczytem „singularnym”).</w:t>
      </w:r>
    </w:p>
    <w:p>
      <w:pPr>
        <w:numPr>
          <w:ilvl w:val="0"/>
          <w:numId w:val="1081"/>
        </w:numPr>
      </w:pPr>
      <w:r>
        <w:t xml:space="preserve">3,24 την || --- () Θ, f</w:t>
      </w:r>
      <w:r>
        <w:rPr>
          <w:vertAlign w:val="superscript"/>
        </w:rPr>
        <w:t xml:space="preserve">1</w:t>
      </w:r>
      <w:r>
        <w:t xml:space="preserve">, 565 (zmiana mogła powstać niezależnie, znaczenie nie zostaje naruszone).</w:t>
      </w:r>
    </w:p>
    <w:p>
      <w:pPr>
        <w:numPr>
          <w:ilvl w:val="0"/>
          <w:numId w:val="1081"/>
        </w:numPr>
      </w:pPr>
      <w:r>
        <w:t xml:space="preserve">3,28 μοι μαρτυρειτε || ~ 21 928, 1334, 1572, 1667 (zwykłe odwrócenie szyku wyrazów, które nie wpływa na znaczenie, mogło z powodzeniem powstać niezależnie).</w:t>
      </w:r>
    </w:p>
    <w:p>
      <w:pPr>
        <w:pStyle w:val="FirstParagraph"/>
      </w:pPr>
      <w:r>
        <w:rPr>
          <w:bCs/>
          <w:b/>
        </w:rPr>
        <w:t xml:space="preserve">20.</w:t>
      </w:r>
      <w:r>
        <w:t xml:space="preserve"> </w:t>
      </w:r>
      <w:r>
        <w:t xml:space="preserve">3,36 οψεται || οψετε (formy są praktycznie synonimiczne, znaczenie nie zostaje naruszone).</w:t>
      </w:r>
    </w:p>
    <w:p>
      <w:pPr>
        <w:numPr>
          <w:ilvl w:val="0"/>
          <w:numId w:val="1082"/>
        </w:numPr>
        <w:pStyle w:val="Compact"/>
      </w:pPr>
      <w:r>
        <w:t xml:space="preserve">4,14 διψηση || διψησει (10%) P</w:t>
      </w:r>
      <w:r>
        <w:rPr>
          <w:vertAlign w:val="superscript"/>
        </w:rPr>
        <w:t xml:space="preserve">75</w:t>
      </w:r>
      <w:r>
        <w:t xml:space="preserve"> </w:t>
      </w:r>
      <w:r>
        <w:t xml:space="preserve">ℵ A, B, Θ, f</w:t>
      </w:r>
      <w:r>
        <w:rPr>
          <w:vertAlign w:val="superscript"/>
        </w:rPr>
        <w:t xml:space="preserve">13</w:t>
      </w:r>
      <w:r>
        <w:t xml:space="preserve">, 28, 1071 (oczekiwany jest tryb łączący, lecz tryb oznajmujący jest możliwy, prawdopodobnie nie jest to itacyzm, znaczenie nie zostaje naruszone).</w:t>
      </w:r>
    </w:p>
    <w:p>
      <w:pPr>
        <w:pStyle w:val="FirstParagraph"/>
      </w:pPr>
      <w:r>
        <w:rPr>
          <w:bCs/>
          <w:b/>
        </w:rPr>
        <w:t xml:space="preserve">22.</w:t>
      </w:r>
      <w:r>
        <w:t xml:space="preserve"> </w:t>
      </w:r>
      <w:r>
        <w:t xml:space="preserve">4,17 οτι || --- (cytat bezpośredni lub pośredni, znaczenie nie zostaje naruszone).</w:t>
      </w:r>
    </w:p>
    <w:p>
      <w:pPr>
        <w:pStyle w:val="BodyText"/>
      </w:pPr>
      <w:r>
        <w:rPr>
          <w:bCs/>
          <w:b/>
        </w:rPr>
        <w:t xml:space="preserve">23.</w:t>
      </w:r>
      <w:r>
        <w:t xml:space="preserve"> </w:t>
      </w:r>
      <w:r>
        <w:t xml:space="preserve">4,20 εστιν ο τοπος οπου δει προσκυνειν || ~ 56 εκει 123 (dwa sposoby powiedzenia tego samego).</w:t>
      </w:r>
    </w:p>
    <w:p>
      <w:pPr>
        <w:numPr>
          <w:ilvl w:val="0"/>
          <w:numId w:val="1083"/>
        </w:numPr>
      </w:pPr>
      <w:r>
        <w:t xml:space="preserve">4,36 χαιρη || χαιρει (30%) Θ, Λ, f</w:t>
      </w:r>
      <w:r>
        <w:rPr>
          <w:vertAlign w:val="superscript"/>
        </w:rPr>
        <w:t xml:space="preserve">13</w:t>
      </w:r>
      <w:r>
        <w:t xml:space="preserve">, 28, 579, 1071, 1424 (oczekiwany jest tryb łączący, lecz tryb oznajmujący jest możliwy, prawdopodobnie nie jest to itacyzm, znaczenie nie zostaje naruszone).</w:t>
      </w:r>
    </w:p>
    <w:p>
      <w:pPr>
        <w:numPr>
          <w:ilvl w:val="0"/>
          <w:numId w:val="1083"/>
        </w:numPr>
      </w:pPr>
      <w:r>
        <w:t xml:space="preserve">4,43 τας || --- () 1424 (mogło to powstać niezależnie, znaczenie nie zostaje naruszone).</w:t>
      </w:r>
    </w:p>
    <w:p>
      <w:pPr>
        <w:numPr>
          <w:ilvl w:val="0"/>
          <w:numId w:val="1083"/>
        </w:numPr>
      </w:pPr>
      <w:r>
        <w:t xml:space="preserve">4,48 ουν || --- () P^66*^ (przypuszczalnie powstało to niezależnie, znaczenie nie zostaje naruszone).</w:t>
      </w:r>
    </w:p>
    <w:p>
      <w:pPr>
        <w:numPr>
          <w:ilvl w:val="0"/>
          <w:numId w:val="1083"/>
        </w:numPr>
      </w:pPr>
      <w:r>
        <w:t xml:space="preserve">5,2 εβραιστι || εβραιστη 1339, 2466 (2%) f</w:t>
      </w:r>
      <w:r>
        <w:rPr>
          <w:vertAlign w:val="superscript"/>
        </w:rPr>
        <w:t xml:space="preserve">13</w:t>
      </w:r>
      <w:r>
        <w:t xml:space="preserve">, 28, 579, 1071, 1424 (jest to po prostu alternatywna pisownia, a zatem nie właściwy wariant).</w:t>
      </w:r>
    </w:p>
    <w:p>
      <w:pPr>
        <w:numPr>
          <w:ilvl w:val="0"/>
          <w:numId w:val="1083"/>
        </w:numPr>
      </w:pPr>
      <w:r>
        <w:t xml:space="preserve">5,31 εαν || 1 γαρ 2352 () 28 (dodatek jest „naturalny” i mógł powstać niezależnie, znaczenie nie zostaje naruszone).</w:t>
      </w:r>
    </w:p>
    <w:p>
      <w:pPr>
        <w:pStyle w:val="FirstParagraph"/>
      </w:pPr>
      <w:r>
        <w:rPr>
          <w:bCs/>
          <w:b/>
        </w:rPr>
        <w:t xml:space="preserve">29.</w:t>
      </w:r>
      <w:r>
        <w:t xml:space="preserve"> </w:t>
      </w:r>
      <w:r>
        <w:t xml:space="preserve">5,34 την || --- (odczyt singularny, który nie wpływa na znaczenie).</w:t>
      </w:r>
    </w:p>
    <w:p>
      <w:pPr>
        <w:pStyle w:val="BodyText"/>
      </w:pPr>
      <w:r>
        <w:rPr>
          <w:bCs/>
          <w:b/>
        </w:rPr>
        <w:t xml:space="preserve">30.</w:t>
      </w:r>
      <w:r>
        <w:t xml:space="preserve"> </w:t>
      </w:r>
      <w:r>
        <w:t xml:space="preserve">5,36 με απεσταλκεν || ~ 21 (zwykłe odwrócenie szyku wyrazów, które nie wpływa na znaczenie).</w:t>
      </w:r>
    </w:p>
    <w:p>
      <w:pPr>
        <w:pStyle w:val="BodyText"/>
      </w:pPr>
      <w:r>
        <w:rPr>
          <w:bCs/>
          <w:b/>
        </w:rPr>
        <w:t xml:space="preserve">31.</w:t>
      </w:r>
      <w:r>
        <w:t xml:space="preserve"> </w:t>
      </w:r>
      <w:r>
        <w:t xml:space="preserve">5,39</w:t>
      </w:r>
      <w:r>
        <w:rPr>
          <w:vertAlign w:val="superscript"/>
        </w:rPr>
        <w:t xml:space="preserve">a</w:t>
      </w:r>
      <w:r>
        <w:t xml:space="preserve"> </w:t>
      </w:r>
      <w:r>
        <w:t xml:space="preserve">ερευνατε || ερευναται (poprawiony odczyt singularny).</w:t>
      </w:r>
    </w:p>
    <w:p>
      <w:pPr>
        <w:numPr>
          <w:ilvl w:val="0"/>
          <w:numId w:val="1084"/>
        </w:numPr>
        <w:pStyle w:val="Compact"/>
      </w:pPr>
      <w:r>
        <w:t xml:space="preserve">5,39</w:t>
      </w:r>
      <w:r>
        <w:rPr>
          <w:vertAlign w:val="superscript"/>
        </w:rPr>
        <w:t xml:space="preserve">b</w:t>
      </w:r>
      <w:r>
        <w:t xml:space="preserve"> </w:t>
      </w:r>
      <w:r>
        <w:t xml:space="preserve">αυταις || αυτοις () 1071 (oczywisty błąd pisowni, który czytelnik automatycznie by poprawił, przy niedbałości kopisty mógł on powtórzyć błąd ze swojego egzemplarza).</w:t>
      </w:r>
    </w:p>
    <w:p>
      <w:pPr>
        <w:pStyle w:val="FirstParagraph"/>
      </w:pPr>
      <w:r>
        <w:rPr>
          <w:bCs/>
          <w:b/>
        </w:rPr>
        <w:t xml:space="preserve">33.</w:t>
      </w:r>
      <w:r>
        <w:t xml:space="preserve"> </w:t>
      </w:r>
      <w:r>
        <w:t xml:space="preserve">6,2 αυτου τα σημεια || ~ 231 (zwykłe odwrócenie szyku wyrazów, które nie wpływa na znaczenie).</w:t>
      </w:r>
    </w:p>
    <w:p>
      <w:pPr>
        <w:numPr>
          <w:ilvl w:val="0"/>
          <w:numId w:val="1085"/>
        </w:numPr>
      </w:pPr>
      <w:r>
        <w:t xml:space="preserve">6,19</w:t>
      </w:r>
      <w:r>
        <w:rPr>
          <w:vertAlign w:val="superscript"/>
        </w:rPr>
        <w:t xml:space="preserve">a</w:t>
      </w:r>
      <w:r>
        <w:t xml:space="preserve"> </w:t>
      </w:r>
      <w:r>
        <w:t xml:space="preserve">ως || ωσει (1%) A, D, f</w:t>
      </w:r>
      <w:r>
        <w:rPr>
          <w:vertAlign w:val="superscript"/>
        </w:rPr>
        <w:t xml:space="preserve">1</w:t>
      </w:r>
      <w:r>
        <w:t xml:space="preserve">, 565 (zmiana jest „łatwa” i mogła powstać niezależnie, znaczenie nie zostaje naruszone).</w:t>
      </w:r>
    </w:p>
    <w:p>
      <w:pPr>
        <w:numPr>
          <w:ilvl w:val="0"/>
          <w:numId w:val="1085"/>
        </w:numPr>
      </w:pPr>
      <w:r>
        <w:t xml:space="preserve">6,19</w:t>
      </w:r>
      <w:r>
        <w:rPr>
          <w:vertAlign w:val="superscript"/>
        </w:rPr>
        <w:t xml:space="preserve">b</w:t>
      </w:r>
      <w:r>
        <w:t xml:space="preserve"> </w:t>
      </w:r>
      <w:r>
        <w:t xml:space="preserve">γινομενον || γενομενον 128, 685 () G, 1424 (zmiana czasu, która nie wpływa na znaczenie, w rękopisach kursywnych</w:t>
      </w:r>
      <w:r>
        <w:t xml:space="preserve"> </w:t>
      </w:r>
      <w:r>
        <w:rPr>
          <w:iCs/>
          <w:i/>
        </w:rPr>
        <w:t xml:space="preserve">epsilon</w:t>
      </w:r>
      <w:r>
        <w:t xml:space="preserve"> </w:t>
      </w:r>
      <w:r>
        <w:t xml:space="preserve">i</w:t>
      </w:r>
      <w:r>
        <w:t xml:space="preserve"> </w:t>
      </w:r>
      <w:r>
        <w:rPr>
          <w:iCs/>
          <w:i/>
        </w:rPr>
        <w:t xml:space="preserve">jota</w:t>
      </w:r>
      <w:r>
        <w:t xml:space="preserve"> </w:t>
      </w:r>
      <w:r>
        <w:t xml:space="preserve">często łatwo ze sobą pomylić).</w:t>
      </w:r>
    </w:p>
    <w:p>
      <w:pPr>
        <w:numPr>
          <w:ilvl w:val="0"/>
          <w:numId w:val="1085"/>
        </w:numPr>
      </w:pPr>
      <w:r>
        <w:t xml:space="preserve">6,21 λαβειν αυτον || ~ 21 () D (zwykłe odwrócenie szyku wyrazów, przypuszczalnie niezależne, które nie wpływa na znaczenie).</w:t>
      </w:r>
    </w:p>
    <w:p>
      <w:pPr>
        <w:numPr>
          <w:ilvl w:val="0"/>
          <w:numId w:val="1085"/>
        </w:numPr>
      </w:pPr>
      <w:r>
        <w:t xml:space="preserve">6,22 ενεβησαν || ανεβησαν (12,9%) (chociaż czasowniki są odmienne, w kontekście działają jako synonimy, znaczenie nie zostaje naruszone).</w:t>
      </w:r>
    </w:p>
    <w:p>
      <w:pPr>
        <w:numPr>
          <w:ilvl w:val="0"/>
          <w:numId w:val="1085"/>
        </w:numPr>
      </w:pPr>
      <w:r>
        <w:t xml:space="preserve">6,27 την βρωσιν</w:t>
      </w:r>
      <w:r>
        <w:rPr>
          <w:vertAlign w:val="superscript"/>
        </w:rPr>
        <w:t xml:space="preserve">2</w:t>
      </w:r>
      <w:r>
        <w:t xml:space="preserve"> </w:t>
      </w:r>
      <w:r>
        <w:t xml:space="preserve">|| --- (2%) ℵ, 28, 1071 (mogło to powstać niezależnie, ponieważ wyrażenie jest powtórzeniem, jego pominięcie nie wpływa na znaczenie, jest to możliwy przypadek</w:t>
      </w:r>
      <w:r>
        <w:t xml:space="preserve"> </w:t>
      </w:r>
      <w:r>
        <w:rPr>
          <w:iCs/>
          <w:i/>
        </w:rPr>
        <w:t xml:space="preserve">homoioarcton</w:t>
      </w:r>
      <w:r>
        <w:t xml:space="preserve">).</w:t>
      </w:r>
    </w:p>
    <w:p>
      <w:pPr>
        <w:numPr>
          <w:ilvl w:val="0"/>
          <w:numId w:val="1085"/>
        </w:numPr>
      </w:pPr>
      <w:r>
        <w:t xml:space="preserve">6,30 συ || --- 201 (10%) W, f</w:t>
      </w:r>
      <w:r>
        <w:rPr>
          <w:vertAlign w:val="superscript"/>
        </w:rPr>
        <w:t xml:space="preserve">13</w:t>
      </w:r>
      <w:r>
        <w:t xml:space="preserve">, 579 (mogło to powstać niezależnie, znaczenie nie zostaje naruszone).</w:t>
      </w:r>
    </w:p>
    <w:p>
      <w:pPr>
        <w:pStyle w:val="FirstParagraph"/>
      </w:pPr>
      <w:r>
        <w:rPr>
          <w:bCs/>
          <w:b/>
        </w:rPr>
        <w:t xml:space="preserve">40.</w:t>
      </w:r>
      <w:r>
        <w:t xml:space="preserve"> </w:t>
      </w:r>
      <w:r>
        <w:t xml:space="preserve">6,32</w:t>
      </w:r>
      <w:r>
        <w:rPr>
          <w:vertAlign w:val="superscript"/>
        </w:rPr>
        <w:t xml:space="preserve">a</w:t>
      </w:r>
      <w:r>
        <w:t xml:space="preserve"> </w:t>
      </w:r>
      <w:r>
        <w:t xml:space="preserve">υμιν</w:t>
      </w:r>
      <w:r>
        <w:rPr>
          <w:vertAlign w:val="superscript"/>
        </w:rPr>
        <w:t xml:space="preserve">2</w:t>
      </w:r>
      <w:r>
        <w:t xml:space="preserve"> </w:t>
      </w:r>
      <w:r>
        <w:t xml:space="preserve">|| ημιν (itacyzm dający nonsens, nie właściwy wariant).</w:t>
      </w:r>
    </w:p>
    <w:p>
      <w:pPr>
        <w:numPr>
          <w:ilvl w:val="0"/>
          <w:numId w:val="1086"/>
        </w:numPr>
      </w:pPr>
      <w:r>
        <w:t xml:space="preserve">6,32</w:t>
      </w:r>
      <w:r>
        <w:rPr>
          <w:vertAlign w:val="superscript"/>
        </w:rPr>
        <w:t xml:space="preserve">b</w:t>
      </w:r>
      <w:r>
        <w:t xml:space="preserve"> </w:t>
      </w:r>
      <w:r>
        <w:t xml:space="preserve">αρτον</w:t>
      </w:r>
      <w:r>
        <w:rPr>
          <w:vertAlign w:val="superscript"/>
        </w:rPr>
        <w:t xml:space="preserve">2</w:t>
      </w:r>
      <w:r>
        <w:t xml:space="preserve"> </w:t>
      </w:r>
      <w:r>
        <w:t xml:space="preserve">|| 1 τον () P</w:t>
      </w:r>
      <w:r>
        <w:rPr>
          <w:vertAlign w:val="superscript"/>
        </w:rPr>
        <w:t xml:space="preserve">75v</w:t>
      </w:r>
      <w:r>
        <w:t xml:space="preserve"> </w:t>
      </w:r>
      <w:r>
        <w:t xml:space="preserve">(mogło to powstać niezależnie, znaczenie nie zostaje naruszone).</w:t>
      </w:r>
    </w:p>
    <w:p>
      <w:pPr>
        <w:numPr>
          <w:ilvl w:val="0"/>
          <w:numId w:val="1086"/>
        </w:numPr>
      </w:pPr>
      <w:r>
        <w:t xml:space="preserve">6,37 εκβαλω || εκβαλλω 18, 1617, 2466 (1%) G (zmiana czasu, która nie wpływa na znaczenie, ponieważ jednak formy wymawiano tak samo, zmiany można było dokonać niezależnie, bez zastanowienia).</w:t>
      </w:r>
    </w:p>
    <w:p>
      <w:pPr>
        <w:numPr>
          <w:ilvl w:val="0"/>
          <w:numId w:val="1086"/>
        </w:numPr>
      </w:pPr>
      <w:r>
        <w:t xml:space="preserve">6,40 εχη || εχει (8%) P</w:t>
      </w:r>
      <w:r>
        <w:rPr>
          <w:vertAlign w:val="superscript"/>
        </w:rPr>
        <w:t xml:space="preserve">66c</w:t>
      </w:r>
      <w:r>
        <w:t xml:space="preserve">, Λ</w:t>
      </w:r>
      <w:r>
        <w:rPr>
          <w:vertAlign w:val="superscript"/>
        </w:rPr>
        <w:t xml:space="preserve">c</w:t>
      </w:r>
      <w:r>
        <w:t xml:space="preserve">, f</w:t>
      </w:r>
      <w:r>
        <w:rPr>
          <w:vertAlign w:val="superscript"/>
        </w:rPr>
        <w:t xml:space="preserve">13</w:t>
      </w:r>
      <w:r>
        <w:t xml:space="preserve">, 28, 579, 1071, 1424 (oczekiwany jest tryb łączący, lecz tryb oznajmujący jest możliwy, prawdopodobnie nie jest to itacyzm, znaczenie nie zostaje naruszone).</w:t>
      </w:r>
    </w:p>
    <w:p>
      <w:pPr>
        <w:pStyle w:val="FirstParagraph"/>
      </w:pPr>
      <w:r>
        <w:rPr>
          <w:bCs/>
          <w:b/>
        </w:rPr>
        <w:t xml:space="preserve">44.</w:t>
      </w:r>
      <w:r>
        <w:t xml:space="preserve"> </w:t>
      </w:r>
      <w:r>
        <w:t xml:space="preserve">6,45 ερχεται || ερχετε (poprawiony odczyt singularny).</w:t>
      </w:r>
    </w:p>
    <w:p>
      <w:pPr>
        <w:pStyle w:val="BodyText"/>
      </w:pPr>
      <w:r>
        <w:rPr>
          <w:bCs/>
          <w:b/>
        </w:rPr>
        <w:t xml:space="preserve">45.</w:t>
      </w:r>
      <w:r>
        <w:t xml:space="preserve"> </w:t>
      </w:r>
      <w:r>
        <w:t xml:space="preserve">6,50 καταβαινων || καταβαινον (itacyzm, który niepoprawnie zmienia rodzaj).</w:t>
      </w:r>
    </w:p>
    <w:p>
      <w:pPr>
        <w:numPr>
          <w:ilvl w:val="0"/>
          <w:numId w:val="1087"/>
        </w:numPr>
        <w:pStyle w:val="Compact"/>
      </w:pPr>
      <w:r>
        <w:t xml:space="preserve">6,54 αυτον || 1 εν 1339, 1496, 1617, 1637 (25%) C, Λ, f</w:t>
      </w:r>
      <w:r>
        <w:rPr>
          <w:vertAlign w:val="superscript"/>
        </w:rPr>
        <w:t xml:space="preserve">13</w:t>
      </w:r>
      <w:r>
        <w:t xml:space="preserve">, 28, 1071 (dodatek jest „naturalny” i mógł powstać niezależnie, znaczenie nie zostaje naruszone).</w:t>
      </w:r>
    </w:p>
    <w:p>
      <w:pPr>
        <w:pStyle w:val="FirstParagraph"/>
      </w:pPr>
      <w:r>
        <w:rPr>
          <w:bCs/>
          <w:b/>
        </w:rPr>
        <w:t xml:space="preserve">47.</w:t>
      </w:r>
      <w:r>
        <w:t xml:space="preserve"> </w:t>
      </w:r>
      <w:r>
        <w:t xml:space="preserve">6,63 ωφελει || ωφελη (itacyzm).</w:t>
      </w:r>
    </w:p>
    <w:p>
      <w:pPr>
        <w:numPr>
          <w:ilvl w:val="0"/>
          <w:numId w:val="1088"/>
        </w:numPr>
      </w:pPr>
      <w:r>
        <w:t xml:space="preserve">6,65 αυτω || --- () ℵ* (mogło to powstać niezależnie, znaczenie nie zostaje naruszone).</w:t>
      </w:r>
    </w:p>
    <w:p>
      <w:pPr>
        <w:numPr>
          <w:ilvl w:val="0"/>
          <w:numId w:val="1088"/>
        </w:numPr>
      </w:pPr>
      <w:r>
        <w:t xml:space="preserve">6,67 τοις || τους () H, Y (błąd pisowni, który przypuszczalnie powstał niezależnie).</w:t>
      </w:r>
    </w:p>
    <w:p>
      <w:pPr>
        <w:pStyle w:val="FirstParagraph"/>
      </w:pPr>
      <w:r>
        <w:rPr>
          <w:bCs/>
          <w:b/>
        </w:rPr>
        <w:t xml:space="preserve">50.</w:t>
      </w:r>
      <w:r>
        <w:t xml:space="preserve"> </w:t>
      </w:r>
      <w:r>
        <w:t xml:space="preserve">6,68 απελευσομεθα || πορευσομεθα (odczyt singularny, być może egzemplarz był rozmazany, czasowniki są w tym kontekście synonimiczne, znaczenie nie zostaje naruszone).</w:t>
      </w:r>
    </w:p>
    <w:p>
      <w:pPr>
        <w:pStyle w:val="BodyText"/>
      </w:pPr>
      <w:r>
        <w:rPr>
          <w:bCs/>
          <w:b/>
        </w:rPr>
        <w:t xml:space="preserve">51.</w:t>
      </w:r>
      <w:r>
        <w:t xml:space="preserve"> </w:t>
      </w:r>
      <w:r>
        <w:t xml:space="preserve">7,1 ο ιησους μετα ταυτα || ~ 3412 (zwykłe odwrócenie szyku wyrazów, które nie wpływa na znaczenie).</w:t>
      </w:r>
    </w:p>
    <w:p>
      <w:pPr>
        <w:numPr>
          <w:ilvl w:val="0"/>
          <w:numId w:val="1089"/>
        </w:numPr>
      </w:pPr>
      <w:r>
        <w:t xml:space="preserve">7,28 αληθινος || αληθης () P</w:t>
      </w:r>
      <w:r>
        <w:rPr>
          <w:vertAlign w:val="superscript"/>
        </w:rPr>
        <w:t xml:space="preserve">66</w:t>
      </w:r>
      <w:r>
        <w:t xml:space="preserve"> </w:t>
      </w:r>
      <w:r>
        <w:t xml:space="preserve">ℵ (mogło to powstać niezależnie, znaczenie nie zostaje naruszone).</w:t>
      </w:r>
    </w:p>
    <w:p>
      <w:pPr>
        <w:numPr>
          <w:ilvl w:val="0"/>
          <w:numId w:val="1089"/>
        </w:numPr>
      </w:pPr>
      <w:r>
        <w:t xml:space="preserve">7,30 την χειρα || τας χειρας (1%) W, f</w:t>
      </w:r>
      <w:r>
        <w:rPr>
          <w:vertAlign w:val="superscript"/>
        </w:rPr>
        <w:t xml:space="preserve">1</w:t>
      </w:r>
      <w:r>
        <w:t xml:space="preserve">, 1071 (liczba pojedyncza lub mnoga w tym kontekście nie wpływa na znaczenie).</w:t>
      </w:r>
    </w:p>
    <w:p>
      <w:pPr>
        <w:pStyle w:val="FirstParagraph"/>
      </w:pPr>
      <w:r>
        <w:rPr>
          <w:bCs/>
          <w:b/>
        </w:rPr>
        <w:t xml:space="preserve">54.</w:t>
      </w:r>
      <w:r>
        <w:t xml:space="preserve"> </w:t>
      </w:r>
      <w:r>
        <w:t xml:space="preserve">7,31 ων || ωνπερ (odczyt singularny, formy są w tym kontekście synonimiczne, znaczenie nie zostaje naruszone).</w:t>
      </w:r>
    </w:p>
    <w:p>
      <w:pPr>
        <w:numPr>
          <w:ilvl w:val="0"/>
          <w:numId w:val="1090"/>
        </w:numPr>
      </w:pPr>
      <w:r>
        <w:t xml:space="preserve">7,39 ο || ου 201, 480, 547, 1384 (70%) P</w:t>
      </w:r>
      <w:r>
        <w:rPr>
          <w:vertAlign w:val="superscript"/>
        </w:rPr>
        <w:t xml:space="preserve">66</w:t>
      </w:r>
      <w:r>
        <w:t xml:space="preserve"> </w:t>
      </w:r>
      <w:r>
        <w:t xml:space="preserve">ℵ, D, W, Θ, f</w:t>
      </w:r>
      <w:r>
        <w:rPr>
          <w:vertAlign w:val="superscript"/>
        </w:rPr>
        <w:t xml:space="preserve">1,13</w:t>
      </w:r>
      <w:r>
        <w:t xml:space="preserve">, 28, 579, 1424 (jest to jedno z miejsc, w których 1700 odchodzi od rodziny, dopełniacz dostosowuje się do przypadka desygnatu, lecz biernik poprawnie podaje dopełnienie bliższe czasownika, znaczenie nie zostaje naruszone).</w:t>
      </w:r>
    </w:p>
    <w:p>
      <w:pPr>
        <w:numPr>
          <w:ilvl w:val="0"/>
          <w:numId w:val="1090"/>
        </w:numPr>
      </w:pPr>
      <w:r>
        <w:t xml:space="preserve">7,46 ουτως || --- 897 () 28 (mogło to powstać niezależnie, znaczenie nie zostaje naruszone).</w:t>
      </w:r>
    </w:p>
    <w:p>
      <w:pPr>
        <w:numPr>
          <w:ilvl w:val="0"/>
          <w:numId w:val="1090"/>
        </w:numPr>
      </w:pPr>
      <w:r>
        <w:t xml:space="preserve">7,50 ων || --- () L (mogło to powstać niezależnie, znaczenie nie zostaje naruszone).</w:t>
      </w:r>
    </w:p>
    <w:p>
      <w:pPr>
        <w:numPr>
          <w:ilvl w:val="0"/>
          <w:numId w:val="1090"/>
        </w:numPr>
      </w:pPr>
      <w:r>
        <w:t xml:space="preserve">8,4 αυτοφωρω || αυτοφορω 1145, 1334, 1559, 2352, 2466, I.2110 (60%) 124, 1346 (jest to jedno z miejsc, w których 1700 odchodzi od rodziny, są to odmienne pisownie tego samego słowa, znaczenie nie zostaje naruszone).</w:t>
      </w:r>
    </w:p>
    <w:p>
      <w:pPr>
        <w:numPr>
          <w:ilvl w:val="0"/>
          <w:numId w:val="1090"/>
        </w:numPr>
      </w:pPr>
      <w:r>
        <w:t xml:space="preserve">8,33 οτι || --- () W, f</w:t>
      </w:r>
      <w:r>
        <w:rPr>
          <w:vertAlign w:val="superscript"/>
        </w:rPr>
        <w:t xml:space="preserve">1</w:t>
      </w:r>
      <w:r>
        <w:t xml:space="preserve">, 565 (mogło to powstać niezależnie, znaczenie nie zostaje naruszone).</w:t>
      </w:r>
    </w:p>
    <w:p>
      <w:pPr>
        <w:pStyle w:val="FirstParagraph"/>
      </w:pPr>
      <w:r>
        <w:rPr>
          <w:bCs/>
          <w:b/>
        </w:rPr>
        <w:t xml:space="preserve">60.</w:t>
      </w:r>
      <w:r>
        <w:t xml:space="preserve"> </w:t>
      </w:r>
      <w:r>
        <w:t xml:space="preserve">8,36 ο υιος υμας || ~ 312 (zwykłe odwrócenie szyku wyrazów, które nie wpływa na znaczenie).</w:t>
      </w:r>
    </w:p>
    <w:p>
      <w:pPr>
        <w:numPr>
          <w:ilvl w:val="0"/>
          <w:numId w:val="1091"/>
        </w:numPr>
        <w:pStyle w:val="Compact"/>
      </w:pPr>
      <w:r>
        <w:t xml:space="preserve">8,48 σαμαρειτης || σαμαρειτις 1559, 1617 (1%) 28, 1424 (są to odmienne pisownie tego samego słowa, znaczenie nie zostaje naruszone).</w:t>
      </w:r>
    </w:p>
    <w:p>
      <w:pPr>
        <w:pStyle w:val="FirstParagraph"/>
      </w:pPr>
      <w:r>
        <w:rPr>
          <w:bCs/>
          <w:b/>
        </w:rPr>
        <w:t xml:space="preserve">62.</w:t>
      </w:r>
      <w:r>
        <w:t xml:space="preserve"> </w:t>
      </w:r>
      <w:r>
        <w:t xml:space="preserve">8,52 εγνωκαμεν || εγνωμεν (odczyt singularny, prawdopodobnie niedbały błąd, który przypadkiem zmienia czas, znaczenie nie zostaje naruszone).</w:t>
      </w:r>
    </w:p>
    <w:p>
      <w:pPr>
        <w:pStyle w:val="BodyText"/>
      </w:pPr>
      <w:r>
        <w:rPr>
          <w:bCs/>
          <w:b/>
        </w:rPr>
        <w:t xml:space="preserve">63.</w:t>
      </w:r>
      <w:r>
        <w:t xml:space="preserve"> </w:t>
      </w:r>
      <w:r>
        <w:t xml:space="preserve">8,57 ουν || --- (odczyt singularny, kopista wielokrotnie pomija ten spójnik i można się zastanawiać, dlaczego, znaczenie nie zostaje naruszone).</w:t>
      </w:r>
    </w:p>
    <w:p>
      <w:pPr>
        <w:numPr>
          <w:ilvl w:val="0"/>
          <w:numId w:val="1092"/>
        </w:numPr>
      </w:pPr>
      <w:r>
        <w:t xml:space="preserve">9,20 αυτοις || --- (5%) P</w:t>
      </w:r>
      <w:r>
        <w:rPr>
          <w:vertAlign w:val="superscript"/>
        </w:rPr>
        <w:t xml:space="preserve">66,75</w:t>
      </w:r>
      <w:r>
        <w:t xml:space="preserve"> </w:t>
      </w:r>
      <w:r>
        <w:t xml:space="preserve">ℵ, B, W, f</w:t>
      </w:r>
      <w:r>
        <w:rPr>
          <w:vertAlign w:val="superscript"/>
        </w:rPr>
        <w:t xml:space="preserve">13</w:t>
      </w:r>
      <w:r>
        <w:t xml:space="preserve"> </w:t>
      </w:r>
      <w:r>
        <w:t xml:space="preserve">(mogło to powstać niezależnie, znaczenie nie zostaje naruszone).</w:t>
      </w:r>
    </w:p>
    <w:p>
      <w:pPr>
        <w:numPr>
          <w:ilvl w:val="0"/>
          <w:numId w:val="1092"/>
        </w:numPr>
      </w:pPr>
      <w:r>
        <w:t xml:space="preserve">9,21</w:t>
      </w:r>
      <w:r>
        <w:rPr>
          <w:vertAlign w:val="superscript"/>
        </w:rPr>
        <w:t xml:space="preserve">a</w:t>
      </w:r>
      <w:r>
        <w:t xml:space="preserve"> </w:t>
      </w:r>
      <w:r>
        <w:t xml:space="preserve">ηνοιξεν || ανεωξεν () Θ, 579 (alternatywne pisownie tej samej formy, znaczenie nie zostaje naruszone).</w:t>
      </w:r>
    </w:p>
    <w:p>
      <w:pPr>
        <w:pStyle w:val="FirstParagraph"/>
      </w:pPr>
      <w:r>
        <w:rPr>
          <w:bCs/>
          <w:b/>
        </w:rPr>
        <w:t xml:space="preserve">66.</w:t>
      </w:r>
      <w:r>
        <w:t xml:space="preserve"> </w:t>
      </w:r>
      <w:r>
        <w:t xml:space="preserve">9,21</w:t>
      </w:r>
      <w:r>
        <w:rPr>
          <w:vertAlign w:val="superscript"/>
        </w:rPr>
        <w:t xml:space="preserve">b</w:t>
      </w:r>
      <w:r>
        <w:t xml:space="preserve"> </w:t>
      </w:r>
      <w:r>
        <w:t xml:space="preserve">ημεις || --- (odczyt singularny, znaczenie nie zostaje naruszone).</w:t>
      </w:r>
    </w:p>
    <w:p>
      <w:pPr>
        <w:numPr>
          <w:ilvl w:val="0"/>
          <w:numId w:val="1093"/>
        </w:numPr>
        <w:pStyle w:val="Compact"/>
      </w:pPr>
      <w:r>
        <w:t xml:space="preserve">9,24 ουν || --- () 579 (mogło to powstać niezależnie, znaczenie nie zostaje naruszone).</w:t>
      </w:r>
    </w:p>
    <w:p>
      <w:pPr>
        <w:pStyle w:val="FirstParagraph"/>
      </w:pPr>
      <w:r>
        <w:rPr>
          <w:bCs/>
          <w:b/>
        </w:rPr>
        <w:t xml:space="preserve">68.</w:t>
      </w:r>
      <w:r>
        <w:t xml:space="preserve"> </w:t>
      </w:r>
      <w:r>
        <w:t xml:space="preserve">9,35 ο ιησους || --- (odczyt singularny, możliwy przypadek</w:t>
      </w:r>
      <w:r>
        <w:t xml:space="preserve"> </w:t>
      </w:r>
      <w:r>
        <w:rPr>
          <w:iCs/>
          <w:i/>
        </w:rPr>
        <w:t xml:space="preserve">homoioarcton</w:t>
      </w:r>
      <w:r>
        <w:t xml:space="preserve">, znaczenie nie zostaje naruszone).</w:t>
      </w:r>
    </w:p>
    <w:p>
      <w:pPr>
        <w:pStyle w:val="BodyText"/>
      </w:pPr>
      <w:r>
        <w:rPr>
          <w:bCs/>
          <w:b/>
        </w:rPr>
        <w:t xml:space="preserve">69.</w:t>
      </w:r>
      <w:r>
        <w:t xml:space="preserve"> </w:t>
      </w:r>
      <w:r>
        <w:t xml:space="preserve">10,1 αναβαινων || αναβαινον (itacyzm, który niepoprawnie zmienia rodzaj).</w:t>
      </w:r>
    </w:p>
    <w:p>
      <w:pPr>
        <w:pStyle w:val="BodyText"/>
      </w:pPr>
      <w:r>
        <w:rPr>
          <w:bCs/>
          <w:b/>
        </w:rPr>
        <w:t xml:space="preserve">70.</w:t>
      </w:r>
      <w:r>
        <w:t xml:space="preserve"> </w:t>
      </w:r>
      <w:r>
        <w:t xml:space="preserve">10,5 ακολουθησωσιν || ακουσωσιν (odczyt singularny, być może egzemplarz był rozmazany, czasowniki są w tym kontekście praktycznie synonimiczne, znaczenie nie zostaje naruszone).</w:t>
      </w:r>
    </w:p>
    <w:p>
      <w:pPr>
        <w:numPr>
          <w:ilvl w:val="0"/>
          <w:numId w:val="1094"/>
        </w:numPr>
      </w:pPr>
      <w:r>
        <w:t xml:space="preserve">10,13 μελει || μελλει 83 (30%) 1424 (czasowniki są odmienne, lecz wymawiano je tak samo, a w kontekście tylko jedno ze znaczeń będzie pasować, ktoś słuchający czytanego tekstu naturalnie dokonałby więc właściwego wyboru, do tego stopnia, że zastanawiam się, czy dłuższej formy nie zaczęto uważać za alternatywną pisownię krótszej).</w:t>
      </w:r>
    </w:p>
    <w:p>
      <w:pPr>
        <w:numPr>
          <w:ilvl w:val="0"/>
          <w:numId w:val="1094"/>
        </w:numPr>
      </w:pPr>
      <w:r>
        <w:t xml:space="preserve">10,16 ακουσουσιν || ακουσωσιν (38,1%) P</w:t>
      </w:r>
      <w:r>
        <w:rPr>
          <w:vertAlign w:val="superscript"/>
        </w:rPr>
        <w:t xml:space="preserve">66</w:t>
      </w:r>
      <w:r>
        <w:t xml:space="preserve"> </w:t>
      </w:r>
      <w:r>
        <w:t xml:space="preserve">ℵ, A, W, Θ, Λ, f</w:t>
      </w:r>
      <w:r>
        <w:rPr>
          <w:vertAlign w:val="superscript"/>
        </w:rPr>
        <w:t xml:space="preserve">13</w:t>
      </w:r>
      <w:r>
        <w:t xml:space="preserve">, 28, 579, 1071, 1424 (tryb oznajmujący czasu przyszłego albo aoryst trybu łączącego, w tym kontekście pełnią tę samą funkcję).</w:t>
      </w:r>
    </w:p>
    <w:p>
      <w:pPr>
        <w:numPr>
          <w:ilvl w:val="0"/>
          <w:numId w:val="1094"/>
        </w:numPr>
      </w:pPr>
      <w:r>
        <w:t xml:space="preserve">10,18 αλλ εγω τιθημι αυτην απ εμαυτου || --- () D (są to przypuszczalnie niezależne przypadki</w:t>
      </w:r>
      <w:r>
        <w:t xml:space="preserve"> </w:t>
      </w:r>
      <w:r>
        <w:rPr>
          <w:iCs/>
          <w:i/>
        </w:rPr>
        <w:t xml:space="preserve">homoioteleuton</w:t>
      </w:r>
      <w:r>
        <w:t xml:space="preserve">, nie uważam</w:t>
      </w:r>
      <w:r>
        <w:t xml:space="preserve"> </w:t>
      </w:r>
      <w:r>
        <w:rPr>
          <w:iCs/>
          <w:i/>
        </w:rPr>
        <w:t xml:space="preserve">homoioteleuton</w:t>
      </w:r>
      <w:r>
        <w:t xml:space="preserve"> </w:t>
      </w:r>
      <w:r>
        <w:t xml:space="preserve">za właściwy wariant, jest to jedynie niezamierzony błąd).</w:t>
      </w:r>
    </w:p>
    <w:p>
      <w:pPr>
        <w:numPr>
          <w:ilvl w:val="0"/>
          <w:numId w:val="1094"/>
        </w:numPr>
      </w:pPr>
      <w:r>
        <w:t xml:space="preserve">10,20 μαινεται || μενεται () P</w:t>
      </w:r>
      <w:r>
        <w:rPr>
          <w:vertAlign w:val="superscript"/>
        </w:rPr>
        <w:t xml:space="preserve">66</w:t>
      </w:r>
      <w:r>
        <w:t xml:space="preserve"> </w:t>
      </w:r>
      <w:r>
        <w:t xml:space="preserve">A, Θ, f</w:t>
      </w:r>
      <w:r>
        <w:rPr>
          <w:vertAlign w:val="superscript"/>
        </w:rPr>
        <w:t xml:space="preserve">13</w:t>
      </w:r>
      <w:r>
        <w:t xml:space="preserve"> </w:t>
      </w:r>
      <w:r>
        <w:t xml:space="preserve">(przypuszczalnie itacyzm, który niepoprawnie zmienia czasownik, dając nonsens).</w:t>
      </w:r>
    </w:p>
    <w:p>
      <w:pPr>
        <w:pStyle w:val="FirstParagraph"/>
      </w:pPr>
      <w:r>
        <w:rPr>
          <w:bCs/>
          <w:b/>
        </w:rPr>
        <w:t xml:space="preserve">75.</w:t>
      </w:r>
      <w:r>
        <w:t xml:space="preserve"> </w:t>
      </w:r>
      <w:r>
        <w:t xml:space="preserve">10,24 ουν || --- (odczyt singularny, kopista wielokrotnie pomija ten spójnik i można się zastanawiać, dlaczego, znaczenie nie zostaje naruszone).</w:t>
      </w:r>
    </w:p>
    <w:p>
      <w:pPr>
        <w:numPr>
          <w:ilvl w:val="0"/>
          <w:numId w:val="1095"/>
        </w:numPr>
      </w:pPr>
      <w:r>
        <w:t xml:space="preserve">10,40 οπου || ου () P</w:t>
      </w:r>
      <w:r>
        <w:rPr>
          <w:vertAlign w:val="superscript"/>
        </w:rPr>
        <w:t xml:space="preserve">66</w:t>
      </w:r>
      <w:r>
        <w:t xml:space="preserve"> </w:t>
      </w:r>
      <w:r>
        <w:t xml:space="preserve">(mogło to powstać niezależnie, niedbały błąd dający nonsens).</w:t>
      </w:r>
    </w:p>
    <w:p>
      <w:pPr>
        <w:numPr>
          <w:ilvl w:val="0"/>
          <w:numId w:val="1095"/>
        </w:numPr>
      </w:pPr>
      <w:r>
        <w:t xml:space="preserve">11,2 εαυτης || αυτης 547, 789, 1461 (60%) P</w:t>
      </w:r>
      <w:r>
        <w:rPr>
          <w:vertAlign w:val="superscript"/>
        </w:rPr>
        <w:t xml:space="preserve">45,66,75</w:t>
      </w:r>
      <w:r>
        <w:t xml:space="preserve"> </w:t>
      </w:r>
      <w:r>
        <w:t xml:space="preserve">ℵ, A, B, D, W, Θ, Λ, f</w:t>
      </w:r>
      <w:r>
        <w:rPr>
          <w:vertAlign w:val="superscript"/>
        </w:rPr>
        <w:t xml:space="preserve">1</w:t>
      </w:r>
      <w:r>
        <w:t xml:space="preserve">, 28, 579, 1071, 1424 (jest to jedno z miejsc, w których 1700 odchodzi od rodziny, są to dwa sposoby powiedzenia tego samego, znaczenie nie zostaje naruszone).</w:t>
      </w:r>
    </w:p>
    <w:p>
      <w:pPr>
        <w:pStyle w:val="FirstParagraph"/>
      </w:pPr>
      <w:r>
        <w:rPr>
          <w:bCs/>
          <w:b/>
        </w:rPr>
        <w:t xml:space="preserve">78.</w:t>
      </w:r>
      <w:r>
        <w:t xml:space="preserve"> </w:t>
      </w:r>
      <w:r>
        <w:t xml:space="preserve">11,5 την</w:t>
      </w:r>
      <w:r>
        <w:rPr>
          <w:vertAlign w:val="superscript"/>
        </w:rPr>
        <w:t xml:space="preserve">1</w:t>
      </w:r>
      <w:r>
        <w:t xml:space="preserve"> </w:t>
      </w:r>
      <w:r>
        <w:t xml:space="preserve">|| --- (odczyt singularny, znaczenie nie zostaje naruszone).</w:t>
      </w:r>
    </w:p>
    <w:p>
      <w:pPr>
        <w:pStyle w:val="BodyText"/>
      </w:pPr>
      <w:r>
        <w:rPr>
          <w:bCs/>
          <w:b/>
        </w:rPr>
        <w:t xml:space="preserve">79.</w:t>
      </w:r>
      <w:r>
        <w:t xml:space="preserve"> </w:t>
      </w:r>
      <w:r>
        <w:t xml:space="preserve">11,9 οτι το φως του κοσμου τουτου βλεπει || --- (odczyt singularny, przypuszczalnie przypadek</w:t>
      </w:r>
      <w:r>
        <w:t xml:space="preserve"> </w:t>
      </w:r>
      <w:r>
        <w:rPr>
          <w:iCs/>
          <w:i/>
        </w:rPr>
        <w:t xml:space="preserve">homoioteleuton</w:t>
      </w:r>
      <w:r>
        <w:t xml:space="preserve">, nie uważam</w:t>
      </w:r>
      <w:r>
        <w:t xml:space="preserve"> </w:t>
      </w:r>
      <w:r>
        <w:rPr>
          <w:iCs/>
          <w:i/>
        </w:rPr>
        <w:t xml:space="preserve">homoioteleuton</w:t>
      </w:r>
      <w:r>
        <w:t xml:space="preserve"> </w:t>
      </w:r>
      <w:r>
        <w:t xml:space="preserve">za właściwy wariant, jest to jedynie niezamierzony błąd).</w:t>
      </w:r>
    </w:p>
    <w:p>
      <w:pPr>
        <w:pStyle w:val="BodyText"/>
      </w:pPr>
      <w:r>
        <w:rPr>
          <w:bCs/>
          <w:b/>
        </w:rPr>
        <w:t xml:space="preserve">80.</w:t>
      </w:r>
      <w:r>
        <w:t xml:space="preserve"> </w:t>
      </w:r>
      <w:r>
        <w:t xml:space="preserve">11,12 κυριε || --- (odczyt singularny, znaczenie nie zostaje naruszone).</w:t>
      </w:r>
    </w:p>
    <w:p>
      <w:pPr>
        <w:numPr>
          <w:ilvl w:val="0"/>
          <w:numId w:val="1096"/>
        </w:numPr>
        <w:pStyle w:val="Compact"/>
      </w:pPr>
      <w:r>
        <w:t xml:space="preserve">11,19 παραμυθησωνται || παραμυθησονται 1686 (15%) 579, 1071 (tryb oznajmujący czasu przyszłego albo aoryst trybu łączącego, w tym kontekście pełnią tę samą funkcję).</w:t>
      </w:r>
    </w:p>
    <w:p>
      <w:pPr>
        <w:pStyle w:val="FirstParagraph"/>
      </w:pPr>
      <w:r>
        <w:rPr>
          <w:bCs/>
          <w:b/>
        </w:rPr>
        <w:t xml:space="preserve">82.</w:t>
      </w:r>
      <w:r>
        <w:t xml:space="preserve"> </w:t>
      </w:r>
      <w:r>
        <w:t xml:space="preserve">11,28 εφωνησεν || ελαλησε (odczyt singularny obejmujący synonim, znaczenie nie zostaje naruszone).</w:t>
      </w:r>
    </w:p>
    <w:p>
      <w:pPr>
        <w:pStyle w:val="BodyText"/>
      </w:pPr>
      <w:r>
        <w:rPr>
          <w:bCs/>
          <w:b/>
        </w:rPr>
        <w:t xml:space="preserve">83.</w:t>
      </w:r>
      <w:r>
        <w:t xml:space="preserve"> </w:t>
      </w:r>
      <w:r>
        <w:t xml:space="preserve">11,38 εμβριμωμενος || 1 τω πνευματι (odczyt singularny, znaczenie nie zostaje naruszone).</w:t>
      </w:r>
    </w:p>
    <w:p>
      <w:pPr>
        <w:pStyle w:val="BodyText"/>
      </w:pPr>
      <w:r>
        <w:rPr>
          <w:bCs/>
          <w:b/>
        </w:rPr>
        <w:t xml:space="preserve">84.</w:t>
      </w:r>
      <w:r>
        <w:t xml:space="preserve"> </w:t>
      </w:r>
      <w:r>
        <w:t xml:space="preserve">11,39 ηδη || ηδει (itacyzm dający nonsens).</w:t>
      </w:r>
    </w:p>
    <w:p>
      <w:pPr>
        <w:pStyle w:val="BodyText"/>
      </w:pPr>
      <w:r>
        <w:rPr>
          <w:bCs/>
          <w:b/>
        </w:rPr>
        <w:t xml:space="preserve">85.</w:t>
      </w:r>
      <w:r>
        <w:t xml:space="preserve"> </w:t>
      </w:r>
      <w:r>
        <w:t xml:space="preserve">11,53 ινα αποκτεινωσιν || ιναποκτεινωσιν (niedbały błąd dający nonsens, czytelnik automatycznie uzupełniłby brakującą samogłoskę).</w:t>
      </w:r>
    </w:p>
    <w:p>
      <w:pPr>
        <w:pStyle w:val="BodyText"/>
      </w:pPr>
      <w:r>
        <w:rPr>
          <w:bCs/>
          <w:b/>
        </w:rPr>
        <w:t xml:space="preserve">86.</w:t>
      </w:r>
      <w:r>
        <w:t xml:space="preserve"> </w:t>
      </w:r>
      <w:r>
        <w:t xml:space="preserve">12,2 ανακειμενων συν || συνανακειμενων (10%) W, 28, 1071 || συνανακειμενων συν (odczyt singularny, lecz zbudowany na zależności, znaczenie nie zostaje naruszone).</w:t>
      </w:r>
    </w:p>
    <w:p>
      <w:pPr>
        <w:numPr>
          <w:ilvl w:val="0"/>
          <w:numId w:val="1097"/>
        </w:numPr>
        <w:pStyle w:val="Compact"/>
      </w:pPr>
      <w:r>
        <w:t xml:space="preserve">12,6 εμελεν || εμελλεν</w:t>
      </w:r>
      <w:r>
        <w:t xml:space="preserve"> </w:t>
      </w:r>
      <w:r>
        <w:rPr>
          <w:bCs/>
          <w:b/>
        </w:rPr>
        <w:t xml:space="preserve">f</w:t>
      </w:r>
      <w:r>
        <w:rPr>
          <w:vertAlign w:val="superscript"/>
          <w:bCs/>
          <w:b/>
        </w:rPr>
        <w:t xml:space="preserve">35pt</w:t>
      </w:r>
      <w:r>
        <w:t xml:space="preserve"> </w:t>
      </w:r>
      <w:r>
        <w:t xml:space="preserve">(60%) f</w:t>
      </w:r>
      <w:r>
        <w:rPr>
          <w:vertAlign w:val="superscript"/>
        </w:rPr>
        <w:t xml:space="preserve">13</w:t>
      </w:r>
      <w:r>
        <w:t xml:space="preserve">, 28, 1424 (jest to jedno z miejsc, w których 1700 odchodzi od rodziny, czasowniki są odmienne, lecz wymawiano je tak samo, a w kontekście tylko jedno ze znaczeń będzie pasować, ktoś słuchający czytanego tekstu naturalnie dokonałby więc właściwego wyboru, do tego stopnia, że zastanawiam się, czy dłuższej formy nie zaczęto uważać za alternatywną pisownię krótszej).</w:t>
      </w:r>
    </w:p>
    <w:p>
      <w:pPr>
        <w:pStyle w:val="FirstParagraph"/>
      </w:pPr>
      <w:r>
        <w:rPr>
          <w:bCs/>
          <w:b/>
        </w:rPr>
        <w:t xml:space="preserve">88.</w:t>
      </w:r>
      <w:r>
        <w:t xml:space="preserve"> </w:t>
      </w:r>
      <w:r>
        <w:t xml:space="preserve">12,7 αυτο || αυαυτο (kopista powtórzył sylabę, przechodząc z jednego wiersza do następnego).</w:t>
      </w:r>
    </w:p>
    <w:p>
      <w:pPr>
        <w:numPr>
          <w:ilvl w:val="0"/>
          <w:numId w:val="1098"/>
        </w:numPr>
        <w:pStyle w:val="Compact"/>
      </w:pPr>
      <w:r>
        <w:t xml:space="preserve">12,26</w:t>
      </w:r>
      <w:r>
        <w:rPr>
          <w:vertAlign w:val="superscript"/>
        </w:rPr>
        <w:t xml:space="preserve">a</w:t>
      </w:r>
      <w:r>
        <w:t xml:space="preserve"> </w:t>
      </w:r>
      <w:r>
        <w:t xml:space="preserve">διακονη || διακονει () 28, 1071, 1424 (oczekiwany jest tryb łączący, lecz tryb oznajmujący jest możliwy, w kontekście znaczenie nie zostaje naruszone).</w:t>
      </w:r>
    </w:p>
    <w:p>
      <w:pPr>
        <w:pStyle w:val="FirstParagraph"/>
      </w:pPr>
      <w:r>
        <w:rPr>
          <w:bCs/>
          <w:b/>
        </w:rPr>
        <w:t xml:space="preserve">90.</w:t>
      </w:r>
      <w:r>
        <w:t xml:space="preserve"> </w:t>
      </w:r>
      <w:r>
        <w:t xml:space="preserve">12,26</w:t>
      </w:r>
      <w:r>
        <w:rPr>
          <w:vertAlign w:val="superscript"/>
        </w:rPr>
        <w:t xml:space="preserve">b</w:t>
      </w:r>
      <w:r>
        <w:t xml:space="preserve"> </w:t>
      </w:r>
      <w:r>
        <w:t xml:space="preserve">διακονη || διακονει (odczyt singularny, zob. wyżej).</w:t>
      </w:r>
    </w:p>
    <w:p>
      <w:pPr>
        <w:numPr>
          <w:ilvl w:val="0"/>
          <w:numId w:val="1099"/>
        </w:numPr>
        <w:pStyle w:val="Compact"/>
      </w:pPr>
      <w:r>
        <w:t xml:space="preserve">12,37 αυτου σημεια || ~ 21 () Λ, f</w:t>
      </w:r>
      <w:r>
        <w:rPr>
          <w:vertAlign w:val="superscript"/>
        </w:rPr>
        <w:t xml:space="preserve">13</w:t>
      </w:r>
      <w:r>
        <w:t xml:space="preserve">, 579 (zwykłe odwrócenie szyku wyrazów, które nie wpływa na znaczenie).</w:t>
      </w:r>
    </w:p>
    <w:p>
      <w:pPr>
        <w:pStyle w:val="FirstParagraph"/>
      </w:pPr>
      <w:r>
        <w:rPr>
          <w:bCs/>
          <w:b/>
        </w:rPr>
        <w:t xml:space="preserve">92.</w:t>
      </w:r>
      <w:r>
        <w:t xml:space="preserve"> </w:t>
      </w:r>
      <w:r>
        <w:t xml:space="preserve">12,42 ωμολογουν || ομολογουν (odczyt singularny, itacyzm dający alternatywną pisownię, znaczenie nie zostaje naruszone).</w:t>
      </w:r>
    </w:p>
    <w:p>
      <w:pPr>
        <w:numPr>
          <w:ilvl w:val="0"/>
          <w:numId w:val="1100"/>
        </w:numPr>
        <w:pStyle w:val="Compact"/>
      </w:pPr>
      <w:r>
        <w:t xml:space="preserve">13,26 ω || ο () 579, 1071, 1424 (itacyzm, który niepoprawnie zmienia rodzaj).</w:t>
      </w:r>
    </w:p>
    <w:p>
      <w:pPr>
        <w:pStyle w:val="FirstParagraph"/>
      </w:pPr>
      <w:r>
        <w:rPr>
          <w:bCs/>
          <w:b/>
        </w:rPr>
        <w:t xml:space="preserve">94.</w:t>
      </w:r>
      <w:r>
        <w:t xml:space="preserve"> </w:t>
      </w:r>
      <w:r>
        <w:t xml:space="preserve">13,27 ουν || --- (odczyt singularny, kopista wielokrotnie pomija ten spójnik i można się zastanawiać, dlaczego, znaczenie nie zostaje naruszone).</w:t>
      </w:r>
    </w:p>
    <w:p>
      <w:pPr>
        <w:numPr>
          <w:ilvl w:val="0"/>
          <w:numId w:val="1101"/>
        </w:numPr>
      </w:pPr>
      <w:r>
        <w:t xml:space="preserve">13,29 εχομεν || εχωμεν () 579 (zmiana trybu nie wpływa na znaczenie).</w:t>
      </w:r>
    </w:p>
    <w:p>
      <w:pPr>
        <w:numPr>
          <w:ilvl w:val="0"/>
          <w:numId w:val="1101"/>
        </w:numPr>
      </w:pPr>
      <w:r>
        <w:t xml:space="preserve">13,30-31 ην δε νυξ οτε εξηλθεν || --- () G (wyraźny przypadek</w:t>
      </w:r>
      <w:r>
        <w:t xml:space="preserve"> </w:t>
      </w:r>
      <w:r>
        <w:rPr>
          <w:iCs/>
          <w:i/>
        </w:rPr>
        <w:t xml:space="preserve">homoioteleuton</w:t>
      </w:r>
      <w:r>
        <w:t xml:space="preserve">, który powstał niezależnie).</w:t>
      </w:r>
    </w:p>
    <w:p>
      <w:pPr>
        <w:numPr>
          <w:ilvl w:val="0"/>
          <w:numId w:val="1101"/>
        </w:numPr>
      </w:pPr>
      <w:r>
        <w:t xml:space="preserve">14,13 αιτησητε || αιτησηται 1145 () P</w:t>
      </w:r>
      <w:r>
        <w:rPr>
          <w:vertAlign w:val="superscript"/>
        </w:rPr>
        <w:t xml:space="preserve">66</w:t>
      </w:r>
      <w:r>
        <w:t xml:space="preserve"> </w:t>
      </w:r>
      <w:r>
        <w:t xml:space="preserve">D, W (kopista sam się poprawił).</w:t>
      </w:r>
    </w:p>
    <w:p>
      <w:pPr>
        <w:numPr>
          <w:ilvl w:val="0"/>
          <w:numId w:val="1101"/>
        </w:numPr>
      </w:pPr>
      <w:r>
        <w:t xml:space="preserve">14,23 ποιησομεν || ποιησωμεν 1667, 1686 (5%) Λ, 28, 1424 (tryb oznajmujący czasu przyszłego albo aoryst trybu łączącego, w tym kontekście pełnią tę samą funkcję).</w:t>
      </w:r>
    </w:p>
    <w:p>
      <w:pPr>
        <w:numPr>
          <w:ilvl w:val="0"/>
          <w:numId w:val="1101"/>
        </w:numPr>
      </w:pPr>
      <w:r>
        <w:t xml:space="preserve">15,2 φερη || φερει 553 () 124, 788, 1346 (oczekiwany jest tryb łączący, lecz tryb oznajmujący jest możliwy, w kontekście znaczenie nie zostaje naruszone).</w:t>
      </w:r>
    </w:p>
    <w:p>
      <w:pPr>
        <w:numPr>
          <w:ilvl w:val="0"/>
          <w:numId w:val="1101"/>
        </w:numPr>
      </w:pPr>
      <w:r>
        <w:t xml:space="preserve">15,7 αιτησεσθε || αιτησησθε () 1424 (tryb oznajmujący czasu przyszłego albo aoryst trybu łączącego, w tym kontekście pełnią tę samą funkcję).</w:t>
      </w:r>
    </w:p>
    <w:p>
      <w:pPr>
        <w:pStyle w:val="FirstParagraph"/>
      </w:pPr>
      <w:r>
        <w:rPr>
          <w:bCs/>
          <w:b/>
        </w:rPr>
        <w:t xml:space="preserve">101.</w:t>
      </w:r>
      <w:r>
        <w:t xml:space="preserve"> </w:t>
      </w:r>
      <w:r>
        <w:t xml:space="preserve">15,8 φερητε || φερηται (poprawiony odczyt singularny).</w:t>
      </w:r>
    </w:p>
    <w:p>
      <w:pPr>
        <w:pStyle w:val="BodyText"/>
      </w:pPr>
      <w:r>
        <w:rPr>
          <w:bCs/>
          <w:b/>
        </w:rPr>
        <w:t xml:space="preserve">102.</w:t>
      </w:r>
      <w:r>
        <w:t xml:space="preserve"> </w:t>
      </w:r>
      <w:r>
        <w:t xml:space="preserve">15,11 η χαρα</w:t>
      </w:r>
      <w:r>
        <w:rPr>
          <w:vertAlign w:val="superscript"/>
        </w:rPr>
        <w:t xml:space="preserve">1</w:t>
      </w:r>
      <w:r>
        <w:t xml:space="preserve"> </w:t>
      </w:r>
      <w:r>
        <w:t xml:space="preserve">|| --- (odczyt singularny powstały zarówno wskutek</w:t>
      </w:r>
      <w:r>
        <w:t xml:space="preserve"> </w:t>
      </w:r>
      <w:r>
        <w:rPr>
          <w:iCs/>
          <w:i/>
        </w:rPr>
        <w:t xml:space="preserve">homoioarcton</w:t>
      </w:r>
      <w:r>
        <w:t xml:space="preserve">, jak i</w:t>
      </w:r>
      <w:r>
        <w:t xml:space="preserve"> </w:t>
      </w:r>
      <w:r>
        <w:rPr>
          <w:iCs/>
          <w:i/>
        </w:rPr>
        <w:t xml:space="preserve">homoioteleuton</w:t>
      </w:r>
      <w:r>
        <w:t xml:space="preserve">, nie właściwy wariant).</w:t>
      </w:r>
    </w:p>
    <w:p>
      <w:pPr>
        <w:numPr>
          <w:ilvl w:val="0"/>
          <w:numId w:val="1102"/>
        </w:numPr>
        <w:pStyle w:val="Compact"/>
      </w:pPr>
      <w:r>
        <w:t xml:space="preserve">15,15 υμας λεγω || ~ 21 (1%) P</w:t>
      </w:r>
      <w:r>
        <w:rPr>
          <w:vertAlign w:val="superscript"/>
        </w:rPr>
        <w:t xml:space="preserve">66</w:t>
      </w:r>
      <w:r>
        <w:t xml:space="preserve"> </w:t>
      </w:r>
      <w:r>
        <w:t xml:space="preserve">ℵ, A, B, 579, 1071, 1424 (zwykłe odwrócenie szyku wyrazów, które nie wpływa na znaczenie).</w:t>
      </w:r>
    </w:p>
    <w:p>
      <w:pPr>
        <w:pStyle w:val="FirstParagraph"/>
      </w:pPr>
      <w:r>
        <w:rPr>
          <w:bCs/>
          <w:b/>
        </w:rPr>
        <w:t xml:space="preserve">104.</w:t>
      </w:r>
      <w:r>
        <w:t xml:space="preserve"> </w:t>
      </w:r>
      <w:r>
        <w:t xml:space="preserve">15,18 γινωσκετε || --- (niedbały odczyt singularny dający nonsens).</w:t>
      </w:r>
    </w:p>
    <w:p>
      <w:pPr>
        <w:pStyle w:val="BodyText"/>
      </w:pPr>
      <w:r>
        <w:rPr>
          <w:bCs/>
          <w:b/>
        </w:rPr>
        <w:t xml:space="preserve">105.</w:t>
      </w:r>
      <w:r>
        <w:t xml:space="preserve"> </w:t>
      </w:r>
      <w:r>
        <w:t xml:space="preserve">15,20 ουκ εστιν δουλος μειζων του κυριου αυτου || --- (niedbały odczyt singularny, być może pomijający cały wiersz w egzemplarzu, lecz powstały tekst ma dobry sens).</w:t>
      </w:r>
    </w:p>
    <w:p>
      <w:pPr>
        <w:pStyle w:val="BodyText"/>
      </w:pPr>
      <w:r>
        <w:rPr>
          <w:bCs/>
          <w:b/>
        </w:rPr>
        <w:t xml:space="preserve">106.</w:t>
      </w:r>
      <w:r>
        <w:t xml:space="preserve"> </w:t>
      </w:r>
      <w:r>
        <w:t xml:space="preserve">15,25 οτι εμισησαν με δωρεαν || --- (kolejny niedbały odczyt singularny, być może wskutek</w:t>
      </w:r>
      <w:r>
        <w:t xml:space="preserve"> </w:t>
      </w:r>
      <w:r>
        <w:rPr>
          <w:iCs/>
          <w:i/>
        </w:rPr>
        <w:t xml:space="preserve">homoioarcton</w:t>
      </w:r>
      <w:r>
        <w:t xml:space="preserve">, powstały tekst ma sens, lecz jest nieco niepełny).</w:t>
      </w:r>
    </w:p>
    <w:p>
      <w:pPr>
        <w:pStyle w:val="BodyText"/>
      </w:pPr>
      <w:r>
        <w:rPr>
          <w:bCs/>
          <w:b/>
        </w:rPr>
        <w:t xml:space="preserve">107.</w:t>
      </w:r>
      <w:r>
        <w:t xml:space="preserve"> </w:t>
      </w:r>
      <w:r>
        <w:t xml:space="preserve">16,7</w:t>
      </w:r>
      <w:r>
        <w:rPr>
          <w:vertAlign w:val="superscript"/>
        </w:rPr>
        <w:t xml:space="preserve">a</w:t>
      </w:r>
      <w:r>
        <w:t xml:space="preserve"> </w:t>
      </w:r>
      <w:r>
        <w:t xml:space="preserve">αλλ εγω την αληθειαν λεγω υμιν || --- (kolejny niedbały odczyt singularny, powstały tekst ma sens, zauważ, że kopista najwyraźniej miał zły dzień).</w:t>
      </w:r>
    </w:p>
    <w:p>
      <w:pPr>
        <w:pStyle w:val="BodyText"/>
      </w:pPr>
      <w:r>
        <w:rPr>
          <w:bCs/>
          <w:b/>
        </w:rPr>
        <w:t xml:space="preserve">108.</w:t>
      </w:r>
      <w:r>
        <w:t xml:space="preserve"> </w:t>
      </w:r>
      <w:r>
        <w:t xml:space="preserve">16,7</w:t>
      </w:r>
      <w:r>
        <w:rPr>
          <w:vertAlign w:val="superscript"/>
        </w:rPr>
        <w:t xml:space="preserve">b</w:t>
      </w:r>
      <w:r>
        <w:t xml:space="preserve"> </w:t>
      </w:r>
      <w:r>
        <w:t xml:space="preserve">υμας</w:t>
      </w:r>
      <w:r>
        <w:rPr>
          <w:vertAlign w:val="superscript"/>
        </w:rPr>
        <w:t xml:space="preserve">1</w:t>
      </w:r>
      <w:r>
        <w:t xml:space="preserve"> </w:t>
      </w:r>
      <w:r>
        <w:t xml:space="preserve">|| 1 και (odczyt singularny, znaczenie nie zostaje naruszone).</w:t>
      </w:r>
    </w:p>
    <w:p>
      <w:pPr>
        <w:numPr>
          <w:ilvl w:val="0"/>
          <w:numId w:val="1103"/>
        </w:numPr>
        <w:pStyle w:val="Compact"/>
      </w:pPr>
      <w:r>
        <w:t xml:space="preserve">16,21</w:t>
      </w:r>
      <w:r>
        <w:rPr>
          <w:vertAlign w:val="superscript"/>
        </w:rPr>
        <w:t xml:space="preserve">a</w:t>
      </w:r>
      <w:r>
        <w:t xml:space="preserve"> </w:t>
      </w:r>
      <w:r>
        <w:t xml:space="preserve">τικτη || τικτει 553 (10%) Λ, 28, 1346, 1424 (oczekiwany jest tryb łączący, lecz tryb oznajmujący jest możliwy, prawdopodobnie nie jest to itacyzm, znaczenie nie zostaje naruszone).</w:t>
      </w:r>
    </w:p>
    <w:p>
      <w:pPr>
        <w:pStyle w:val="FirstParagraph"/>
      </w:pPr>
      <w:r>
        <w:rPr>
          <w:bCs/>
          <w:b/>
        </w:rPr>
        <w:t xml:space="preserve">110.</w:t>
      </w:r>
      <w:r>
        <w:t xml:space="preserve"> </w:t>
      </w:r>
      <w:r>
        <w:t xml:space="preserve">16,21</w:t>
      </w:r>
      <w:r>
        <w:rPr>
          <w:vertAlign w:val="superscript"/>
        </w:rPr>
        <w:t xml:space="preserve">b</w:t>
      </w:r>
      <w:r>
        <w:t xml:space="preserve"> </w:t>
      </w:r>
      <w:r>
        <w:t xml:space="preserve">γεννηση || γεννησει (odczyt singularny, tryb oznajmujący czasu przyszłego albo aoryst trybu łączącego, w tym kontekście pełnią tę samą funkcję).</w:t>
      </w:r>
    </w:p>
    <w:p>
      <w:pPr>
        <w:numPr>
          <w:ilvl w:val="0"/>
          <w:numId w:val="1104"/>
        </w:numPr>
      </w:pPr>
      <w:r>
        <w:t xml:space="preserve">16,33 εχητε || εχετε (1%) Λ, 28, 1071 (oczekiwany jest tryb łączący, lecz tryb oznajmujący jest możliwy, prawdopodobnie nie jest to itacyzm, znaczenie nie zostaje naruszone).</w:t>
      </w:r>
    </w:p>
    <w:p>
      <w:pPr>
        <w:numPr>
          <w:ilvl w:val="0"/>
          <w:numId w:val="1104"/>
        </w:numPr>
      </w:pPr>
      <w:r>
        <w:t xml:space="preserve">17,10 δεδοξασμαι || δεδοξασμε (2%) P</w:t>
      </w:r>
      <w:r>
        <w:rPr>
          <w:vertAlign w:val="superscript"/>
        </w:rPr>
        <w:t xml:space="preserve">66c</w:t>
      </w:r>
      <w:r>
        <w:t xml:space="preserve"> </w:t>
      </w:r>
      <w:r>
        <w:t xml:space="preserve">ℵ, Θ, 1346, 1424 (itacyzm dający nonsens, czytelnik automatycznie dokonałby poprawki).</w:t>
      </w:r>
    </w:p>
    <w:p>
      <w:pPr>
        <w:numPr>
          <w:ilvl w:val="0"/>
          <w:numId w:val="1104"/>
        </w:numPr>
      </w:pPr>
      <w:r>
        <w:t xml:space="preserve">17,23 γινωσκη || γινωσκει 553, 1686 (2%) Λ, f</w:t>
      </w:r>
      <w:r>
        <w:rPr>
          <w:vertAlign w:val="superscript"/>
        </w:rPr>
        <w:t xml:space="preserve">13</w:t>
      </w:r>
      <w:r>
        <w:t xml:space="preserve">, 28, 579, 1071 (oczekiwany jest tryb łączący, lecz tryb oznajmujący jest możliwy, prawdopodobnie nie jest to itacyzm, znaczenie nie zostaje naruszone).</w:t>
      </w:r>
    </w:p>
    <w:p>
      <w:pPr>
        <w:numPr>
          <w:ilvl w:val="0"/>
          <w:numId w:val="1104"/>
        </w:numPr>
      </w:pPr>
      <w:r>
        <w:t xml:space="preserve">18,13 αυτον || --- (2%) P</w:t>
      </w:r>
      <w:r>
        <w:rPr>
          <w:vertAlign w:val="superscript"/>
        </w:rPr>
        <w:t xml:space="preserve">66</w:t>
      </w:r>
      <w:r>
        <w:t xml:space="preserve"> </w:t>
      </w:r>
      <w:r>
        <w:t xml:space="preserve">ℵ, B, C, D, W, 579, 1071 (powtórzenie zaimka nie jest konieczne dla sensu, znaczenie nie zostaje naruszone).</w:t>
      </w:r>
    </w:p>
    <w:p>
      <w:pPr>
        <w:pStyle w:val="FirstParagraph"/>
      </w:pPr>
      <w:r>
        <w:rPr>
          <w:bCs/>
          <w:b/>
        </w:rPr>
        <w:t xml:space="preserve">115.</w:t>
      </w:r>
      <w:r>
        <w:t xml:space="preserve"> </w:t>
      </w:r>
      <w:r>
        <w:t xml:space="preserve">18,15 τω ιησου</w:t>
      </w:r>
      <w:r>
        <w:rPr>
          <w:vertAlign w:val="superscript"/>
        </w:rPr>
        <w:t xml:space="preserve">1</w:t>
      </w:r>
      <w:r>
        <w:t xml:space="preserve"> </w:t>
      </w:r>
      <w:r>
        <w:t xml:space="preserve">|| αυτω (odczyt singularny, znaczenie nie zostaje naruszone).</w:t>
      </w:r>
    </w:p>
    <w:p>
      <w:pPr>
        <w:pStyle w:val="BodyText"/>
      </w:pPr>
      <w:r>
        <w:rPr>
          <w:bCs/>
          <w:b/>
        </w:rPr>
        <w:t xml:space="preserve">116.</w:t>
      </w:r>
      <w:r>
        <w:t xml:space="preserve"> </w:t>
      </w:r>
      <w:r>
        <w:t xml:space="preserve">18,17 συ || --- (odczyt singularny, znaczenie nie zostaje naruszone).</w:t>
      </w:r>
    </w:p>
    <w:p>
      <w:pPr>
        <w:numPr>
          <w:ilvl w:val="0"/>
          <w:numId w:val="1105"/>
        </w:numPr>
        <w:pStyle w:val="Compact"/>
      </w:pPr>
      <w:r>
        <w:t xml:space="preserve">18,25 σιμων || --- 1435 () 1424 (znaczenie nie zostaje naruszone).</w:t>
      </w:r>
    </w:p>
    <w:p>
      <w:pPr>
        <w:pStyle w:val="FirstParagraph"/>
      </w:pPr>
      <w:r>
        <w:rPr>
          <w:bCs/>
          <w:b/>
        </w:rPr>
        <w:t xml:space="preserve">118.</w:t>
      </w:r>
      <w:r>
        <w:t xml:space="preserve"> </w:t>
      </w:r>
      <w:r>
        <w:t xml:space="preserve">18,36</w:t>
      </w:r>
      <w:r>
        <w:rPr>
          <w:vertAlign w:val="superscript"/>
        </w:rPr>
        <w:t xml:space="preserve">a</w:t>
      </w:r>
      <w:r>
        <w:t xml:space="preserve"> </w:t>
      </w:r>
      <w:r>
        <w:t xml:space="preserve">ηγωνιζοντο || ηγονιζοντο (odczyt singularny, itacyzm dający błędną pisownię, znaczenie nie zostaje naruszone).</w:t>
      </w:r>
    </w:p>
    <w:p>
      <w:pPr>
        <w:pStyle w:val="BodyText"/>
      </w:pPr>
      <w:r>
        <w:rPr>
          <w:bCs/>
          <w:b/>
        </w:rPr>
        <w:t xml:space="preserve">119.</w:t>
      </w:r>
      <w:r>
        <w:t xml:space="preserve"> </w:t>
      </w:r>
      <w:r>
        <w:t xml:space="preserve">18,36</w:t>
      </w:r>
      <w:r>
        <w:rPr>
          <w:vertAlign w:val="superscript"/>
        </w:rPr>
        <w:t xml:space="preserve">b</w:t>
      </w:r>
      <w:r>
        <w:t xml:space="preserve"> </w:t>
      </w:r>
      <w:r>
        <w:t xml:space="preserve">ουκ εστιν || --- (odczyt singularny, pominięcie tworzy sprzeczność wewnątrz wersetu, nie da się powiedzieć, dlaczego kopista to uczynił, chyba że jest to niezamierzony błąd, których jest niemało).</w:t>
      </w:r>
    </w:p>
    <w:p>
      <w:pPr>
        <w:numPr>
          <w:ilvl w:val="0"/>
          <w:numId w:val="1106"/>
        </w:numPr>
        <w:pStyle w:val="Compact"/>
      </w:pPr>
      <w:r>
        <w:t xml:space="preserve">18,37 αυτω || --- 201, 2322 (pominięcie nie wpływa na znaczenie).</w:t>
      </w:r>
    </w:p>
    <w:p>
      <w:pPr>
        <w:pStyle w:val="FirstParagraph"/>
      </w:pPr>
      <w:r>
        <w:rPr>
          <w:bCs/>
          <w:b/>
        </w:rPr>
        <w:t xml:space="preserve">121.</w:t>
      </w:r>
      <w:r>
        <w:t xml:space="preserve"> </w:t>
      </w:r>
      <w:r>
        <w:t xml:space="preserve">18,39</w:t>
      </w:r>
      <w:r>
        <w:rPr>
          <w:vertAlign w:val="superscript"/>
        </w:rPr>
        <w:t xml:space="preserve">a</w:t>
      </w:r>
      <w:r>
        <w:t xml:space="preserve"> </w:t>
      </w:r>
      <w:r>
        <w:t xml:space="preserve">συνηθεια || συνηθει (odczyt singularny, niedbały błąd pisowni).</w:t>
      </w:r>
    </w:p>
    <w:p>
      <w:pPr>
        <w:numPr>
          <w:ilvl w:val="0"/>
          <w:numId w:val="1107"/>
        </w:numPr>
        <w:pStyle w:val="Compact"/>
      </w:pPr>
      <w:r>
        <w:t xml:space="preserve">18,39</w:t>
      </w:r>
      <w:r>
        <w:rPr>
          <w:vertAlign w:val="superscript"/>
        </w:rPr>
        <w:t xml:space="preserve">b</w:t>
      </w:r>
      <w:r>
        <w:t xml:space="preserve"> </w:t>
      </w:r>
      <w:r>
        <w:t xml:space="preserve">ημιν || υμιν 928, 1334, 1572, 1667 (80%) ℵ, A, B, W, Θ, Λ, f</w:t>
      </w:r>
      <w:r>
        <w:rPr>
          <w:vertAlign w:val="superscript"/>
        </w:rPr>
        <w:t xml:space="preserve">1,13</w:t>
      </w:r>
      <w:r>
        <w:t xml:space="preserve">, 28, 579, 1071, 1346, 1424 (jest to jedno z miejsc, w których 1700 odchodzi od rodziny, pierwotna zmiana była prawdopodobnie celowa i wprowadziła nieprawdopodobieństwo, trudno uwierzyć, by cesarski Rzym uwolnił więźnia na podstawie żądania Żydów, zmiana ma jednak niewielki wpływ na całkowite znaczenie opisu).</w:t>
      </w:r>
    </w:p>
    <w:p>
      <w:pPr>
        <w:pStyle w:val="FirstParagraph"/>
      </w:pPr>
      <w:r>
        <w:rPr>
          <w:bCs/>
          <w:b/>
        </w:rPr>
        <w:t xml:space="preserve">123.</w:t>
      </w:r>
      <w:r>
        <w:t xml:space="preserve"> </w:t>
      </w:r>
      <w:r>
        <w:t xml:space="preserve">18,39</w:t>
      </w:r>
      <w:r>
        <w:rPr>
          <w:vertAlign w:val="superscript"/>
        </w:rPr>
        <w:t xml:space="preserve">c</w:t>
      </w:r>
      <w:r>
        <w:t xml:space="preserve"> </w:t>
      </w:r>
      <w:r>
        <w:t xml:space="preserve">υμιν</w:t>
      </w:r>
      <w:r>
        <w:rPr>
          <w:vertAlign w:val="superscript"/>
        </w:rPr>
        <w:t xml:space="preserve">2</w:t>
      </w:r>
      <w:r>
        <w:t xml:space="preserve"> </w:t>
      </w:r>
      <w:r>
        <w:t xml:space="preserve">|| 1 ινα (odczyt singularny, znaczenie nie zostaje naruszone).</w:t>
      </w:r>
    </w:p>
    <w:p>
      <w:pPr>
        <w:pStyle w:val="BodyText"/>
      </w:pPr>
      <w:r>
        <w:rPr>
          <w:bCs/>
          <w:b/>
        </w:rPr>
        <w:t xml:space="preserve">124.</w:t>
      </w:r>
      <w:r>
        <w:t xml:space="preserve"> </w:t>
      </w:r>
      <w:r>
        <w:t xml:space="preserve">19,1 ελαβεν || --- (odczyt singularny, możliwy przypadek</w:t>
      </w:r>
      <w:r>
        <w:t xml:space="preserve"> </w:t>
      </w:r>
      <w:r>
        <w:rPr>
          <w:iCs/>
          <w:i/>
        </w:rPr>
        <w:t xml:space="preserve">homoioteleuton</w:t>
      </w:r>
      <w:r>
        <w:t xml:space="preserve">, pominięcie czasownika pozostawia zdanie niepełne).</w:t>
      </w:r>
    </w:p>
    <w:p>
      <w:pPr>
        <w:numPr>
          <w:ilvl w:val="0"/>
          <w:numId w:val="1108"/>
        </w:numPr>
      </w:pPr>
      <w:r>
        <w:t xml:space="preserve">19,13 εβραιστι || εβραιστη () f</w:t>
      </w:r>
      <w:r>
        <w:rPr>
          <w:vertAlign w:val="superscript"/>
        </w:rPr>
        <w:t xml:space="preserve">13</w:t>
      </w:r>
      <w:r>
        <w:t xml:space="preserve">, 28</w:t>
      </w:r>
      <w:r>
        <w:rPr>
          <w:vertAlign w:val="superscript"/>
        </w:rPr>
        <w:t xml:space="preserve">s</w:t>
      </w:r>
      <w:r>
        <w:t xml:space="preserve">, 579, 1346, 1424 (jest to po prostu alternatywna pisownia, a zatem nie właściwy wariant).</w:t>
      </w:r>
    </w:p>
    <w:p>
      <w:pPr>
        <w:numPr>
          <w:ilvl w:val="0"/>
          <w:numId w:val="1108"/>
        </w:numPr>
      </w:pPr>
      <w:r>
        <w:t xml:space="preserve">19,15 εχομεν || εχωμεν 1686 () Λ, 579, 1346 (tryb oznajmujący jest wyraźnie poprawny, może to więc być itacyzm).</w:t>
      </w:r>
    </w:p>
    <w:p>
      <w:pPr>
        <w:numPr>
          <w:ilvl w:val="0"/>
          <w:numId w:val="1108"/>
        </w:numPr>
      </w:pPr>
      <w:r>
        <w:t xml:space="preserve">19,17 εβραιστι || εβραιστη () 579, 1071, 1424 (jest to po prostu alternatywna pisownia, a zatem nie właściwy wariant).</w:t>
      </w:r>
    </w:p>
    <w:p>
      <w:pPr>
        <w:pStyle w:val="FirstParagraph"/>
      </w:pPr>
      <w:r>
        <w:rPr>
          <w:bCs/>
          <w:b/>
        </w:rPr>
        <w:t xml:space="preserve">128.</w:t>
      </w:r>
      <w:r>
        <w:t xml:space="preserve"> </w:t>
      </w:r>
      <w:r>
        <w:t xml:space="preserve">19,24 ιματισμον || ιματις (odczyt singularny, niedbały błąd, czytelnik automatycznie dokonałby poprawki).</w:t>
      </w:r>
    </w:p>
    <w:p>
      <w:pPr>
        <w:pStyle w:val="BodyText"/>
      </w:pPr>
      <w:r>
        <w:rPr>
          <w:bCs/>
          <w:b/>
        </w:rPr>
        <w:t xml:space="preserve">129.</w:t>
      </w:r>
      <w:r>
        <w:t xml:space="preserve"> </w:t>
      </w:r>
      <w:r>
        <w:t xml:space="preserve">19,25</w:t>
      </w:r>
      <w:r>
        <w:rPr>
          <w:vertAlign w:val="superscript"/>
        </w:rPr>
        <w:t xml:space="preserve">a</w:t>
      </w:r>
      <w:r>
        <w:t xml:space="preserve"> </w:t>
      </w:r>
      <w:r>
        <w:t xml:space="preserve">ειστηκεισαν || ειστηκει (odczyt singularny, zmiana sprawia, że podmiot czasownika jest w liczbie pojedynczej zamiast mnogiej, co wynika z częściowego odczytania wersetu, czytelnik dokonałby koniecznej poprawki).</w:t>
      </w:r>
    </w:p>
    <w:p>
      <w:pPr>
        <w:numPr>
          <w:ilvl w:val="0"/>
          <w:numId w:val="1109"/>
        </w:numPr>
      </w:pPr>
      <w:r>
        <w:t xml:space="preserve">19,25</w:t>
      </w:r>
      <w:r>
        <w:rPr>
          <w:vertAlign w:val="superscript"/>
        </w:rPr>
        <w:t xml:space="preserve">b</w:t>
      </w:r>
      <w:r>
        <w:t xml:space="preserve"> </w:t>
      </w:r>
      <w:r>
        <w:t xml:space="preserve">μαγδαληνη || μαγδαλινη 1384 () 1071 (jest to po prostu alternatywna pisownia, a zatem nie właściwy wariant).</w:t>
      </w:r>
    </w:p>
    <w:p>
      <w:pPr>
        <w:numPr>
          <w:ilvl w:val="0"/>
          <w:numId w:val="1109"/>
        </w:numPr>
      </w:pPr>
      <w:r>
        <w:t xml:space="preserve">19,28 τουτο || ταυτα () U (niezależny błąd, który nie wpływa na znaczenie).</w:t>
      </w:r>
    </w:p>
    <w:p>
      <w:pPr>
        <w:numPr>
          <w:ilvl w:val="0"/>
          <w:numId w:val="1109"/>
        </w:numPr>
      </w:pPr>
      <w:r>
        <w:t xml:space="preserve">20,5 κειμενα || --- () Λ (pominięcie nie zmienia znaczenia).</w:t>
      </w:r>
    </w:p>
    <w:p>
      <w:pPr>
        <w:numPr>
          <w:ilvl w:val="0"/>
          <w:numId w:val="1109"/>
        </w:numPr>
      </w:pPr>
      <w:r>
        <w:t xml:space="preserve">20,11 τω μνημειω || το μνημειον (50%) Θ, Λ, f</w:t>
      </w:r>
      <w:r>
        <w:rPr>
          <w:vertAlign w:val="superscript"/>
        </w:rPr>
        <w:t xml:space="preserve">13</w:t>
      </w:r>
      <w:r>
        <w:t xml:space="preserve">, 579, 1071, 1346, 1424 (przyimek łączy się zarówno z celownikiem, jak i biernikiem, w kontekście znaczenie nie zostaje naruszone).</w:t>
      </w:r>
    </w:p>
    <w:p>
      <w:pPr>
        <w:numPr>
          <w:ilvl w:val="0"/>
          <w:numId w:val="1109"/>
        </w:numPr>
      </w:pPr>
      <w:r>
        <w:t xml:space="preserve">20,19 αυτοις || --- () ℵ (niezależne pominięcie, które nie zmienia znaczenia).</w:t>
      </w:r>
    </w:p>
    <w:p>
      <w:pPr>
        <w:numPr>
          <w:ilvl w:val="0"/>
          <w:numId w:val="1109"/>
        </w:numPr>
      </w:pPr>
      <w:r>
        <w:t xml:space="preserve">21,13 ουν || --- (2%) P</w:t>
      </w:r>
      <w:r>
        <w:rPr>
          <w:vertAlign w:val="superscript"/>
        </w:rPr>
        <w:t xml:space="preserve">122</w:t>
      </w:r>
      <w:r>
        <w:t xml:space="preserve"> </w:t>
      </w:r>
      <w:r>
        <w:t xml:space="preserve">ℵ, B, C, D, W, f</w:t>
      </w:r>
      <w:r>
        <w:rPr>
          <w:vertAlign w:val="superscript"/>
        </w:rPr>
        <w:t xml:space="preserve">1</w:t>
      </w:r>
      <w:r>
        <w:t xml:space="preserve"> </w:t>
      </w:r>
      <w:r>
        <w:t xml:space="preserve">(przypuszczalnie niezależny błąd, zważywszy na skłonność kopisty do pomijania tego spójnika, znaczenie nie zostaje naruszone).</w:t>
      </w:r>
    </w:p>
    <w:p>
      <w:pPr>
        <w:numPr>
          <w:ilvl w:val="0"/>
          <w:numId w:val="1109"/>
        </w:numPr>
      </w:pPr>
      <w:r>
        <w:t xml:space="preserve">21,15 ο ιησους || --- () 1424 (błąd, który nie wpływa na znaczenie).</w:t>
      </w:r>
    </w:p>
    <w:p>
      <w:pPr>
        <w:pStyle w:val="FirstParagraph"/>
      </w:pPr>
      <w:r>
        <w:t xml:space="preserve">Jak na przedstawiciela Rodziny 35 jest to rozczarowujący manuskrypt, przeanalizujmy jednak szczegółowo zróżnicowanie. Spośród 136 odstępstw od archetypu rodziny 54 to odczyty singularne, z nielicznymi wyjątkami nie wpływają one na znaczenie, łącznie z pewną liczbą takich, które nie są właściwymi wariantami — to, co wyżej nazwałem „niedbałym odczytem singularnym”, uważam za niezamierzony błąd, a zatem nie właściwy wariant. Jeśli żaden inny znany manuskrypt nie ma danej zmiany, wówczas coś stworzonego w XVII wieku nie jest wariantem. 136 - 54 = 82, zwróćmy więc uwagę na 82. Spośród nich dziewięć to zwykłe alternatywne pisownie, a zatem nie właściwe warianty (są to: 1, 13, 27, 58, 61, 65, 125, 127, 130). 82 - 9 = 73, spośród nich 16 to odstępstwa wspólne z wczesnymi kodeksami, przy których trudno uwierzyć, by mogła istnieć zależność, co z punktu widzenia kopisty 1700 czyni je odczytami singularnymi (10, 26, 36, 41, 48, 49, 52, 57, 73, 76, 96, 97, 131, 132, 134, 135). Powiedziałbym, że poprawnym wnioskiem, jaki należy wyprowadzić z przedstawionych nam dowodów, jest to, iż kopiści, którzy sporządzili te wczesne manuskrypty, również byli niedbali i oszpecili swoją pracę głupimi błędami. 73 - 16 = 57 (znacznie mniej niż połowa całości).</w:t>
      </w:r>
    </w:p>
    <w:p>
      <w:pPr>
        <w:pStyle w:val="BodyText"/>
      </w:pPr>
      <w:r>
        <w:t xml:space="preserve">Patrząc na dowody, wydaje się jasne, że GA 1700 zawiera pewną domieszkę. Spośród 66 odczytów niesingularnych (136 - 54 - 16 = 66) 1700 dzieli wariant z 1424 trzydzieści razy, z 1071 dwadzieścia osiem razy, z 28 dwadzieścia cztery razy, z f</w:t>
      </w:r>
      <w:r>
        <w:rPr>
          <w:vertAlign w:val="superscript"/>
        </w:rPr>
        <w:t xml:space="preserve">13</w:t>
      </w:r>
      <w:r>
        <w:t xml:space="preserve"> </w:t>
      </w:r>
      <w:r>
        <w:t xml:space="preserve">dwadzieścia dwa razy, z 579 dwadzieścia jeden razy, z Λ dziewiętnaście razy.</w:t>
      </w:r>
      <w:r>
        <w:t xml:space="preserve"> </w:t>
      </w:r>
      <w:r>
        <w:rPr>
          <w:bCs/>
          <w:b/>
        </w:rPr>
        <w:t xml:space="preserve">Jednak</w:t>
      </w:r>
      <w:r>
        <w:t xml:space="preserve"> </w:t>
      </w:r>
      <w:r>
        <w:t xml:space="preserve">analiza 66 wariantów, a właściwie całych 136, ujawnia następującą informację, zarazem zdumiewającą i znaczącą: tylko o dwóch właściwych wariantach można powiedzieć, że w jakikolwiek sposób zmieniają znaczenie — 4 i 122! Zanim jednak przyjrzę się im dokładniej, powinienem wspomnieć, że 1700 dzieli wariant z ℵ siedemnaście razy, z P</w:t>
      </w:r>
      <w:r>
        <w:rPr>
          <w:vertAlign w:val="superscript"/>
        </w:rPr>
        <w:t xml:space="preserve">66</w:t>
      </w:r>
      <w:r>
        <w:t xml:space="preserve"> </w:t>
      </w:r>
      <w:r>
        <w:t xml:space="preserve">i W po piętnaście razy, z A dziewięć razy, z B i D po osiem razy, lecz jak już argumentowałem, trudno twierdzić, że istnieje zależność, błędy po prostu popełniono niezależnie (z wyjątkiem nielicznych miejsc, w których występuje masowa zgodność).</w:t>
      </w:r>
    </w:p>
    <w:p>
      <w:pPr>
        <w:pStyle w:val="BodyText"/>
      </w:pPr>
      <w:r>
        <w:t xml:space="preserve">Przeanalizuję teraz pozycje 4 i 122. Czy miejscem, w którym Jan chrzcił, była Bitabara czy Betania? Niezależnie od tego, którą nazwę wybierzemy, nie znamy dokładnego miejsca poza tym, że znajdowało się po wschodniej stronie rzeki Jordan. (Mapy, które umieszczają je po zachodniej stronie, wprowadzają swoich czytelników w błąd). Kto od samego początku w Azji Mniejszej lub Europie znałby dokładne miejsce, niezależnie od jego nazwy? Wynika z tego, że wybór nazwy nie ma znaczenia dla istoty narracji, ważne jest</w:t>
      </w:r>
      <w:r>
        <w:t xml:space="preserve"> </w:t>
      </w:r>
      <w:r>
        <w:rPr>
          <w:u w:val="single"/>
        </w:rPr>
        <w:t xml:space="preserve">co się wydarzyło, a nie gdzie się wydarzyło</w:t>
      </w:r>
      <w:r>
        <w:t xml:space="preserve">.</w:t>
      </w:r>
    </w:p>
    <w:p>
      <w:pPr>
        <w:pStyle w:val="BodyText"/>
      </w:pPr>
      <w:r>
        <w:t xml:space="preserve">Czy Piłat powiedział: „Mamy zwyczaj”, czy „Macie zwyczaj” (122)? Poświadczenie manuskryptów na rzecz „wy” wynosi 80%. Ale naprawdę, jak Żydzi mogli mieć zwyczaj nakładający zobowiązanie na ich zdobywców? Trudno uwierzyć, by cesarski Rzym uwolnił więźnia na podstawie żądania Żydów, dlatego odczyt Rodziny 35 jest niewątpliwie poprawny. Niezależnie od tego wybór zaimka ma niewielkie znaczenie dla istoty narracji, którą jest to, że Żydzi wybrali Barabasza zamiast Jezusa.</w:t>
      </w:r>
    </w:p>
    <w:p>
      <w:pPr>
        <w:pStyle w:val="BodyText"/>
      </w:pPr>
      <w:r>
        <w:t xml:space="preserve">Chociaż jako przedstawiciel Rodziny 35 GA 1700 jest dość żałosny, mimo wszystko ktoś czytający 1700 w celach pobożnościowych nie zostałby w żadnym miejscu wprowadzony w błąd co do zamierzonego znaczenia! Twierdzę, że wniosek ten ma wielkie znaczenie. Pomimo 136 odstępstw 1700 jest adekwatną kopią Ewangelii Jana do wszystkich celów praktycznych. Co zatem ze wszystkimi tymi paskudnymi „nagromadzonymi błędami”, o których mówi przedmowa RSV? Uznaję możliwość, że 1700 może zawierać do 57 odziedziczonych błędów, błędów przejętych z egzemplarza, ponieważ jednak miałyby one niewielki wpływ albo nie miałyby żadnego wpływu na przekład na język angielski, nie odpowiadają celowi RSV przy wspominaniu o „nagromadzonych błędach”.</w:t>
      </w:r>
    </w:p>
    <w:p>
      <w:pPr>
        <w:pStyle w:val="BodyText"/>
      </w:pPr>
      <w:r>
        <w:t xml:space="preserve">Wracając do przedmowy RSV, zwracam teraz uwagę na ostatnie zdanie: „Posiadamy obecnie znacznie więcej starożytnych manuskryptów Nowego Testamentu i jesteśmy o wiele lepiej wyposażeni, by dążyć do odzyskania oryginalnych sformułowań tekstu greckiego”. Użycie czasownika „odzyskać” wskazuje, że uważali oryginalne sformułowania za zaginione. Powiązanie „o wiele lepiej wyposażeni” z „więcej starożytnych manuskryptów” wskazuje, że uznawali starsze za lepsze. Komitet, który opracował RSV, użył w istocie tekstu greckiego silnie opartego na Kodeksie Watykańskim i Synajskim. Dziesiątki lat wcześniej Herman C. Hoskier opublikował jednak</w:t>
      </w:r>
      <w:r>
        <w:t xml:space="preserve"> </w:t>
      </w:r>
      <w:r>
        <w:rPr>
          <w:iCs/>
          <w:i/>
        </w:rPr>
        <w:t xml:space="preserve">Codex B and its Allies, a Study and an Indictment</w:t>
      </w:r>
      <w:r>
        <w:t xml:space="preserve"> </w:t>
      </w:r>
      <w:r>
        <w:t xml:space="preserve">(Londyn: Bernard Quaritch, 2 tomy, 1914). Obiektywnie wykazał, że wymienione kodeksy nie są dobrymi kopiami. Komitet RSV najwyraźniej zignorował pracę Hoskiera. Powiedziałbym, że temu, kto napisał przedmowę RSV, brakowało uczciwości. Rzekome „nagromadzone błędy” były jedynie zasłoną dymną, która miała zwieść czytelnika i bronić użycia radykalnie odmiennego tekstu greckiego, tekstu zawierającego błędy rzeczowe i jawne sprzeczności, a także setki poważnych zmian. Powiedziałbym, że każdy, kto nadal wierzy zarzutom zawartym w cytacie z przedmowy RSV, w istocie przyjmuje</w:t>
      </w:r>
      <w:r>
        <w:t xml:space="preserve"> </w:t>
      </w:r>
      <w:r>
        <w:rPr>
          <w:bCs/>
          <w:b/>
        </w:rPr>
        <w:t xml:space="preserve">kaczki dziennikarskie</w:t>
      </w:r>
      <w:r>
        <w:t xml:space="preserve">.</w:t>
      </w:r>
    </w:p>
    <w:bookmarkEnd w:id="501"/>
    <w:bookmarkStart w:id="503" w:name="ocena-podstawowej-zasady"/>
    <w:p>
      <w:pPr>
        <w:pStyle w:val="Heading2"/>
      </w:pPr>
      <w:r>
        <w:t xml:space="preserve">Ocena „podstawowej zasady”</w:t>
      </w:r>
    </w:p>
    <w:p>
      <w:pPr>
        <w:pStyle w:val="FirstParagraph"/>
      </w:pPr>
      <w:r>
        <w:t xml:space="preserve">Każdy, kto studiuje krytykę tekstu Nowego Testamentu, napotka następujące stwierdzenie: podstawowa zasada krytyki tekstu brzmi: wybierz odczyt, który najlepiej wyjaśnia powstanie pozostałych (lub coś podobnego). Niewtajemniczony czytelnik prawdopodobnie nie dostrzeże, że stwierdzenie to zależy od pewnych założeń wstępnych (które mogą być błędne). Krytyka tekstu istnieje tylko w odniesieniu do tekstów, których oryginalne sformułowania uważa się za „zaginione”. Nikt nie prowadzi krytyki tekstu dzisiejszej gazety ani zeszłotygodniowego magazynu informacyjnego. Nikt nie prowadzi nawet krytyki tekstu King James Version z 1611 roku, ponieważ nadal mamy jej drukowane egzemplarze. Każdy obeznany z terenem wie, że przez ostatnich mniej więcej 140 lat świat akademicki był zdominowany przez pogląd, iż oryginalne sformułowania tekstu Nowego Testamentu rzeczywiście „zaginęły”. Pogląd ten opiera się wprost na teorii Horta. Teoria ta zaprzecza: 1) że pisma Nowego Testamentu były natchnione przez Boga, 2) że wczesny Kościół uznawał je za Pismo, 3) że otaczano je jakąkolwiek szczególną troską lub ochroną. W rezultacie, zanim przesądność i łatwowierność chrześcijan wyniosły pisma Nowego Testamentu do statusu „Pisma”, oryginalne sformułowania bezpowrotnie „zaginęły”, w tym sensie, że nikt nie wiedział, jakie były. Dlatego też, jak głosi teoria, nie można odzyskać oryginalnych sformułowań za pomocą obiektywnych kryteriów, odwołują się więc do kryteriów subiektywnych. (Dla każdego myślącego człowieka powinno być oczywiste, że stawia to krytyka ponad tekstem. Zauważ ponadto, że nie istnieje sposób, by wiedzieć, czy je znaleźli).</w:t>
      </w:r>
    </w:p>
    <w:p>
      <w:pPr>
        <w:pStyle w:val="BodyText"/>
      </w:pPr>
      <w:r>
        <w:t xml:space="preserve">Pogląd, że oryginalne sformułowania tekstu Nowego Testamentu „zaginęły”, odrzuca (albo przynajmniej ignoruje) dowody historyczne pokazujące, że przekaz pism Nowego Testamentu od początku był zasadniczo normalny. Pogląd ten odrzuca również zdecydowaną większość (90%-95%) zachowanych manuskryptów Nowego Testamentu reprezentujących tradycję bizantyjską.</w:t>
      </w:r>
      <w:r>
        <w:rPr>
          <w:rStyle w:val="FootnoteReference"/>
        </w:rPr>
        <w:footnoteReference w:id="502"/>
      </w:r>
      <w:r>
        <w:t xml:space="preserve"> </w:t>
      </w:r>
      <w:r>
        <w:t xml:space="preserve">Co pozostaje krytykom do pracy po uczynieniu tego? Pozostaje im garść stosunkowo wczesnych manuskryptów, które są tak odmienne, że nie można ich pogrupować. Nie tylko nie zgadzają się z większością, nie zgadzają się także między sobą. Przetrwały, ponieważ są tak złe, że nikt nie chciał ich używać. Nie mają ani „rodziców”, ani „dzieci”, co oznacza, że były prywatnymi wytworami, nie zaś uczciwymi kopiami, nie należą do linii przekazu.</w:t>
      </w:r>
    </w:p>
    <w:p>
      <w:pPr>
        <w:pStyle w:val="BodyText"/>
      </w:pPr>
      <w:r>
        <w:t xml:space="preserve">Co zatem robią krytycy, gdy tych kilka manuskryptów nie zgadza się między sobą? Pytają: który odczyt najlepiej wyjaśnia powstanie pozostałych? Jakich kryteriów używają, by dojść do wniosku? Zadają pytania takie jak te:</w:t>
      </w:r>
    </w:p>
    <w:p>
      <w:pPr>
        <w:numPr>
          <w:ilvl w:val="0"/>
          <w:numId w:val="1110"/>
        </w:numPr>
      </w:pPr>
      <w:r>
        <w:t xml:space="preserve">Który manuskrypt jest najstarszy?</w:t>
      </w:r>
    </w:p>
    <w:p>
      <w:pPr>
        <w:numPr>
          <w:ilvl w:val="0"/>
          <w:numId w:val="1110"/>
        </w:numPr>
      </w:pPr>
      <w:r>
        <w:t xml:space="preserve">Który manuskrypt jest „najlepszy”?</w:t>
      </w:r>
    </w:p>
    <w:p>
      <w:pPr>
        <w:numPr>
          <w:ilvl w:val="0"/>
          <w:numId w:val="1110"/>
        </w:numPr>
      </w:pPr>
      <w:r>
        <w:t xml:space="preserve">Który odczyt jest krótszy?</w:t>
      </w:r>
    </w:p>
    <w:p>
      <w:pPr>
        <w:numPr>
          <w:ilvl w:val="0"/>
          <w:numId w:val="1110"/>
        </w:numPr>
      </w:pPr>
      <w:r>
        <w:t xml:space="preserve">Który odczyt jest „trudniejszy”?</w:t>
      </w:r>
    </w:p>
    <w:p>
      <w:pPr>
        <w:numPr>
          <w:ilvl w:val="0"/>
          <w:numId w:val="1110"/>
        </w:numPr>
      </w:pPr>
      <w:r>
        <w:t xml:space="preserve">Który odczyt najlepiej zgadza się ze stylem i celem autora?</w:t>
      </w:r>
    </w:p>
    <w:p>
      <w:pPr>
        <w:pStyle w:val="FirstParagraph"/>
      </w:pPr>
      <w:r>
        <w:t xml:space="preserve">Pytanie 1) opiera się na analogii strumienia, którego woda będzie najczystsza u źródła, im większa odległość od źródła, tym więcej zanieczyszczeń będzie zawierać woda. W odniesieniu do manuskryptów Nowego Testamentu analogia ta jest jednak z pewnością fałszywa. Powszechnie uznaje się, że większość szkód poniesionych przez tekst Nowego Testamentu nastąpiła do roku 200, daty przypisywanej naszym najwcześniejszym manuskryptom o jakichkolwiek rozmiarach (P</w:t>
      </w:r>
      <w:r>
        <w:rPr>
          <w:vertAlign w:val="superscript"/>
        </w:rPr>
        <w:t xml:space="preserve">66</w:t>
      </w:r>
      <w:r>
        <w:t xml:space="preserve">). Nasze najwcześniejsze manuskrypty mogły być zatem pełne „szkód”.</w:t>
      </w:r>
    </w:p>
    <w:p>
      <w:pPr>
        <w:pStyle w:val="BodyText"/>
      </w:pPr>
      <w:r>
        <w:t xml:space="preserve">Pytanie 2): na ogół ogłaszają Kodeks B (Watykański, 03) „najlepszym” zachowanym manuskryptem. Na czym opierają swoje twierdzenie? Hort na podstawie swoich subiektywnych preferencji (łącznie z wczesną datą) ogłosił B zdecydowanie „najlepszym” manuskryptem, a późniejsi krytycy na ogół podporządkowali się temu dictum. Czy istnieje jednak jakaś obiektywna podstawa tego twierdzenia? O ile mi wiadomo, nie istnieje, dostępne obiektywne dowody mówią coś przeciwnego. (Moja ocena odnosi się także do wszystkich pozostałych wczesnych manuskryptów).</w:t>
      </w:r>
    </w:p>
    <w:p>
      <w:pPr>
        <w:pStyle w:val="BodyText"/>
      </w:pPr>
      <w:r>
        <w:t xml:space="preserve">Pytania 3) i 4) są całkowicie naturalistyczne, wykluczają jakiekolwiek rozważania teologiczne czy nadprzyrodzone. Hort przeniósł je z procedury aleksandryjskiej szkoły służącej ustaleniu oryginalnych sformułowań Homera. Każdy, kto skolacjonował jakąkolwiek liczbę manuskryptów Nowego Testamentu, jak uczyniłem to ja, wie, że kryteria te są fałszywe. W odniesieniu do Nowego Testamentu kryterium „trudniejszego” odczytu jest w oczywisty sposób przewrotne.</w:t>
      </w:r>
    </w:p>
    <w:p>
      <w:pPr>
        <w:pStyle w:val="BodyText"/>
      </w:pPr>
      <w:r>
        <w:t xml:space="preserve">Pytanie 5) jest całkowicie subiektywne, zależne od kaprysu krytyka, jego uprzedzenia, orientacji teoretycznej, osobistej przewrotności czy czegokolwiek innego. Kryterium to jest nie do przyjęcia już na pierwszy rzut oka. Dlaczego jakiemukolwiek słudze Szatana miałoby się pozwalać ustalać sformułowania Tekstu na podstawie jego osobistych preferencji?</w:t>
      </w:r>
    </w:p>
    <w:p>
      <w:pPr>
        <w:pStyle w:val="BodyText"/>
      </w:pPr>
      <w:r>
        <w:t xml:space="preserve">Każdy, kto szanuje obiektywne dowody, powinien odrzucić pięć omówionych wyżej kryteriów. Każdy, kto szanuje obiektywne dowody, powinien rozumieć, że przekaz Tekstu Nowego Testamentu był zasadniczo normalny i że masie zachowanych manuskryptów należy się należny jej szacunek. Wszystkie zachowane manuskrypty zasługują na skolacjonowanie, co pozwoli nam pogrupować je empirycznie. Empirycznie zdefiniowane rodziny trzeba następnie porównać i ocenić. Kaczka dziennikarska: „manuskrypty należy ważyć, a nie liczyć”, jest wykrętem.</w:t>
      </w:r>
    </w:p>
    <w:bookmarkEnd w:id="503"/>
    <w:bookmarkStart w:id="513" w:name="X09968b1681931da011a246d7f4596e729af125f"/>
    <w:p>
      <w:pPr>
        <w:pStyle w:val="Heading2"/>
      </w:pPr>
      <w:r>
        <w:t xml:space="preserve">Podgrupy</w:t>
      </w:r>
      <w:r>
        <w:t xml:space="preserve"> </w:t>
      </w:r>
      <w:r>
        <w:rPr>
          <w:bCs/>
          <w:b/>
        </w:rPr>
        <w:t xml:space="preserve">f</w:t>
      </w:r>
      <w:r>
        <w:rPr>
          <w:vertAlign w:val="superscript"/>
          <w:bCs/>
          <w:b/>
        </w:rPr>
        <w:t xml:space="preserve">35</w:t>
      </w:r>
      <w:r>
        <w:t xml:space="preserve"> </w:t>
      </w:r>
      <w:r>
        <w:t xml:space="preserve">w Listach Ogólnych</w:t>
      </w:r>
      <w:r>
        <w:rPr>
          <w:rStyle w:val="FootnoteReference"/>
        </w:rPr>
        <w:footnoteReference w:id="504"/>
      </w:r>
    </w:p>
    <w:p>
      <w:pPr>
        <w:pStyle w:val="BodyText"/>
      </w:pPr>
      <w:r>
        <w:t xml:space="preserve">W czterech większych księgach istnieje czternaście znaczących podziałów w Rodzinie (w trzech krótszych nie ma żadnego), jak następuje: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Miejsce</w:t>
            </w:r>
          </w:p>
        </w:tc>
        <w:tc>
          <w:tcPr/>
          <w:p>
            <w:pPr>
              <w:pStyle w:val="Compact"/>
              <w:jc w:val="left"/>
            </w:pPr>
            <w:r>
              <w:t xml:space="preserve">Odczyty</w:t>
            </w:r>
          </w:p>
        </w:tc>
      </w:tr>
      <w:tr>
        <w:tc>
          <w:tcPr/>
          <w:p>
            <w:pPr>
              <w:pStyle w:val="Compact"/>
              <w:jc w:val="left"/>
            </w:pPr>
            <w:r>
              <w:t xml:space="preserve">List Jakuba 2,13</w:t>
            </w:r>
          </w:p>
        </w:tc>
        <w:tc>
          <w:tcPr/>
          <w:p>
            <w:pPr>
              <w:pStyle w:val="Compact"/>
              <w:jc w:val="left"/>
            </w:pPr>
            <w:r>
              <w:t xml:space="preserve">ελεον 432</w:t>
            </w:r>
            <w:r>
              <w:rPr>
                <w:vertAlign w:val="superscript"/>
              </w:rPr>
              <w:t xml:space="preserve">alt</w:t>
            </w:r>
            <w:r>
              <w:t xml:space="preserve">, 1766</w:t>
            </w:r>
            <w:r>
              <w:rPr>
                <w:vertAlign w:val="superscript"/>
              </w:rPr>
              <w:t xml:space="preserve">c</w:t>
            </w:r>
            <w:r>
              <w:t xml:space="preserve">ελεος 328, 394 {432, 604}</w:t>
            </w:r>
            <w:r>
              <w:rPr>
                <w:rStyle w:val="FootnoteReference"/>
              </w:rPr>
              <w:footnoteReference w:id="505"/>
            </w:r>
            <w:r>
              <w:t xml:space="preserve"> </w:t>
            </w:r>
            <w:r>
              <w:t xml:space="preserve">634, 664, 928, 986, 1247, 1249, 1482, 1548, 1619</w:t>
            </w:r>
            <w:r>
              <w:rPr>
                <w:vertAlign w:val="superscript"/>
              </w:rPr>
              <w:t xml:space="preserve">c</w:t>
            </w:r>
            <w:r>
              <w:t xml:space="preserve">, 1636, 1725, 1732</w:t>
            </w:r>
            <w:r>
              <w:rPr>
                <w:vertAlign w:val="superscript"/>
              </w:rPr>
              <w:t xml:space="preserve">alt</w:t>
            </w:r>
            <w:r>
              <w:t xml:space="preserve">, 1749, 1752, 1766, 1897, 2080, 2221, 2289, 2587, 2704</w:t>
            </w:r>
          </w:p>
        </w:tc>
      </w:tr>
      <w:tr>
        <w:tc>
          <w:tcPr/>
          <w:p>
            <w:pPr>
              <w:pStyle w:val="Compact"/>
              <w:jc w:val="left"/>
            </w:pPr>
            <w:r>
              <w:t xml:space="preserve">List Jakuba 2,14</w:t>
            </w:r>
          </w:p>
        </w:tc>
        <w:tc>
          <w:tcPr/>
          <w:p>
            <w:pPr>
              <w:pStyle w:val="Compact"/>
              <w:jc w:val="left"/>
            </w:pPr>
            <w:r>
              <w:t xml:space="preserve">εχει</w:t>
            </w:r>
            <w:r>
              <w:t xml:space="preserve">εχη 141, 328, 386, 394, 604, 634, 664, 801, 928, 986, 1075, 1247, 1249, 1250, 1482, 1508, 1548, 1656, 1704, 1737, 1746, 1748, 1749, 1752, 1766, 1855, 1876, 1899, 2218, 2221, 2289, 2431, 2501, 2587, 2626, 2704</w:t>
            </w:r>
          </w:p>
        </w:tc>
      </w:tr>
      <w:tr>
        <w:tc>
          <w:tcPr/>
          <w:p>
            <w:pPr>
              <w:pStyle w:val="Compact"/>
              <w:jc w:val="left"/>
            </w:pPr>
            <w:r>
              <w:t xml:space="preserve">1 List Piotra 1,23</w:t>
            </w:r>
          </w:p>
        </w:tc>
        <w:tc>
          <w:tcPr/>
          <w:p>
            <w:pPr>
              <w:pStyle w:val="Compact"/>
              <w:jc w:val="left"/>
            </w:pPr>
            <w:r>
              <w:t xml:space="preserve">αλλ</w:t>
            </w:r>
            <w:r>
              <w:t xml:space="preserve">αλλα {149, 201} {432, 604} 757, 824, 1072, 1075, 1248, 1250, 1503, 1548, 1617, 1618, 1619, 1628, 1636, 1637, 1656, 1740, 1745, 1746, 1748, 1754, 1763, 1768, 1864, 1892, 2352, 2431, 2777</w:t>
            </w:r>
          </w:p>
        </w:tc>
      </w:tr>
      <w:tr>
        <w:tc>
          <w:tcPr/>
          <w:p>
            <w:pPr>
              <w:pStyle w:val="Compact"/>
              <w:jc w:val="left"/>
            </w:pPr>
            <w:r>
              <w:t xml:space="preserve">1 List Piotra 2,11</w:t>
            </w:r>
          </w:p>
        </w:tc>
        <w:tc>
          <w:tcPr/>
          <w:p>
            <w:pPr>
              <w:pStyle w:val="Compact"/>
              <w:jc w:val="left"/>
            </w:pPr>
            <w:r>
              <w:t xml:space="preserve">απεχεσθαι 1072</w:t>
            </w:r>
            <w:r>
              <w:rPr>
                <w:vertAlign w:val="superscript"/>
              </w:rPr>
              <w:t xml:space="preserve">alt</w:t>
            </w:r>
            <w:r>
              <w:t xml:space="preserve">απεχεσθε {149, 201} 204, 604</w:t>
            </w:r>
            <w:r>
              <w:rPr>
                <w:vertAlign w:val="superscript"/>
              </w:rPr>
              <w:t xml:space="preserve">c</w:t>
            </w:r>
            <w:r>
              <w:t xml:space="preserve">, 757</w:t>
            </w:r>
            <w:r>
              <w:rPr>
                <w:vertAlign w:val="superscript"/>
              </w:rPr>
              <w:t xml:space="preserve">alt</w:t>
            </w:r>
            <w:r>
              <w:t xml:space="preserve">, 824, 1072, 1248, 1503</w:t>
            </w:r>
            <w:r>
              <w:rPr>
                <w:vertAlign w:val="superscript"/>
              </w:rPr>
              <w:t xml:space="preserve">c</w:t>
            </w:r>
            <w:r>
              <w:t xml:space="preserve">, 1548, 1617, 1618, 1619</w:t>
            </w:r>
            <w:r>
              <w:rPr>
                <w:vertAlign w:val="superscript"/>
              </w:rPr>
              <w:t xml:space="preserve">alt</w:t>
            </w:r>
            <w:r>
              <w:t xml:space="preserve">, 1628</w:t>
            </w:r>
            <w:r>
              <w:rPr>
                <w:vertAlign w:val="superscript"/>
              </w:rPr>
              <w:t xml:space="preserve">alt</w:t>
            </w:r>
            <w:r>
              <w:t xml:space="preserve">, 1637</w:t>
            </w:r>
            <w:r>
              <w:rPr>
                <w:vertAlign w:val="superscript"/>
              </w:rPr>
              <w:t xml:space="preserve">c</w:t>
            </w:r>
            <w:r>
              <w:t xml:space="preserve">, 1745</w:t>
            </w:r>
            <w:r>
              <w:rPr>
                <w:vertAlign w:val="superscript"/>
              </w:rPr>
              <w:t xml:space="preserve">alt</w:t>
            </w:r>
            <w:r>
              <w:t xml:space="preserve">, 1746, 1748, 1864</w:t>
            </w:r>
            <w:r>
              <w:rPr>
                <w:vertAlign w:val="superscript"/>
              </w:rPr>
              <w:t xml:space="preserve">alt</w:t>
            </w:r>
            <w:r>
              <w:t xml:space="preserve">, 1899, 2352, 2431, 2704, 2777</w:t>
            </w:r>
          </w:p>
        </w:tc>
      </w:tr>
      <w:tr>
        <w:tc>
          <w:tcPr/>
          <w:p>
            <w:pPr>
              <w:pStyle w:val="Compact"/>
              <w:jc w:val="left"/>
            </w:pPr>
            <w:r>
              <w:t xml:space="preserve">1 List Piotra 2,24</w:t>
            </w:r>
          </w:p>
        </w:tc>
        <w:tc>
          <w:tcPr/>
          <w:p>
            <w:pPr>
              <w:pStyle w:val="Compact"/>
              <w:jc w:val="left"/>
            </w:pPr>
            <w:r>
              <w:t xml:space="preserve">απογενομενοι</w:t>
            </w:r>
            <w:r>
              <w:t xml:space="preserve">απογεννωμενοι (328)</w:t>
            </w:r>
            <w:r>
              <w:rPr>
                <w:rStyle w:val="FootnoteReference"/>
              </w:rPr>
              <w:footnoteReference w:id="506"/>
            </w:r>
            <w:r>
              <w:t xml:space="preserve"> </w:t>
            </w:r>
            <w:r>
              <w:t xml:space="preserve">394 {432 (604)} 664, 928, 986, 1247, 1249, 1482, 1508, 1548, 1752, 1763, 1766, 1768, 1855, 2289, 2587 (2704)</w:t>
            </w:r>
          </w:p>
        </w:tc>
      </w:tr>
      <w:tr>
        <w:tc>
          <w:tcPr/>
          <w:p>
            <w:pPr>
              <w:pStyle w:val="Compact"/>
              <w:jc w:val="left"/>
            </w:pPr>
            <w:r>
              <w:t xml:space="preserve">1 List Piotra 3,6</w:t>
            </w:r>
          </w:p>
        </w:tc>
        <w:tc>
          <w:tcPr/>
          <w:p>
            <w:pPr>
              <w:pStyle w:val="Compact"/>
              <w:jc w:val="left"/>
            </w:pPr>
            <w:r>
              <w:t xml:space="preserve">εγενηθητε 1766</w:t>
            </w:r>
            <w:r>
              <w:rPr>
                <w:vertAlign w:val="superscript"/>
              </w:rPr>
              <w:t xml:space="preserve">v</w:t>
            </w:r>
            <w:r>
              <w:t xml:space="preserve">εγεννηθητε 604, 664, 801, 1247, 1250, 1618, 1637, 1732, 1748, 1752, 1763, 1876, 1899, 2289, 2431, 2587, 2626, 2704, 2777</w:t>
            </w:r>
          </w:p>
        </w:tc>
      </w:tr>
      <w:tr>
        <w:tc>
          <w:tcPr/>
          <w:p>
            <w:pPr>
              <w:pStyle w:val="Compact"/>
              <w:jc w:val="left"/>
            </w:pPr>
            <w:r>
              <w:t xml:space="preserve">1 List Piotra 4,2</w:t>
            </w:r>
          </w:p>
        </w:tc>
        <w:tc>
          <w:tcPr/>
          <w:p>
            <w:pPr>
              <w:pStyle w:val="Compact"/>
              <w:jc w:val="left"/>
            </w:pPr>
            <w:r>
              <w:t xml:space="preserve">του 2261</w:t>
            </w:r>
            <w:r>
              <w:rPr>
                <w:vertAlign w:val="superscript"/>
              </w:rPr>
              <w:t xml:space="preserve">c</w:t>
            </w:r>
            <w:r>
              <w:t xml:space="preserve">--- {149, 201} {432, 604} 757, 824, 1072, 1075, 1101, 1248, 1503, 1508</w:t>
            </w:r>
            <w:r>
              <w:rPr>
                <w:vertAlign w:val="superscript"/>
              </w:rPr>
              <w:t xml:space="preserve">c</w:t>
            </w:r>
            <w:r>
              <w:t xml:space="preserve">, 1548, 1617, 1618, 1619, 1628, 1636, 1637, 1656, 1737, 1740, 1745, 1746, 1748, 1754, 1761, 1766, 1768, 1864, 1892, 1899, 2218, 2261, 2352, 2431, 2501, 2777</w:t>
            </w:r>
          </w:p>
        </w:tc>
      </w:tr>
      <w:tr>
        <w:tc>
          <w:tcPr/>
          <w:p>
            <w:pPr>
              <w:pStyle w:val="Compact"/>
              <w:jc w:val="left"/>
            </w:pPr>
            <w:r>
              <w:t xml:space="preserve">1 List Piotra 4,11</w:t>
            </w:r>
          </w:p>
        </w:tc>
        <w:tc>
          <w:tcPr/>
          <w:p>
            <w:pPr>
              <w:pStyle w:val="Compact"/>
              <w:jc w:val="left"/>
            </w:pPr>
            <w:r>
              <w:t xml:space="preserve">ως 1748</w:t>
            </w:r>
            <w:r>
              <w:rPr>
                <w:vertAlign w:val="superscript"/>
              </w:rPr>
              <w:t xml:space="preserve">?</w:t>
            </w:r>
            <w:r>
              <w:t xml:space="preserve">ης 141</w:t>
            </w:r>
            <w:r>
              <w:rPr>
                <w:vertAlign w:val="superscript"/>
              </w:rPr>
              <w:t xml:space="preserve">c</w:t>
            </w:r>
            <w:r>
              <w:t xml:space="preserve"> </w:t>
            </w:r>
            <w:r>
              <w:t xml:space="preserve">{149, 201} {432, 604} 757, 824, 1072, 1075, 1248, 1503, 1508, 1617, 1618, 1619, 1628, 1636, 1637, 1656, 1737, 1740, 1745, 1746, 1754, 1864, 1892, 2218, 2352, 2431, 2777</w:t>
            </w:r>
          </w:p>
        </w:tc>
      </w:tr>
      <w:tr>
        <w:tc>
          <w:tcPr/>
          <w:p>
            <w:pPr>
              <w:pStyle w:val="Compact"/>
              <w:jc w:val="left"/>
            </w:pPr>
            <w:r>
              <w:t xml:space="preserve">1 List Piotra 5,7</w:t>
            </w:r>
          </w:p>
        </w:tc>
        <w:tc>
          <w:tcPr/>
          <w:p>
            <w:pPr>
              <w:pStyle w:val="Compact"/>
              <w:jc w:val="left"/>
            </w:pPr>
            <w:r>
              <w:t xml:space="preserve">μελει 824</w:t>
            </w:r>
            <w:r>
              <w:rPr>
                <w:vertAlign w:val="superscript"/>
              </w:rPr>
              <w:t xml:space="preserve">c</w:t>
            </w:r>
            <w:r>
              <w:t xml:space="preserve">, 1726</w:t>
            </w:r>
            <w:r>
              <w:rPr>
                <w:vertAlign w:val="superscript"/>
              </w:rPr>
              <w:t xml:space="preserve">c</w:t>
            </w:r>
            <w:r>
              <w:t xml:space="preserve">μελλει 141 {432, 604} 801, 824, 986, 1247, 1248, 1249, 1250, 1508, 1617, 1726, 1748, 1752, 1763, 1768, 1876, 1892, 1899, 2261, 2352, 2431, 2501, 2626</w:t>
            </w:r>
          </w:p>
        </w:tc>
      </w:tr>
      <w:tr>
        <w:tc>
          <w:tcPr/>
          <w:p>
            <w:pPr>
              <w:pStyle w:val="Compact"/>
              <w:jc w:val="left"/>
            </w:pPr>
            <w:r>
              <w:t xml:space="preserve">1 List Piotra 5,8</w:t>
            </w:r>
          </w:p>
        </w:tc>
        <w:tc>
          <w:tcPr/>
          <w:p>
            <w:pPr>
              <w:pStyle w:val="Compact"/>
              <w:jc w:val="left"/>
            </w:pPr>
            <w:r>
              <w:t xml:space="preserve">καταπιειν 394</w:t>
            </w:r>
            <w:r>
              <w:rPr>
                <w:vertAlign w:val="superscript"/>
              </w:rPr>
              <w:t xml:space="preserve">c</w:t>
            </w:r>
            <w:r>
              <w:t xml:space="preserve">καταπιη 328, 394, 604, 664, 928, 986, 1075, 1247, 1249, 1482</w:t>
            </w:r>
            <w:r>
              <w:rPr>
                <w:vertAlign w:val="superscript"/>
              </w:rPr>
              <w:t xml:space="preserve">v</w:t>
            </w:r>
            <w:r>
              <w:t xml:space="preserve">, 1508, 1737, 1748, 1749, 1752, 1761, 1763, 1766, 1855, 1892</w:t>
            </w:r>
            <w:r>
              <w:rPr>
                <w:vertAlign w:val="superscript"/>
              </w:rPr>
              <w:t xml:space="preserve">c</w:t>
            </w:r>
            <w:r>
              <w:t xml:space="preserve">, 1899, 2218, 2221</w:t>
            </w:r>
            <w:r>
              <w:rPr>
                <w:vertAlign w:val="superscript"/>
              </w:rPr>
              <w:t xml:space="preserve">c</w:t>
            </w:r>
            <w:r>
              <w:t xml:space="preserve">, 2255</w:t>
            </w:r>
            <w:r>
              <w:rPr>
                <w:vertAlign w:val="superscript"/>
              </w:rPr>
              <w:t xml:space="preserve">v</w:t>
            </w:r>
            <w:r>
              <w:t xml:space="preserve">, 2289, 2431, 2587</w:t>
            </w:r>
            <w:r>
              <w:rPr>
                <w:vertAlign w:val="superscript"/>
              </w:rPr>
              <w:t xml:space="preserve">c</w:t>
            </w:r>
            <w:r>
              <w:t xml:space="preserve">, 2704</w:t>
            </w:r>
          </w:p>
        </w:tc>
      </w:tr>
      <w:tr>
        <w:tc>
          <w:tcPr/>
          <w:p>
            <w:pPr>
              <w:pStyle w:val="Compact"/>
              <w:jc w:val="left"/>
            </w:pPr>
            <w:r>
              <w:t xml:space="preserve">2 List Piotra 2,14</w:t>
            </w:r>
          </w:p>
        </w:tc>
        <w:tc>
          <w:tcPr/>
          <w:p>
            <w:pPr>
              <w:pStyle w:val="Compact"/>
              <w:jc w:val="left"/>
            </w:pPr>
            <w:r>
              <w:t xml:space="preserve">πλεονεξιας</w:t>
            </w:r>
            <w:r>
              <w:t xml:space="preserve">πλεονεξιαν 394, 664, 801, 928, 1249, 1250, 1482, 1508, 1726, 1749, 1763, 1855, 1876, 2261, 2289, 2378, 2587, 2626, 2704</w:t>
            </w:r>
            <w:r>
              <w:rPr>
                <w:vertAlign w:val="superscript"/>
              </w:rPr>
              <w:t xml:space="preserve">v</w:t>
            </w:r>
          </w:p>
        </w:tc>
      </w:tr>
      <w:tr>
        <w:tc>
          <w:tcPr/>
          <w:p>
            <w:pPr>
              <w:pStyle w:val="Compact"/>
              <w:jc w:val="left"/>
            </w:pPr>
            <w:r>
              <w:t xml:space="preserve">2 List Piotra 3,3</w:t>
            </w:r>
          </w:p>
        </w:tc>
        <w:tc>
          <w:tcPr/>
          <w:p>
            <w:pPr>
              <w:pStyle w:val="Compact"/>
              <w:jc w:val="left"/>
            </w:pPr>
            <w:r>
              <w:t xml:space="preserve">γινωσκοντες</w:t>
            </w:r>
            <w:r>
              <w:t xml:space="preserve">γινωσκοντας 328, 394, 664, 928, 1247, 1249, 1482, 1508, 1749, 1752, 1855, 2255, 2289, 2587, 2704</w:t>
            </w:r>
          </w:p>
        </w:tc>
      </w:tr>
      <w:tr>
        <w:tc>
          <w:tcPr/>
          <w:p>
            <w:pPr>
              <w:pStyle w:val="Compact"/>
              <w:jc w:val="left"/>
            </w:pPr>
            <w:r>
              <w:t xml:space="preserve">1 List Jana 1,6</w:t>
            </w:r>
          </w:p>
        </w:tc>
        <w:tc>
          <w:tcPr/>
          <w:p>
            <w:pPr>
              <w:pStyle w:val="Compact"/>
              <w:jc w:val="left"/>
            </w:pPr>
            <w:r>
              <w:t xml:space="preserve">περιπατουμεν 18, 35, 141, 204, 386, 801, 824, 1100, 1101, 1250, 1636, 1704, 1725, 1726, 1732, 1733, 1754, 1761, 1858, 1865, 1876, 1897, 2080, 2221, 2261 [2378] 2466, 2554, 2626, 2723</w:t>
            </w:r>
            <w:r>
              <w:rPr>
                <w:rStyle w:val="FootnoteReference"/>
              </w:rPr>
              <w:footnoteReference w:id="507"/>
            </w:r>
            <w:r>
              <w:t xml:space="preserve">περιπατωμεν {149, 201} 328, 394 {432, 604} 634 (664) 757, 928, 986, 1072, 1075, 1247, 1248, 1249, 1482, 1503, 1508, 1548, 1617, 1618, 1619, 1628, 1637, 1656, 1737, 1740, 1745, 1748, 1749, 1752, 1763, 1766, 1768, 1855, 1864, 1892, 2218, 2255, 2289, 2352, 2431, 2501, 2587, 2704, 2777</w:t>
            </w:r>
          </w:p>
        </w:tc>
      </w:tr>
      <w:tr>
        <w:tc>
          <w:tcPr/>
          <w:p>
            <w:pPr>
              <w:pStyle w:val="Compact"/>
              <w:jc w:val="left"/>
            </w:pPr>
            <w:r>
              <w:t xml:space="preserve">1 List Jana 4,20</w:t>
            </w:r>
          </w:p>
        </w:tc>
        <w:tc>
          <w:tcPr/>
          <w:p>
            <w:pPr>
              <w:pStyle w:val="Compact"/>
              <w:jc w:val="left"/>
            </w:pPr>
            <w:r>
              <w:t xml:space="preserve">μισει</w:t>
            </w:r>
            <w:r>
              <w:t xml:space="preserve">μιση 328, 386, 394, 604, 634, 928, 1247, 1249, 1482, 1508, 1548, 1704, 1749, 1752, 1763, 1766, 1855, 2255, 2289, 2587, 2704</w:t>
            </w:r>
          </w:p>
        </w:tc>
      </w:tr>
    </w:tbl>
    <w:bookmarkStart w:id="512" w:name="X32f55039a9581ace38a35ae0ace4b9a1f9a6d41"/>
    <w:p>
      <w:pPr>
        <w:pStyle w:val="Heading3"/>
      </w:pPr>
      <w:r>
        <w:t xml:space="preserve">Dzielą się na dwie znaczące podgrupy, jak następuje</w:t>
      </w:r>
    </w:p>
    <w:bookmarkStart w:id="508" w:name="grupa-1"/>
    <w:p>
      <w:pPr>
        <w:pStyle w:val="Heading4"/>
      </w:pPr>
      <w:r>
        <w:t xml:space="preserve">Grupa 1</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Vatopediu</w:t>
            </w:r>
          </w:p>
        </w:tc>
        <w:tc>
          <w:tcPr/>
          <w:p>
            <w:pPr>
              <w:pStyle w:val="Compact"/>
              <w:jc w:val="left"/>
            </w:pPr>
            <w:r>
              <w:t xml:space="preserve">XII</w:t>
            </w:r>
          </w:p>
        </w:tc>
      </w:tr>
      <w:tr>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Meteora</w:t>
            </w:r>
          </w:p>
        </w:tc>
        <w:tc>
          <w:tcPr/>
          <w:p>
            <w:pPr>
              <w:pStyle w:val="Compact"/>
              <w:jc w:val="left"/>
            </w:pPr>
            <w:r>
              <w:t xml:space="preserve">XV</w:t>
            </w:r>
          </w:p>
        </w:tc>
      </w:tr>
      <w:tr>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w:t>
            </w:r>
          </w:p>
        </w:tc>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Vallicelliana</w:t>
            </w:r>
          </w:p>
        </w:tc>
        <w:tc>
          <w:tcPr/>
          <w:p>
            <w:pPr>
              <w:pStyle w:val="Compact"/>
              <w:jc w:val="left"/>
            </w:pPr>
            <w:r>
              <w:t xml:space="preserve">1330</w:t>
            </w:r>
          </w:p>
        </w:tc>
      </w:tr>
      <w:tr>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w:t>
            </w:r>
          </w:p>
        </w:tc>
        <w:tc>
          <w:tcPr/>
          <w:p>
            <w:pPr>
              <w:pStyle w:val="Compact"/>
              <w:jc w:val="left"/>
            </w:pPr>
            <w:r>
              <w:t xml:space="preserve">Zittau</w:t>
            </w:r>
          </w:p>
        </w:tc>
        <w:tc>
          <w:tcPr/>
          <w:p>
            <w:pPr>
              <w:pStyle w:val="Compact"/>
              <w:jc w:val="left"/>
            </w:pPr>
            <w:r>
              <w:t xml:space="preserve">XV</w:t>
            </w:r>
          </w:p>
        </w:tc>
      </w:tr>
      <w:tr>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w:t>
            </w:r>
          </w:p>
        </w:tc>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Dionysiu</w:t>
            </w:r>
          </w:p>
        </w:tc>
        <w:tc>
          <w:tcPr/>
          <w:p>
            <w:pPr>
              <w:pStyle w:val="Compact"/>
              <w:jc w:val="left"/>
            </w:pPr>
            <w:r>
              <w:t xml:space="preserve">1304</w:t>
            </w:r>
          </w:p>
        </w:tc>
      </w:tr>
      <w:tr>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Synaj</w:t>
            </w:r>
          </w:p>
        </w:tc>
        <w:tc>
          <w:tcPr/>
          <w:p>
            <w:pPr>
              <w:pStyle w:val="Compact"/>
              <w:jc w:val="left"/>
            </w:pPr>
            <w:r>
              <w:t xml:space="preserve">1324</w:t>
            </w:r>
          </w:p>
        </w:tc>
      </w:tr>
      <w:tr>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M Lavras</w:t>
            </w:r>
          </w:p>
        </w:tc>
        <w:tc>
          <w:tcPr/>
          <w:p>
            <w:pPr>
              <w:pStyle w:val="Compact"/>
              <w:jc w:val="left"/>
            </w:pPr>
            <w:r>
              <w:t xml:space="preserve">1304</w:t>
            </w:r>
          </w:p>
        </w:tc>
      </w:tr>
      <w:tr>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Panteleimonos</w:t>
            </w:r>
          </w:p>
        </w:tc>
        <w:tc>
          <w:tcPr/>
          <w:p>
            <w:pPr>
              <w:pStyle w:val="Compact"/>
              <w:jc w:val="left"/>
            </w:pPr>
            <w:r>
              <w:t xml:space="preserve">XII</w:t>
            </w:r>
          </w:p>
        </w:tc>
      </w:tr>
      <w:tr>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Watykan</w:t>
            </w:r>
          </w:p>
        </w:tc>
        <w:tc>
          <w:tcPr/>
          <w:p>
            <w:pPr>
              <w:pStyle w:val="Compact"/>
              <w:jc w:val="left"/>
            </w:pPr>
            <w:r>
              <w:t xml:space="preserve">XI</w:t>
            </w:r>
          </w:p>
        </w:tc>
      </w:tr>
      <w:tr>
        <w:tc>
          <w:tcPr/>
          <w:p>
            <w:pPr>
              <w:pStyle w:val="Compact"/>
              <w:jc w:val="left"/>
            </w:pPr>
            <w:r>
              <w:t xml:space="preserve">328</w:t>
            </w:r>
          </w:p>
        </w:tc>
        <w:tc>
          <w:tcPr/>
          <w:p>
            <w:pPr>
              <w:pStyle w:val="Compact"/>
              <w:jc w:val="left"/>
            </w:pPr>
            <w:r>
              <w:t xml:space="preserve">328</w:t>
            </w:r>
          </w:p>
        </w:tc>
        <w:tc>
          <w:tcPr/>
          <w:p>
            <w:pPr>
              <w:pStyle w:val="Compact"/>
              <w:jc w:val="left"/>
            </w:pPr>
            <w:r>
              <w:t xml:space="preserve">(328)</w:t>
            </w:r>
          </w:p>
        </w:tc>
        <w:tc>
          <w:tcPr/>
          <w:p>
            <w:pPr>
              <w:pStyle w:val="Compact"/>
              <w:jc w:val="left"/>
            </w:pPr>
            <w:r>
              <w:t xml:space="preserve">---</w:t>
            </w:r>
          </w:p>
        </w:tc>
        <w:tc>
          <w:tcPr/>
          <w:p>
            <w:pPr>
              <w:pStyle w:val="Compact"/>
              <w:jc w:val="left"/>
            </w:pPr>
            <w:r>
              <w:t xml:space="preserve">328</w:t>
            </w:r>
          </w:p>
        </w:tc>
        <w:tc>
          <w:tcPr/>
          <w:p>
            <w:pPr>
              <w:pStyle w:val="Compact"/>
              <w:jc w:val="left"/>
            </w:pPr>
            <w:r>
              <w:t xml:space="preserve">---</w:t>
            </w:r>
          </w:p>
        </w:tc>
        <w:tc>
          <w:tcPr/>
          <w:p>
            <w:pPr>
              <w:pStyle w:val="Compact"/>
              <w:jc w:val="left"/>
            </w:pPr>
            <w:r>
              <w:t xml:space="preserve">328</w:t>
            </w:r>
          </w:p>
        </w:tc>
        <w:tc>
          <w:tcPr/>
          <w:p>
            <w:pPr>
              <w:pStyle w:val="Compact"/>
              <w:jc w:val="left"/>
            </w:pPr>
            <w:r>
              <w:t xml:space="preserve">328</w:t>
            </w:r>
          </w:p>
        </w:tc>
        <w:tc>
          <w:tcPr/>
          <w:p>
            <w:pPr>
              <w:pStyle w:val="Compact"/>
              <w:jc w:val="left"/>
            </w:pPr>
            <w:r>
              <w:t xml:space="preserve">Lejda</w:t>
            </w:r>
          </w:p>
        </w:tc>
        <w:tc>
          <w:tcPr/>
          <w:p>
            <w:pPr>
              <w:pStyle w:val="Compact"/>
              <w:jc w:val="left"/>
            </w:pPr>
            <w:r>
              <w:t xml:space="preserve">XIII</w:t>
            </w:r>
          </w:p>
        </w:tc>
      </w:tr>
      <w:tr>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w:t>
            </w:r>
          </w:p>
        </w:tc>
        <w:tc>
          <w:tcPr/>
          <w:p>
            <w:pPr>
              <w:pStyle w:val="Compact"/>
              <w:jc w:val="left"/>
            </w:pPr>
            <w:r>
              <w:t xml:space="preserve">---</w:t>
            </w:r>
          </w:p>
        </w:tc>
        <w:tc>
          <w:tcPr/>
          <w:p>
            <w:pPr>
              <w:pStyle w:val="Compact"/>
              <w:jc w:val="left"/>
            </w:pPr>
            <w:r>
              <w:t xml:space="preserve">604</w:t>
            </w:r>
          </w:p>
        </w:tc>
        <w:tc>
          <w:tcPr/>
          <w:p>
            <w:pPr>
              <w:pStyle w:val="Compact"/>
              <w:jc w:val="left"/>
            </w:pPr>
            <w:r>
              <w:t xml:space="preserve">Paryż</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1749</w:t>
            </w:r>
          </w:p>
        </w:tc>
        <w:tc>
          <w:tcPr/>
          <w:p>
            <w:pPr>
              <w:pStyle w:val="Compact"/>
              <w:jc w:val="left"/>
            </w:pPr>
            <w:r>
              <w:t xml:space="preserve">1749</w:t>
            </w:r>
          </w:p>
        </w:tc>
        <w:tc>
          <w:tcPr/>
          <w:p>
            <w:pPr>
              <w:pStyle w:val="Compact"/>
              <w:jc w:val="left"/>
            </w:pPr>
            <w:r>
              <w:t xml:space="preserve">---</w:t>
            </w:r>
          </w:p>
        </w:tc>
        <w:tc>
          <w:tcPr/>
          <w:p>
            <w:pPr>
              <w:pStyle w:val="Compact"/>
              <w:jc w:val="left"/>
            </w:pPr>
            <w:r>
              <w:t xml:space="preserve">---</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M Lavras</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Iviron</w:t>
            </w:r>
          </w:p>
        </w:tc>
        <w:tc>
          <w:tcPr/>
          <w:p>
            <w:pPr>
              <w:pStyle w:val="Compact"/>
              <w:jc w:val="left"/>
            </w:pPr>
            <w:r>
              <w:t xml:space="preserve">XIII</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w:t>
            </w:r>
          </w:p>
        </w:tc>
        <w:tc>
          <w:tcPr/>
          <w:p>
            <w:pPr>
              <w:pStyle w:val="Compact"/>
              <w:jc w:val="left"/>
            </w:pPr>
            <w:r>
              <w:t xml:space="preserve">1763</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1766</w:t>
            </w:r>
          </w:p>
        </w:tc>
        <w:tc>
          <w:tcPr/>
          <w:p>
            <w:pPr>
              <w:pStyle w:val="Compact"/>
              <w:jc w:val="left"/>
            </w:pPr>
            <w:r>
              <w:t xml:space="preserve">1766</w:t>
            </w:r>
          </w:p>
        </w:tc>
        <w:tc>
          <w:tcPr/>
          <w:p>
            <w:pPr>
              <w:pStyle w:val="Compact"/>
              <w:jc w:val="left"/>
            </w:pPr>
            <w:r>
              <w:t xml:space="preserve">1766</w:t>
            </w:r>
          </w:p>
        </w:tc>
        <w:tc>
          <w:tcPr/>
          <w:p>
            <w:pPr>
              <w:pStyle w:val="Compact"/>
              <w:jc w:val="left"/>
            </w:pPr>
            <w:r>
              <w:t xml:space="preserve">---</w:t>
            </w:r>
          </w:p>
        </w:tc>
        <w:tc>
          <w:tcPr/>
          <w:p>
            <w:pPr>
              <w:pStyle w:val="Compact"/>
              <w:jc w:val="left"/>
            </w:pPr>
            <w:r>
              <w:t xml:space="preserve">1766</w:t>
            </w:r>
          </w:p>
        </w:tc>
        <w:tc>
          <w:tcPr/>
          <w:p>
            <w:pPr>
              <w:pStyle w:val="Compact"/>
              <w:jc w:val="left"/>
            </w:pPr>
            <w:r>
              <w:t xml:space="preserve">---</w:t>
            </w:r>
          </w:p>
        </w:tc>
        <w:tc>
          <w:tcPr/>
          <w:p>
            <w:pPr>
              <w:pStyle w:val="Compact"/>
              <w:jc w:val="left"/>
            </w:pPr>
            <w:r>
              <w:t xml:space="preserve">---</w:t>
            </w:r>
          </w:p>
        </w:tc>
        <w:tc>
          <w:tcPr/>
          <w:p>
            <w:pPr>
              <w:pStyle w:val="Compact"/>
              <w:jc w:val="left"/>
            </w:pPr>
            <w:r>
              <w:t xml:space="preserve">1766</w:t>
            </w:r>
          </w:p>
        </w:tc>
        <w:tc>
          <w:tcPr/>
          <w:p>
            <w:pPr>
              <w:pStyle w:val="Compact"/>
              <w:jc w:val="left"/>
            </w:pPr>
            <w:r>
              <w:t xml:space="preserve">Sofia</w:t>
            </w:r>
          </w:p>
        </w:tc>
        <w:tc>
          <w:tcPr/>
          <w:p>
            <w:pPr>
              <w:pStyle w:val="Compact"/>
              <w:jc w:val="left"/>
            </w:pPr>
            <w:r>
              <w:t xml:space="preserve">1344</w:t>
            </w:r>
          </w:p>
        </w:tc>
      </w:tr>
    </w:tbl>
    <w:p>
      <w:pPr>
        <w:pStyle w:val="BodyText"/>
      </w:pPr>
      <w:r>
        <w:t xml:space="preserve">Uważam, że tych siedemnaście manuskryptów reprezentuje znaczącą podgrupę występującą we wszystkich czterech większych księgach. Zauważ, że rozmieszczenie geograficzne jest ograniczone, brakuje Konstantynopola, Jerozolimy, Patmos, Trikali oraz siedmiu spośród dziesięciu klasztorów na górze Athos (które sprawdziłem) (spośród dwudziestu manuskryptów M Lavras są tu tylko trzy). Prawdopodobieństwo, że grupa ta mogłaby reprezentować archetyp, jest znikome. Dodaję teraz „maruderów”, aby uzupełnić obraz każdego wariantu.</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986</w:t>
            </w:r>
          </w:p>
        </w:tc>
        <w:tc>
          <w:tcPr/>
          <w:p>
            <w:pPr>
              <w:pStyle w:val="Compact"/>
              <w:jc w:val="left"/>
            </w:pPr>
            <w:r>
              <w:t xml:space="preserve">986</w:t>
            </w:r>
          </w:p>
        </w:tc>
        <w:tc>
          <w:tcPr/>
          <w:p>
            <w:pPr>
              <w:pStyle w:val="Compact"/>
              <w:jc w:val="left"/>
            </w:pPr>
            <w:r>
              <w:t xml:space="preserve">986</w:t>
            </w:r>
          </w:p>
        </w:tc>
        <w:tc>
          <w:tcPr/>
          <w:p>
            <w:pPr>
              <w:pStyle w:val="Compact"/>
              <w:jc w:val="left"/>
            </w:pPr>
            <w:r>
              <w:t xml:space="preserve">---</w:t>
            </w:r>
          </w:p>
        </w:tc>
        <w:tc>
          <w:tcPr/>
          <w:p>
            <w:pPr>
              <w:pStyle w:val="Compact"/>
              <w:jc w:val="left"/>
            </w:pPr>
            <w:r>
              <w:t xml:space="preserve">986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Esfigmenu</w:t>
            </w:r>
          </w:p>
        </w:tc>
        <w:tc>
          <w:tcPr/>
          <w:p>
            <w:pPr>
              <w:pStyle w:val="Compact"/>
              <w:jc w:val="left"/>
            </w:pPr>
            <w:r>
              <w:t xml:space="preserve">XIV</w:t>
            </w:r>
          </w:p>
        </w:tc>
      </w:tr>
      <w:tr>
        <w:tc>
          <w:tcPr/>
          <w:p>
            <w:pPr>
              <w:pStyle w:val="Compact"/>
              <w:jc w:val="left"/>
            </w:pPr>
            <w:r>
              <w:t xml:space="preserve">1548</w:t>
            </w:r>
          </w:p>
        </w:tc>
        <w:tc>
          <w:tcPr/>
          <w:p>
            <w:pPr>
              <w:pStyle w:val="Compact"/>
              <w:jc w:val="left"/>
            </w:pPr>
            <w:r>
              <w:t xml:space="preserve">1548</w:t>
            </w:r>
          </w:p>
        </w:tc>
        <w:tc>
          <w:tcPr/>
          <w:p>
            <w:pPr>
              <w:pStyle w:val="Compact"/>
              <w:jc w:val="left"/>
            </w:pPr>
            <w:r>
              <w:t xml:space="preserve">1548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1548</w:t>
            </w:r>
          </w:p>
        </w:tc>
        <w:tc>
          <w:tcPr/>
          <w:p>
            <w:pPr>
              <w:pStyle w:val="Compact"/>
              <w:jc w:val="left"/>
            </w:pPr>
            <w:r>
              <w:t xml:space="preserve">Vatopediu</w:t>
            </w:r>
          </w:p>
        </w:tc>
        <w:tc>
          <w:tcPr/>
          <w:p>
            <w:pPr>
              <w:pStyle w:val="Compact"/>
              <w:jc w:val="left"/>
            </w:pPr>
            <w:r>
              <w:t xml:space="preserve">1359</w:t>
            </w:r>
          </w:p>
        </w:tc>
      </w:tr>
      <w:tr>
        <w:tc>
          <w:tcPr/>
          <w:p>
            <w:pPr>
              <w:pStyle w:val="Compact"/>
              <w:jc w:val="left"/>
            </w:pPr>
            <w:r>
              <w:t xml:space="preserve">634</w:t>
            </w:r>
          </w:p>
        </w:tc>
        <w:tc>
          <w:tcPr/>
          <w:p>
            <w:pPr>
              <w:pStyle w:val="Compact"/>
              <w:jc w:val="left"/>
            </w:pPr>
            <w:r>
              <w:t xml:space="preserve">634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634</w:t>
            </w:r>
          </w:p>
        </w:tc>
        <w:tc>
          <w:tcPr/>
          <w:p>
            <w:pPr>
              <w:pStyle w:val="Compact"/>
              <w:jc w:val="left"/>
            </w:pPr>
            <w:r>
              <w:t xml:space="preserve">Watykan</w:t>
            </w:r>
          </w:p>
        </w:tc>
        <w:tc>
          <w:tcPr/>
          <w:p>
            <w:pPr>
              <w:pStyle w:val="Compact"/>
              <w:jc w:val="left"/>
            </w:pPr>
            <w:r>
              <w:t xml:space="preserve">1394</w:t>
            </w:r>
          </w:p>
        </w:tc>
      </w:tr>
      <w:tr>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1748</w:t>
            </w:r>
          </w:p>
        </w:tc>
        <w:tc>
          <w:tcPr/>
          <w:p>
            <w:pPr>
              <w:pStyle w:val="Compact"/>
              <w:jc w:val="left"/>
            </w:pPr>
            <w:r>
              <w:t xml:space="preserve">---</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1662</w:t>
            </w:r>
          </w:p>
        </w:tc>
      </w:tr>
      <w:tr>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1899</w:t>
            </w:r>
          </w:p>
        </w:tc>
        <w:tc>
          <w:tcPr/>
          <w:p>
            <w:pPr>
              <w:pStyle w:val="Compact"/>
              <w:jc w:val="left"/>
            </w:pPr>
            <w:r>
              <w:t xml:space="preserve">---</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Patmos</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2255</w:t>
            </w:r>
          </w:p>
        </w:tc>
        <w:tc>
          <w:tcPr/>
          <w:p>
            <w:pPr>
              <w:pStyle w:val="Compact"/>
              <w:jc w:val="left"/>
            </w:pPr>
            <w:r>
              <w:t xml:space="preserve">---</w:t>
            </w:r>
          </w:p>
        </w:tc>
        <w:tc>
          <w:tcPr/>
          <w:p>
            <w:pPr>
              <w:pStyle w:val="Compact"/>
              <w:jc w:val="left"/>
            </w:pPr>
            <w:r>
              <w:t xml:space="preserve">2255</w:t>
            </w:r>
          </w:p>
        </w:tc>
        <w:tc>
          <w:tcPr/>
          <w:p>
            <w:pPr>
              <w:pStyle w:val="Compact"/>
              <w:jc w:val="left"/>
            </w:pPr>
            <w:r>
              <w:t xml:space="preserve">2255</w:t>
            </w:r>
          </w:p>
        </w:tc>
        <w:tc>
          <w:tcPr/>
          <w:p>
            <w:pPr>
              <w:pStyle w:val="Compact"/>
              <w:jc w:val="left"/>
            </w:pPr>
            <w:r>
              <w:t xml:space="preserve">Iviron</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2431</w:t>
            </w:r>
          </w:p>
        </w:tc>
        <w:tc>
          <w:tcPr/>
          <w:p>
            <w:pPr>
              <w:pStyle w:val="Compact"/>
              <w:jc w:val="left"/>
            </w:pPr>
            <w:r>
              <w:t xml:space="preserve">---</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Kavsokalyvia</w:t>
            </w:r>
          </w:p>
        </w:tc>
        <w:tc>
          <w:tcPr/>
          <w:p>
            <w:pPr>
              <w:pStyle w:val="Compact"/>
              <w:jc w:val="left"/>
            </w:pPr>
            <w:r>
              <w:t xml:space="preserve">1332</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w:t>
            </w:r>
          </w:p>
        </w:tc>
        <w:tc>
          <w:tcPr/>
          <w:p>
            <w:pPr>
              <w:pStyle w:val="Compact"/>
              <w:jc w:val="left"/>
            </w:pPr>
            <w:r>
              <w:t xml:space="preserve">Ochryda</w:t>
            </w:r>
          </w:p>
        </w:tc>
        <w:tc>
          <w:tcPr/>
          <w:p>
            <w:pPr>
              <w:pStyle w:val="Compact"/>
              <w:jc w:val="left"/>
            </w:pPr>
            <w:r>
              <w:t xml:space="preserve">XIV</w:t>
            </w:r>
          </w:p>
        </w:tc>
      </w:tr>
    </w:tbl>
    <w:p>
      <w:pPr>
        <w:pStyle w:val="BodyText"/>
      </w:pPr>
      <w:r>
        <w:t xml:space="preserve">Manuskrypty 801, 1250, 1876 i 2626 mogły z powodzeniem podlegać wspólnemu wpływowi.</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w:t>
            </w:r>
          </w:p>
        </w:tc>
        <w:tc>
          <w:tcPr/>
          <w:p>
            <w:pPr>
              <w:pStyle w:val="Compact"/>
              <w:jc w:val="left"/>
            </w:pPr>
            <w:r>
              <w:t xml:space="preserve">386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386</w:t>
            </w:r>
          </w:p>
        </w:tc>
        <w:tc>
          <w:tcPr/>
          <w:p>
            <w:pPr>
              <w:pStyle w:val="Compact"/>
              <w:jc w:val="left"/>
            </w:pPr>
            <w:r>
              <w:t xml:space="preserve">Watykan</w:t>
            </w:r>
          </w:p>
        </w:tc>
        <w:tc>
          <w:tcPr/>
          <w:p>
            <w:pPr>
              <w:pStyle w:val="Compact"/>
              <w:jc w:val="left"/>
            </w:pPr>
            <w:r>
              <w:t xml:space="preserve">XIV</w:t>
            </w:r>
          </w:p>
        </w:tc>
      </w:tr>
      <w:tr>
        <w:tc>
          <w:tcPr/>
          <w:p>
            <w:pPr>
              <w:pStyle w:val="Compact"/>
              <w:jc w:val="left"/>
            </w:pPr>
            <w:r>
              <w:t xml:space="preserve">432</w:t>
            </w:r>
          </w:p>
        </w:tc>
        <w:tc>
          <w:tcPr/>
          <w:p>
            <w:pPr>
              <w:pStyle w:val="Compact"/>
              <w:jc w:val="left"/>
            </w:pPr>
            <w:r>
              <w:t xml:space="preserve">---</w:t>
            </w:r>
          </w:p>
        </w:tc>
        <w:tc>
          <w:tcPr/>
          <w:p>
            <w:pPr>
              <w:pStyle w:val="Compact"/>
              <w:jc w:val="left"/>
            </w:pPr>
            <w:r>
              <w:t xml:space="preserve">432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Watykan</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1704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1704</w:t>
            </w:r>
          </w:p>
        </w:tc>
        <w:tc>
          <w:tcPr/>
          <w:p>
            <w:pPr>
              <w:pStyle w:val="Compact"/>
              <w:jc w:val="left"/>
            </w:pPr>
            <w:r>
              <w:t xml:space="preserve">Kutlumusiu</w:t>
            </w:r>
          </w:p>
        </w:tc>
        <w:tc>
          <w:tcPr/>
          <w:p>
            <w:pPr>
              <w:pStyle w:val="Compact"/>
              <w:jc w:val="left"/>
            </w:pPr>
            <w:r>
              <w:t xml:space="preserve">1541</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w:t>
            </w:r>
          </w:p>
        </w:tc>
        <w:tc>
          <w:tcPr/>
          <w:p>
            <w:pPr>
              <w:pStyle w:val="Compact"/>
              <w:jc w:val="left"/>
            </w:pPr>
            <w:r>
              <w:t xml:space="preserve">---</w:t>
            </w:r>
          </w:p>
        </w:tc>
        <w:tc>
          <w:tcPr/>
          <w:p>
            <w:pPr>
              <w:pStyle w:val="Compact"/>
              <w:jc w:val="left"/>
            </w:pPr>
            <w:r>
              <w:t xml:space="preserve">1737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w:t>
            </w:r>
          </w:p>
        </w:tc>
        <w:tc>
          <w:tcPr/>
          <w:p>
            <w:pPr>
              <w:pStyle w:val="Compact"/>
              <w:jc w:val="left"/>
            </w:pPr>
            <w:r>
              <w:t xml:space="preserve">2218</w:t>
            </w:r>
          </w:p>
        </w:tc>
        <w:tc>
          <w:tcPr/>
          <w:p>
            <w:pPr>
              <w:pStyle w:val="Compact"/>
              <w:jc w:val="left"/>
            </w:pPr>
            <w:r>
              <w:t xml:space="preserve">---</w:t>
            </w:r>
          </w:p>
        </w:tc>
        <w:tc>
          <w:tcPr/>
          <w:p>
            <w:pPr>
              <w:pStyle w:val="Compact"/>
              <w:jc w:val="left"/>
            </w:pPr>
            <w:r>
              <w:t xml:space="preserve">---</w:t>
            </w:r>
          </w:p>
        </w:tc>
        <w:tc>
          <w:tcPr/>
          <w:p>
            <w:pPr>
              <w:pStyle w:val="Compact"/>
              <w:jc w:val="left"/>
            </w:pPr>
            <w:r>
              <w:t xml:space="preserve">2218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Lesbos</w:t>
            </w:r>
          </w:p>
        </w:tc>
        <w:tc>
          <w:tcPr/>
          <w:p>
            <w:pPr>
              <w:pStyle w:val="Compact"/>
              <w:jc w:val="left"/>
            </w:pPr>
            <w:r>
              <w:t xml:space="preserve">XVI</w:t>
            </w:r>
          </w:p>
        </w:tc>
      </w:tr>
      <w:tr>
        <w:tc>
          <w:tcPr/>
          <w:p>
            <w:pPr>
              <w:pStyle w:val="Compact"/>
              <w:jc w:val="left"/>
            </w:pPr>
            <w:r>
              <w:t xml:space="preserve">2221</w:t>
            </w:r>
          </w:p>
        </w:tc>
        <w:tc>
          <w:tcPr/>
          <w:p>
            <w:pPr>
              <w:pStyle w:val="Compact"/>
              <w:jc w:val="left"/>
            </w:pPr>
            <w:r>
              <w:t xml:space="preserve">2221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Sparta</w:t>
            </w:r>
          </w:p>
        </w:tc>
        <w:tc>
          <w:tcPr/>
          <w:p>
            <w:pPr>
              <w:pStyle w:val="Compact"/>
              <w:jc w:val="left"/>
            </w:pPr>
            <w:r>
              <w:t xml:space="preserve">1432</w:t>
            </w:r>
          </w:p>
        </w:tc>
      </w:tr>
    </w:tbl>
    <w:p>
      <w:pPr>
        <w:pStyle w:val="BodyText"/>
      </w:pPr>
      <w:r>
        <w:t xml:space="preserve">Do nich należy dodać następujące „samotne” przypadki: dla Listu Jakuba 2,13 dodać 1636, 1725, 1897, 2080, dla Listu Jakuba 2,14 dodać 141, 1656, 1746, 2501, dla 1 Listu Piotra 2,24 dodać 1768, dla 1 Listu Piotra 3,6 dodać 1618, 1637, 1732, 2777, dla 1 Listu Piotra 5,8 dodać 1761, dla 2 Listu Piotra 2,14 dodać 1726, 2261, 2378, dla 2 Listu Piotra 3,3 i 1 Listu Jana 4,20 nie ma żadnych.</w:t>
      </w:r>
    </w:p>
    <w:p>
      <w:pPr>
        <w:pStyle w:val="BodyText"/>
      </w:pPr>
      <w:r>
        <w:t xml:space="preserve">Komentarz: εχη w Liście Jakuba 2,14 jest poświadczone przez 36 manuskryptów, ponad 40% Rodziny. Poza tym, że dittografia jest łatwą możliwością, nacisk μη mógł sprawić, że niektórzy kopiści wstawili tryb łączący, być może bez zastanowienia, odwrotna zmiana byłaby przypuszczalnie celowa. W kontekście tryb oznajmujący jest poprawny, Jakub stwierdza fakt, dana osoba nie ma uczynków.</w:t>
      </w:r>
    </w:p>
    <w:bookmarkEnd w:id="508"/>
    <w:bookmarkStart w:id="511" w:name="grupa-2"/>
    <w:p>
      <w:pPr>
        <w:pStyle w:val="Heading4"/>
      </w:pPr>
      <w:r>
        <w:t xml:space="preserve">Grupa 2</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824</w:t>
            </w:r>
          </w:p>
        </w:tc>
        <w:tc>
          <w:tcPr/>
          <w:p>
            <w:pPr>
              <w:pStyle w:val="Compact"/>
              <w:jc w:val="left"/>
            </w:pPr>
            <w:r>
              <w:t xml:space="preserve">824</w:t>
            </w:r>
          </w:p>
        </w:tc>
        <w:tc>
          <w:tcPr/>
          <w:p>
            <w:pPr>
              <w:pStyle w:val="Compact"/>
              <w:jc w:val="left"/>
            </w:pPr>
            <w:r>
              <w:t xml:space="preserve">---</w:t>
            </w:r>
          </w:p>
        </w:tc>
        <w:tc>
          <w:tcPr/>
          <w:p>
            <w:pPr>
              <w:pStyle w:val="Compact"/>
              <w:jc w:val="left"/>
            </w:pPr>
            <w:r>
              <w:t xml:space="preserve">824</w:t>
            </w:r>
          </w:p>
        </w:tc>
        <w:tc>
          <w:tcPr/>
          <w:p>
            <w:pPr>
              <w:pStyle w:val="Compact"/>
              <w:jc w:val="left"/>
            </w:pPr>
            <w:r>
              <w:t xml:space="preserve">824</w:t>
            </w:r>
          </w:p>
        </w:tc>
        <w:tc>
          <w:tcPr/>
          <w:p>
            <w:pPr>
              <w:pStyle w:val="Compact"/>
              <w:jc w:val="left"/>
            </w:pPr>
            <w:r>
              <w:t xml:space="preserve">824</w:t>
            </w:r>
          </w:p>
        </w:tc>
        <w:tc>
          <w:tcPr/>
          <w:p>
            <w:pPr>
              <w:pStyle w:val="Compact"/>
              <w:jc w:val="left"/>
            </w:pPr>
            <w:r>
              <w:t xml:space="preserve">Grottaferrata</w:t>
            </w:r>
          </w:p>
        </w:tc>
        <w:tc>
          <w:tcPr/>
          <w:p>
            <w:pPr>
              <w:pStyle w:val="Compact"/>
              <w:jc w:val="left"/>
            </w:pPr>
            <w:r>
              <w:t xml:space="preserve">XIV</w:t>
            </w:r>
          </w:p>
        </w:tc>
      </w:tr>
      <w:tr>
        <w:tc>
          <w:tcPr/>
          <w:p>
            <w:pPr>
              <w:pStyle w:val="Compact"/>
              <w:jc w:val="left"/>
            </w:pPr>
            <w:r>
              <w:t xml:space="preserve">1248</w:t>
            </w:r>
          </w:p>
        </w:tc>
        <w:tc>
          <w:tcPr/>
          <w:p>
            <w:pPr>
              <w:pStyle w:val="Compact"/>
              <w:jc w:val="left"/>
            </w:pPr>
            <w:r>
              <w:t xml:space="preserve">1248</w:t>
            </w:r>
          </w:p>
        </w:tc>
        <w:tc>
          <w:tcPr/>
          <w:p>
            <w:pPr>
              <w:pStyle w:val="Compact"/>
              <w:jc w:val="left"/>
            </w:pPr>
            <w:r>
              <w:t xml:space="preserve">---</w:t>
            </w:r>
          </w:p>
        </w:tc>
        <w:tc>
          <w:tcPr/>
          <w:p>
            <w:pPr>
              <w:pStyle w:val="Compact"/>
              <w:jc w:val="left"/>
            </w:pPr>
            <w:r>
              <w:t xml:space="preserve">1248</w:t>
            </w:r>
          </w:p>
        </w:tc>
        <w:tc>
          <w:tcPr/>
          <w:p>
            <w:pPr>
              <w:pStyle w:val="Compact"/>
              <w:jc w:val="left"/>
            </w:pPr>
            <w:r>
              <w:t xml:space="preserve">1248</w:t>
            </w:r>
          </w:p>
        </w:tc>
        <w:tc>
          <w:tcPr/>
          <w:p>
            <w:pPr>
              <w:pStyle w:val="Compact"/>
              <w:jc w:val="left"/>
            </w:pPr>
            <w:r>
              <w:t xml:space="preserve">1248</w:t>
            </w:r>
          </w:p>
        </w:tc>
        <w:tc>
          <w:tcPr/>
          <w:p>
            <w:pPr>
              <w:pStyle w:val="Compact"/>
              <w:jc w:val="left"/>
            </w:pPr>
            <w:r>
              <w:t xml:space="preserve">Synaj</w:t>
            </w:r>
          </w:p>
        </w:tc>
        <w:tc>
          <w:tcPr/>
          <w:p>
            <w:pPr>
              <w:pStyle w:val="Compact"/>
              <w:jc w:val="left"/>
            </w:pPr>
            <w:r>
              <w:t xml:space="preserve">XIV</w:t>
            </w:r>
          </w:p>
        </w:tc>
      </w:tr>
      <w:tr>
        <w:tc>
          <w:tcPr/>
          <w:p>
            <w:pPr>
              <w:pStyle w:val="Compact"/>
              <w:jc w:val="left"/>
            </w:pPr>
            <w:r>
              <w:t xml:space="preserve">1617</w:t>
            </w:r>
          </w:p>
        </w:tc>
        <w:tc>
          <w:tcPr/>
          <w:p>
            <w:pPr>
              <w:pStyle w:val="Compact"/>
              <w:jc w:val="left"/>
            </w:pPr>
            <w:r>
              <w:t xml:space="preserve">1617</w:t>
            </w:r>
          </w:p>
        </w:tc>
        <w:tc>
          <w:tcPr/>
          <w:p>
            <w:pPr>
              <w:pStyle w:val="Compact"/>
              <w:jc w:val="left"/>
            </w:pPr>
            <w:r>
              <w:t xml:space="preserve">---</w:t>
            </w:r>
          </w:p>
        </w:tc>
        <w:tc>
          <w:tcPr/>
          <w:p>
            <w:pPr>
              <w:pStyle w:val="Compact"/>
              <w:jc w:val="left"/>
            </w:pPr>
            <w:r>
              <w:t xml:space="preserve">1617</w:t>
            </w:r>
          </w:p>
        </w:tc>
        <w:tc>
          <w:tcPr/>
          <w:p>
            <w:pPr>
              <w:pStyle w:val="Compact"/>
              <w:jc w:val="left"/>
            </w:pPr>
            <w:r>
              <w:t xml:space="preserve">1617</w:t>
            </w:r>
          </w:p>
        </w:tc>
        <w:tc>
          <w:tcPr/>
          <w:p>
            <w:pPr>
              <w:pStyle w:val="Compact"/>
              <w:jc w:val="left"/>
            </w:pPr>
            <w:r>
              <w:t xml:space="preserve">1617</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2352</w:t>
            </w:r>
          </w:p>
        </w:tc>
        <w:tc>
          <w:tcPr/>
          <w:p>
            <w:pPr>
              <w:pStyle w:val="Compact"/>
              <w:jc w:val="left"/>
            </w:pPr>
            <w:r>
              <w:t xml:space="preserve">2352</w:t>
            </w:r>
          </w:p>
        </w:tc>
        <w:tc>
          <w:tcPr/>
          <w:p>
            <w:pPr>
              <w:pStyle w:val="Compact"/>
              <w:jc w:val="left"/>
            </w:pPr>
            <w:r>
              <w:t xml:space="preserve">---</w:t>
            </w:r>
          </w:p>
        </w:tc>
        <w:tc>
          <w:tcPr/>
          <w:p>
            <w:pPr>
              <w:pStyle w:val="Compact"/>
              <w:jc w:val="left"/>
            </w:pPr>
            <w:r>
              <w:t xml:space="preserve">2352</w:t>
            </w:r>
          </w:p>
        </w:tc>
        <w:tc>
          <w:tcPr/>
          <w:p>
            <w:pPr>
              <w:pStyle w:val="Compact"/>
              <w:jc w:val="left"/>
            </w:pPr>
            <w:r>
              <w:t xml:space="preserve">2352</w:t>
            </w:r>
          </w:p>
        </w:tc>
        <w:tc>
          <w:tcPr/>
          <w:p>
            <w:pPr>
              <w:pStyle w:val="Compact"/>
              <w:jc w:val="left"/>
            </w:pPr>
            <w:r>
              <w:t xml:space="preserve">2352</w:t>
            </w:r>
          </w:p>
        </w:tc>
        <w:tc>
          <w:tcPr/>
          <w:p>
            <w:pPr>
              <w:pStyle w:val="Compact"/>
              <w:jc w:val="left"/>
            </w:pPr>
            <w:r>
              <w:t xml:space="preserve">Meteora</w:t>
            </w:r>
          </w:p>
        </w:tc>
        <w:tc>
          <w:tcPr/>
          <w:p>
            <w:pPr>
              <w:pStyle w:val="Compact"/>
              <w:jc w:val="left"/>
            </w:pPr>
            <w:r>
              <w:t xml:space="preserve">XV</w:t>
            </w:r>
          </w:p>
        </w:tc>
      </w:tr>
      <w:tr>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Kavsokalyvia</w:t>
            </w:r>
          </w:p>
        </w:tc>
        <w:tc>
          <w:tcPr/>
          <w:p>
            <w:pPr>
              <w:pStyle w:val="Compact"/>
              <w:jc w:val="left"/>
            </w:pPr>
            <w:r>
              <w:t xml:space="preserve">1332</w:t>
            </w:r>
          </w:p>
        </w:tc>
      </w:tr>
      <w:tr>
        <w:tc>
          <w:tcPr/>
          <w:p>
            <w:pPr>
              <w:pStyle w:val="Compact"/>
              <w:jc w:val="left"/>
            </w:pPr>
            <w:r>
              <w:t xml:space="preserve">149-201</w:t>
            </w:r>
          </w:p>
        </w:tc>
        <w:tc>
          <w:tcPr/>
          <w:p>
            <w:pPr>
              <w:pStyle w:val="Compact"/>
              <w:jc w:val="left"/>
            </w:pPr>
            <w:r>
              <w:t xml:space="preserve">149-201</w:t>
            </w:r>
          </w:p>
        </w:tc>
        <w:tc>
          <w:tcPr/>
          <w:p>
            <w:pPr>
              <w:pStyle w:val="Compact"/>
              <w:jc w:val="left"/>
            </w:pPr>
            <w:r>
              <w:t xml:space="preserve">---</w:t>
            </w:r>
          </w:p>
        </w:tc>
        <w:tc>
          <w:tcPr/>
          <w:p>
            <w:pPr>
              <w:pStyle w:val="Compact"/>
              <w:jc w:val="left"/>
            </w:pPr>
            <w:r>
              <w:t xml:space="preserve">149-201</w:t>
            </w:r>
          </w:p>
        </w:tc>
        <w:tc>
          <w:tcPr/>
          <w:p>
            <w:pPr>
              <w:pStyle w:val="Compact"/>
              <w:jc w:val="left"/>
            </w:pPr>
            <w:r>
              <w:t xml:space="preserve">149-201</w:t>
            </w:r>
          </w:p>
        </w:tc>
        <w:tc>
          <w:tcPr/>
          <w:p>
            <w:pPr>
              <w:pStyle w:val="Compact"/>
              <w:jc w:val="left"/>
            </w:pPr>
            <w:r>
              <w:t xml:space="preserve">---</w:t>
            </w:r>
          </w:p>
        </w:tc>
        <w:tc>
          <w:tcPr/>
          <w:p>
            <w:pPr>
              <w:pStyle w:val="Compact"/>
              <w:jc w:val="left"/>
            </w:pPr>
            <w:r>
              <w:t xml:space="preserve">Watykan/Londyn</w:t>
            </w:r>
          </w:p>
        </w:tc>
        <w:tc>
          <w:tcPr/>
          <w:p>
            <w:pPr>
              <w:pStyle w:val="Compact"/>
              <w:jc w:val="left"/>
            </w:pPr>
            <w:r>
              <w:t xml:space="preserve">XV/1357</w:t>
            </w:r>
          </w:p>
        </w:tc>
      </w:tr>
      <w:tr>
        <w:tc>
          <w:tcPr/>
          <w:p>
            <w:pPr>
              <w:pStyle w:val="Compact"/>
              <w:jc w:val="left"/>
            </w:pPr>
            <w:r>
              <w:t xml:space="preserve">432-604</w:t>
            </w:r>
          </w:p>
        </w:tc>
        <w:tc>
          <w:tcPr/>
          <w:p>
            <w:pPr>
              <w:pStyle w:val="Compact"/>
              <w:jc w:val="left"/>
            </w:pPr>
            <w:r>
              <w:t xml:space="preserve">---</w:t>
            </w:r>
          </w:p>
        </w:tc>
        <w:tc>
          <w:tcPr/>
          <w:p>
            <w:pPr>
              <w:pStyle w:val="Compact"/>
              <w:jc w:val="left"/>
            </w:pPr>
            <w:r>
              <w:t xml:space="preserve">604</w:t>
            </w:r>
          </w:p>
        </w:tc>
        <w:tc>
          <w:tcPr/>
          <w:p>
            <w:pPr>
              <w:pStyle w:val="Compact"/>
              <w:jc w:val="left"/>
            </w:pPr>
            <w:r>
              <w:t xml:space="preserve">432-604</w:t>
            </w:r>
          </w:p>
        </w:tc>
        <w:tc>
          <w:tcPr/>
          <w:p>
            <w:pPr>
              <w:pStyle w:val="Compact"/>
              <w:jc w:val="left"/>
            </w:pPr>
            <w:r>
              <w:t xml:space="preserve">432-604</w:t>
            </w:r>
          </w:p>
        </w:tc>
        <w:tc>
          <w:tcPr/>
          <w:p>
            <w:pPr>
              <w:pStyle w:val="Compact"/>
              <w:jc w:val="left"/>
            </w:pPr>
            <w:r>
              <w:t xml:space="preserve">432-604</w:t>
            </w:r>
          </w:p>
        </w:tc>
        <w:tc>
          <w:tcPr/>
          <w:p>
            <w:pPr>
              <w:pStyle w:val="Compact"/>
              <w:jc w:val="left"/>
            </w:pPr>
            <w:r>
              <w:t xml:space="preserve">Watykan/Paryż</w:t>
            </w:r>
          </w:p>
        </w:tc>
        <w:tc>
          <w:tcPr/>
          <w:p>
            <w:pPr>
              <w:pStyle w:val="Compact"/>
              <w:jc w:val="left"/>
            </w:pPr>
            <w:r>
              <w:t xml:space="preserve">XV/XIV</w:t>
            </w:r>
          </w:p>
        </w:tc>
      </w:tr>
      <w:tr>
        <w:tc>
          <w:tcPr/>
          <w:p>
            <w:pPr>
              <w:pStyle w:val="Compact"/>
              <w:jc w:val="left"/>
            </w:pPr>
            <w:r>
              <w:t xml:space="preserve">1072</w:t>
            </w:r>
          </w:p>
        </w:tc>
        <w:tc>
          <w:tcPr/>
          <w:p>
            <w:pPr>
              <w:pStyle w:val="Compact"/>
              <w:jc w:val="left"/>
            </w:pPr>
            <w:r>
              <w:t xml:space="preserve">1072</w:t>
            </w:r>
          </w:p>
        </w:tc>
        <w:tc>
          <w:tcPr/>
          <w:p>
            <w:pPr>
              <w:pStyle w:val="Compact"/>
              <w:jc w:val="left"/>
            </w:pPr>
            <w:r>
              <w:t xml:space="preserve">---</w:t>
            </w:r>
          </w:p>
        </w:tc>
        <w:tc>
          <w:tcPr/>
          <w:p>
            <w:pPr>
              <w:pStyle w:val="Compact"/>
              <w:jc w:val="left"/>
            </w:pPr>
            <w:r>
              <w:t xml:space="preserve">1072</w:t>
            </w:r>
          </w:p>
        </w:tc>
        <w:tc>
          <w:tcPr/>
          <w:p>
            <w:pPr>
              <w:pStyle w:val="Compact"/>
              <w:jc w:val="left"/>
            </w:pPr>
            <w:r>
              <w:t xml:space="preserve">1072</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XIII</w:t>
            </w:r>
          </w:p>
        </w:tc>
      </w:tr>
      <w:tr>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1746</w:t>
            </w:r>
          </w:p>
        </w:tc>
        <w:tc>
          <w:tcPr/>
          <w:p>
            <w:pPr>
              <w:pStyle w:val="Compact"/>
              <w:jc w:val="left"/>
            </w:pPr>
            <w:r>
              <w:t xml:space="preserve">1746</w:t>
            </w:r>
          </w:p>
        </w:tc>
        <w:tc>
          <w:tcPr/>
          <w:p>
            <w:pPr>
              <w:pStyle w:val="Compact"/>
              <w:jc w:val="left"/>
            </w:pPr>
            <w:r>
              <w:t xml:space="preserve">---</w:t>
            </w:r>
          </w:p>
        </w:tc>
        <w:tc>
          <w:tcPr/>
          <w:p>
            <w:pPr>
              <w:pStyle w:val="Compact"/>
              <w:jc w:val="left"/>
            </w:pPr>
            <w:r>
              <w:t xml:space="preserve">1746</w:t>
            </w:r>
          </w:p>
        </w:tc>
        <w:tc>
          <w:tcPr/>
          <w:p>
            <w:pPr>
              <w:pStyle w:val="Compact"/>
              <w:jc w:val="left"/>
            </w:pPr>
            <w:r>
              <w:t xml:space="preserve">1746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1748</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w:t>
            </w:r>
          </w:p>
        </w:tc>
        <w:tc>
          <w:tcPr/>
          <w:p>
            <w:pPr>
              <w:pStyle w:val="Compact"/>
              <w:jc w:val="left"/>
            </w:pPr>
            <w:r>
              <w:t xml:space="preserve">1748</w:t>
            </w:r>
          </w:p>
        </w:tc>
        <w:tc>
          <w:tcPr/>
          <w:p>
            <w:pPr>
              <w:pStyle w:val="Compact"/>
              <w:jc w:val="left"/>
            </w:pPr>
            <w:r>
              <w:t xml:space="preserve">M Lavras</w:t>
            </w:r>
          </w:p>
        </w:tc>
        <w:tc>
          <w:tcPr/>
          <w:p>
            <w:pPr>
              <w:pStyle w:val="Compact"/>
              <w:jc w:val="left"/>
            </w:pPr>
            <w:r>
              <w:t xml:space="preserve">1662</w:t>
            </w:r>
          </w:p>
        </w:tc>
      </w:tr>
      <w:tr>
        <w:tc>
          <w:tcPr/>
          <w:p>
            <w:pPr>
              <w:pStyle w:val="Compact"/>
              <w:jc w:val="left"/>
            </w:pPr>
            <w:r>
              <w:t xml:space="preserve">1892</w:t>
            </w:r>
          </w:p>
        </w:tc>
        <w:tc>
          <w:tcPr/>
          <w:p>
            <w:pPr>
              <w:pStyle w:val="Compact"/>
              <w:jc w:val="left"/>
            </w:pPr>
            <w:r>
              <w:t xml:space="preserve">---</w:t>
            </w:r>
          </w:p>
        </w:tc>
        <w:tc>
          <w:tcPr/>
          <w:p>
            <w:pPr>
              <w:pStyle w:val="Compact"/>
              <w:jc w:val="left"/>
            </w:pPr>
            <w:r>
              <w:t xml:space="preserve">---</w:t>
            </w:r>
          </w:p>
        </w:tc>
        <w:tc>
          <w:tcPr/>
          <w:p>
            <w:pPr>
              <w:pStyle w:val="Compact"/>
              <w:jc w:val="left"/>
            </w:pPr>
            <w:r>
              <w:t xml:space="preserve">1892</w:t>
            </w:r>
          </w:p>
        </w:tc>
        <w:tc>
          <w:tcPr/>
          <w:p>
            <w:pPr>
              <w:pStyle w:val="Compact"/>
              <w:jc w:val="left"/>
            </w:pPr>
            <w:r>
              <w:t xml:space="preserve">1892</w:t>
            </w:r>
          </w:p>
        </w:tc>
        <w:tc>
          <w:tcPr/>
          <w:p>
            <w:pPr>
              <w:pStyle w:val="Compact"/>
              <w:jc w:val="left"/>
            </w:pPr>
            <w:r>
              <w:t xml:space="preserve">1892</w:t>
            </w:r>
          </w:p>
        </w:tc>
        <w:tc>
          <w:tcPr/>
          <w:p>
            <w:pPr>
              <w:pStyle w:val="Compact"/>
              <w:jc w:val="left"/>
            </w:pPr>
            <w:r>
              <w:t xml:space="preserve">Jerozolima</w:t>
            </w:r>
          </w:p>
        </w:tc>
        <w:tc>
          <w:tcPr/>
          <w:p>
            <w:pPr>
              <w:pStyle w:val="Compact"/>
              <w:jc w:val="left"/>
            </w:pPr>
            <w:r>
              <w:t xml:space="preserve">XIV</w:t>
            </w:r>
          </w:p>
        </w:tc>
      </w:tr>
      <w:tr>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w:t>
            </w:r>
          </w:p>
        </w:tc>
        <w:tc>
          <w:tcPr/>
          <w:p>
            <w:pPr>
              <w:pStyle w:val="Compact"/>
              <w:jc w:val="left"/>
            </w:pPr>
            <w:r>
              <w:t xml:space="preserve">Karditsa</w:t>
            </w:r>
          </w:p>
        </w:tc>
        <w:tc>
          <w:tcPr/>
          <w:p>
            <w:pPr>
              <w:pStyle w:val="Compact"/>
              <w:jc w:val="left"/>
            </w:pPr>
            <w:r>
              <w:t xml:space="preserve">XIV</w:t>
            </w:r>
          </w:p>
        </w:tc>
      </w:tr>
    </w:tbl>
    <w:p>
      <w:pPr>
        <w:pStyle w:val="BodyText"/>
      </w:pPr>
      <w:r>
        <w:t xml:space="preserve">Uważam, że tych trzynaście manuskryptów reprezentuje znaczącą podgrupę, poprzedzoną przez kolejnych dwanaście poniżej, które opuściły „drzewo” w położonym wyżej węźle.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757</w:t>
            </w:r>
          </w:p>
        </w:tc>
        <w:tc>
          <w:tcPr/>
          <w:p>
            <w:pPr>
              <w:pStyle w:val="Compact"/>
              <w:jc w:val="left"/>
            </w:pPr>
            <w:r>
              <w:t xml:space="preserve">---</w:t>
            </w:r>
          </w:p>
        </w:tc>
        <w:tc>
          <w:tcPr/>
          <w:p>
            <w:pPr>
              <w:pStyle w:val="Compact"/>
              <w:jc w:val="left"/>
            </w:pPr>
            <w:r>
              <w:t xml:space="preserve">---</w:t>
            </w:r>
          </w:p>
        </w:tc>
        <w:tc>
          <w:tcPr/>
          <w:p>
            <w:pPr>
              <w:pStyle w:val="Compact"/>
              <w:jc w:val="left"/>
            </w:pPr>
            <w:r>
              <w:t xml:space="preserve">757</w:t>
            </w:r>
          </w:p>
        </w:tc>
        <w:tc>
          <w:tcPr/>
          <w:p>
            <w:pPr>
              <w:pStyle w:val="Compact"/>
              <w:jc w:val="left"/>
            </w:pPr>
            <w:r>
              <w:t xml:space="preserve">757</w:t>
            </w:r>
          </w:p>
        </w:tc>
        <w:tc>
          <w:tcPr/>
          <w:p>
            <w:pPr>
              <w:pStyle w:val="Compact"/>
              <w:jc w:val="left"/>
            </w:pPr>
            <w:r>
              <w:t xml:space="preserve">---</w:t>
            </w:r>
          </w:p>
        </w:tc>
        <w:tc>
          <w:tcPr/>
          <w:p>
            <w:pPr>
              <w:pStyle w:val="Compact"/>
              <w:jc w:val="left"/>
            </w:pPr>
            <w:r>
              <w:t xml:space="preserve">Ateny</w:t>
            </w:r>
          </w:p>
        </w:tc>
        <w:tc>
          <w:tcPr/>
          <w:p>
            <w:pPr>
              <w:pStyle w:val="Compact"/>
              <w:jc w:val="left"/>
            </w:pPr>
            <w:r>
              <w:t xml:space="preserve">XIII</w:t>
            </w:r>
          </w:p>
        </w:tc>
      </w:tr>
      <w:tr>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1075</w:t>
            </w:r>
          </w:p>
        </w:tc>
        <w:tc>
          <w:tcPr/>
          <w:p>
            <w:pPr>
              <w:pStyle w:val="Compact"/>
              <w:jc w:val="left"/>
            </w:pPr>
            <w:r>
              <w:t xml:space="preserve">1075</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1503</w:t>
            </w:r>
          </w:p>
        </w:tc>
        <w:tc>
          <w:tcPr/>
          <w:p>
            <w:pPr>
              <w:pStyle w:val="Compact"/>
              <w:jc w:val="left"/>
            </w:pPr>
            <w:r>
              <w:t xml:space="preserve">---</w:t>
            </w:r>
          </w:p>
        </w:tc>
        <w:tc>
          <w:tcPr/>
          <w:p>
            <w:pPr>
              <w:pStyle w:val="Compact"/>
              <w:jc w:val="left"/>
            </w:pPr>
            <w:r>
              <w:t xml:space="preserve">---</w:t>
            </w:r>
          </w:p>
        </w:tc>
        <w:tc>
          <w:tcPr/>
          <w:p>
            <w:pPr>
              <w:pStyle w:val="Compact"/>
              <w:jc w:val="left"/>
            </w:pPr>
            <w:r>
              <w:t xml:space="preserve">1503</w:t>
            </w:r>
          </w:p>
        </w:tc>
        <w:tc>
          <w:tcPr/>
          <w:p>
            <w:pPr>
              <w:pStyle w:val="Compact"/>
              <w:jc w:val="left"/>
            </w:pPr>
            <w:r>
              <w:t xml:space="preserve">1503</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1317</w:t>
            </w:r>
          </w:p>
        </w:tc>
      </w:tr>
      <w:tr>
        <w:tc>
          <w:tcPr/>
          <w:p>
            <w:pPr>
              <w:pStyle w:val="Compact"/>
              <w:jc w:val="left"/>
            </w:pPr>
            <w:r>
              <w:t xml:space="preserve">1548</w:t>
            </w:r>
          </w:p>
        </w:tc>
        <w:tc>
          <w:tcPr/>
          <w:p>
            <w:pPr>
              <w:pStyle w:val="Compact"/>
              <w:jc w:val="left"/>
            </w:pPr>
            <w:r>
              <w:t xml:space="preserve">1548</w:t>
            </w:r>
          </w:p>
        </w:tc>
        <w:tc>
          <w:tcPr/>
          <w:p>
            <w:pPr>
              <w:pStyle w:val="Compact"/>
              <w:jc w:val="left"/>
            </w:pPr>
            <w:r>
              <w:t xml:space="preserve">---</w:t>
            </w:r>
          </w:p>
        </w:tc>
        <w:tc>
          <w:tcPr/>
          <w:p>
            <w:pPr>
              <w:pStyle w:val="Compact"/>
              <w:jc w:val="left"/>
            </w:pPr>
            <w:r>
              <w:t xml:space="preserve">1548</w:t>
            </w:r>
          </w:p>
        </w:tc>
        <w:tc>
          <w:tcPr/>
          <w:p>
            <w:pPr>
              <w:pStyle w:val="Compact"/>
              <w:jc w:val="left"/>
            </w:pPr>
            <w:r>
              <w:t xml:space="preserve">---</w:t>
            </w:r>
          </w:p>
        </w:tc>
        <w:tc>
          <w:tcPr/>
          <w:p>
            <w:pPr>
              <w:pStyle w:val="Compact"/>
              <w:jc w:val="left"/>
            </w:pPr>
            <w:r>
              <w:t xml:space="preserve">---</w:t>
            </w:r>
          </w:p>
        </w:tc>
        <w:tc>
          <w:tcPr/>
          <w:p>
            <w:pPr>
              <w:pStyle w:val="Compact"/>
              <w:jc w:val="left"/>
            </w:pPr>
            <w:r>
              <w:t xml:space="preserve">Vatopediu</w:t>
            </w:r>
          </w:p>
        </w:tc>
        <w:tc>
          <w:tcPr/>
          <w:p>
            <w:pPr>
              <w:pStyle w:val="Compact"/>
              <w:jc w:val="left"/>
            </w:pPr>
            <w:r>
              <w:t xml:space="preserve">1359</w:t>
            </w:r>
          </w:p>
        </w:tc>
      </w:tr>
      <w:tr>
        <w:tc>
          <w:tcPr/>
          <w:p>
            <w:pPr>
              <w:pStyle w:val="Compact"/>
              <w:jc w:val="left"/>
            </w:pPr>
            <w:r>
              <w:t xml:space="preserve">1619</w:t>
            </w:r>
          </w:p>
        </w:tc>
        <w:tc>
          <w:tcPr/>
          <w:p>
            <w:pPr>
              <w:pStyle w:val="Compact"/>
              <w:jc w:val="left"/>
            </w:pPr>
            <w:r>
              <w:t xml:space="preserve">---</w:t>
            </w:r>
          </w:p>
        </w:tc>
        <w:tc>
          <w:tcPr/>
          <w:p>
            <w:pPr>
              <w:pStyle w:val="Compact"/>
              <w:jc w:val="left"/>
            </w:pPr>
            <w:r>
              <w:t xml:space="preserve">---</w:t>
            </w:r>
          </w:p>
        </w:tc>
        <w:tc>
          <w:tcPr/>
          <w:p>
            <w:pPr>
              <w:pStyle w:val="Compact"/>
              <w:jc w:val="left"/>
            </w:pPr>
            <w:r>
              <w:t xml:space="preserve">1619</w:t>
            </w:r>
          </w:p>
        </w:tc>
        <w:tc>
          <w:tcPr/>
          <w:p>
            <w:pPr>
              <w:pStyle w:val="Compact"/>
              <w:jc w:val="left"/>
            </w:pPr>
            <w:r>
              <w:t xml:space="preserve">1619</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1628</w:t>
            </w:r>
          </w:p>
        </w:tc>
        <w:tc>
          <w:tcPr/>
          <w:p>
            <w:pPr>
              <w:pStyle w:val="Compact"/>
              <w:jc w:val="left"/>
            </w:pPr>
            <w:r>
              <w:t xml:space="preserve">---</w:t>
            </w:r>
          </w:p>
        </w:tc>
        <w:tc>
          <w:tcPr/>
          <w:p>
            <w:pPr>
              <w:pStyle w:val="Compact"/>
              <w:jc w:val="left"/>
            </w:pPr>
            <w:r>
              <w:t xml:space="preserve">---</w:t>
            </w:r>
          </w:p>
        </w:tc>
        <w:tc>
          <w:tcPr/>
          <w:p>
            <w:pPr>
              <w:pStyle w:val="Compact"/>
              <w:jc w:val="left"/>
            </w:pPr>
            <w:r>
              <w:t xml:space="preserve">1628</w:t>
            </w:r>
          </w:p>
        </w:tc>
        <w:tc>
          <w:tcPr/>
          <w:p>
            <w:pPr>
              <w:pStyle w:val="Compact"/>
              <w:jc w:val="left"/>
            </w:pPr>
            <w:r>
              <w:t xml:space="preserve">1628</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1400</w:t>
            </w:r>
          </w:p>
        </w:tc>
      </w:tr>
      <w:tr>
        <w:tc>
          <w:tcPr/>
          <w:p>
            <w:pPr>
              <w:pStyle w:val="Compact"/>
              <w:jc w:val="left"/>
            </w:pPr>
            <w:r>
              <w:t xml:space="preserve">1636</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c>
          <w:tcPr/>
          <w:p>
            <w:pPr>
              <w:pStyle w:val="Compact"/>
              <w:jc w:val="left"/>
            </w:pPr>
            <w:r>
              <w:t xml:space="preserve">1636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1637</w:t>
            </w:r>
          </w:p>
        </w:tc>
        <w:tc>
          <w:tcPr/>
          <w:p>
            <w:pPr>
              <w:pStyle w:val="Compact"/>
              <w:jc w:val="left"/>
            </w:pPr>
            <w:r>
              <w:t xml:space="preserve">---</w:t>
            </w:r>
          </w:p>
        </w:tc>
        <w:tc>
          <w:tcPr/>
          <w:p>
            <w:pPr>
              <w:pStyle w:val="Compact"/>
              <w:jc w:val="left"/>
            </w:pPr>
            <w:r>
              <w:t xml:space="preserve">1637</w:t>
            </w:r>
          </w:p>
        </w:tc>
        <w:tc>
          <w:tcPr/>
          <w:p>
            <w:pPr>
              <w:pStyle w:val="Compact"/>
              <w:jc w:val="left"/>
            </w:pPr>
            <w:r>
              <w:t xml:space="preserve">1637</w:t>
            </w:r>
          </w:p>
        </w:tc>
        <w:tc>
          <w:tcPr/>
          <w:p>
            <w:pPr>
              <w:pStyle w:val="Compact"/>
              <w:jc w:val="left"/>
            </w:pPr>
            <w:r>
              <w:t xml:space="preserve">1637</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1328</w:t>
            </w:r>
          </w:p>
        </w:tc>
      </w:tr>
      <w:tr>
        <w:tc>
          <w:tcPr/>
          <w:p>
            <w:pPr>
              <w:pStyle w:val="Compact"/>
              <w:jc w:val="left"/>
            </w:pPr>
            <w:r>
              <w:t xml:space="preserve">1656</w:t>
            </w:r>
          </w:p>
        </w:tc>
        <w:tc>
          <w:tcPr/>
          <w:p>
            <w:pPr>
              <w:pStyle w:val="Compact"/>
              <w:jc w:val="left"/>
            </w:pPr>
            <w:r>
              <w:t xml:space="preserve">---</w:t>
            </w:r>
          </w:p>
        </w:tc>
        <w:tc>
          <w:tcPr/>
          <w:p>
            <w:pPr>
              <w:pStyle w:val="Compact"/>
              <w:jc w:val="left"/>
            </w:pPr>
            <w:r>
              <w:t xml:space="preserve">---</w:t>
            </w:r>
          </w:p>
        </w:tc>
        <w:tc>
          <w:tcPr/>
          <w:p>
            <w:pPr>
              <w:pStyle w:val="Compact"/>
              <w:jc w:val="left"/>
            </w:pPr>
            <w:r>
              <w:t xml:space="preserve">1656</w:t>
            </w:r>
          </w:p>
        </w:tc>
        <w:tc>
          <w:tcPr/>
          <w:p>
            <w:pPr>
              <w:pStyle w:val="Compact"/>
              <w:jc w:val="left"/>
            </w:pPr>
            <w:r>
              <w:t xml:space="preserve">1656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1740</w:t>
            </w:r>
          </w:p>
        </w:tc>
        <w:tc>
          <w:tcPr/>
          <w:p>
            <w:pPr>
              <w:pStyle w:val="Compact"/>
              <w:jc w:val="left"/>
            </w:pPr>
            <w:r>
              <w:t xml:space="preserve">---</w:t>
            </w:r>
          </w:p>
        </w:tc>
        <w:tc>
          <w:tcPr/>
          <w:p>
            <w:pPr>
              <w:pStyle w:val="Compact"/>
              <w:jc w:val="left"/>
            </w:pPr>
            <w:r>
              <w:t xml:space="preserve">---</w:t>
            </w:r>
          </w:p>
        </w:tc>
        <w:tc>
          <w:tcPr/>
          <w:p>
            <w:pPr>
              <w:pStyle w:val="Compact"/>
              <w:jc w:val="left"/>
            </w:pPr>
            <w:r>
              <w:t xml:space="preserve">1740</w:t>
            </w:r>
          </w:p>
        </w:tc>
        <w:tc>
          <w:tcPr/>
          <w:p>
            <w:pPr>
              <w:pStyle w:val="Compact"/>
              <w:jc w:val="left"/>
            </w:pPr>
            <w:r>
              <w:t xml:space="preserve">1740</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1745</w:t>
            </w:r>
          </w:p>
        </w:tc>
        <w:tc>
          <w:tcPr/>
          <w:p>
            <w:pPr>
              <w:pStyle w:val="Compact"/>
              <w:jc w:val="left"/>
            </w:pPr>
            <w:r>
              <w:t xml:space="preserve">---</w:t>
            </w:r>
          </w:p>
        </w:tc>
        <w:tc>
          <w:tcPr/>
          <w:p>
            <w:pPr>
              <w:pStyle w:val="Compact"/>
              <w:jc w:val="left"/>
            </w:pPr>
            <w:r>
              <w:t xml:space="preserve">---</w:t>
            </w:r>
          </w:p>
        </w:tc>
        <w:tc>
          <w:tcPr/>
          <w:p>
            <w:pPr>
              <w:pStyle w:val="Compact"/>
              <w:jc w:val="left"/>
            </w:pPr>
            <w:r>
              <w:t xml:space="preserve">1745</w:t>
            </w:r>
          </w:p>
        </w:tc>
        <w:tc>
          <w:tcPr/>
          <w:p>
            <w:pPr>
              <w:pStyle w:val="Compact"/>
              <w:jc w:val="left"/>
            </w:pPr>
            <w:r>
              <w:t xml:space="preserve">1745</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1754</w:t>
            </w:r>
          </w:p>
        </w:tc>
        <w:tc>
          <w:tcPr/>
          <w:p>
            <w:pPr>
              <w:pStyle w:val="Compact"/>
              <w:jc w:val="left"/>
            </w:pPr>
            <w:r>
              <w:t xml:space="preserve">---</w:t>
            </w:r>
          </w:p>
        </w:tc>
        <w:tc>
          <w:tcPr/>
          <w:p>
            <w:pPr>
              <w:pStyle w:val="Compact"/>
              <w:jc w:val="left"/>
            </w:pPr>
            <w:r>
              <w:t xml:space="preserve">---</w:t>
            </w:r>
          </w:p>
        </w:tc>
        <w:tc>
          <w:tcPr/>
          <w:p>
            <w:pPr>
              <w:pStyle w:val="Compact"/>
              <w:jc w:val="left"/>
            </w:pPr>
            <w:r>
              <w:t xml:space="preserve">1754</w:t>
            </w:r>
          </w:p>
        </w:tc>
        <w:tc>
          <w:tcPr/>
          <w:p>
            <w:pPr>
              <w:pStyle w:val="Compact"/>
              <w:jc w:val="left"/>
            </w:pPr>
            <w:r>
              <w:t xml:space="preserve">1754</w:t>
            </w:r>
          </w:p>
        </w:tc>
        <w:tc>
          <w:tcPr/>
          <w:p>
            <w:pPr>
              <w:pStyle w:val="Compact"/>
              <w:jc w:val="left"/>
            </w:pPr>
            <w:r>
              <w:t xml:space="preserve">---</w:t>
            </w:r>
          </w:p>
        </w:tc>
        <w:tc>
          <w:tcPr/>
          <w:p>
            <w:pPr>
              <w:pStyle w:val="Compact"/>
              <w:jc w:val="left"/>
            </w:pPr>
            <w:r>
              <w:t xml:space="preserve">Panteleimonos</w:t>
            </w:r>
          </w:p>
        </w:tc>
        <w:tc>
          <w:tcPr/>
          <w:p>
            <w:pPr>
              <w:pStyle w:val="Compact"/>
              <w:jc w:val="left"/>
            </w:pPr>
            <w:r>
              <w:t xml:space="preserve">XII</w:t>
            </w:r>
          </w:p>
        </w:tc>
      </w:tr>
      <w:tr>
        <w:tc>
          <w:tcPr/>
          <w:p>
            <w:pPr>
              <w:pStyle w:val="Compact"/>
              <w:jc w:val="left"/>
            </w:pPr>
            <w:r>
              <w:t xml:space="preserve">1768</w:t>
            </w:r>
          </w:p>
        </w:tc>
        <w:tc>
          <w:tcPr/>
          <w:p>
            <w:pPr>
              <w:pStyle w:val="Compact"/>
              <w:jc w:val="left"/>
            </w:pPr>
            <w:r>
              <w:t xml:space="preserve">---</w:t>
            </w:r>
          </w:p>
        </w:tc>
        <w:tc>
          <w:tcPr/>
          <w:p>
            <w:pPr>
              <w:pStyle w:val="Compact"/>
              <w:jc w:val="left"/>
            </w:pPr>
            <w:r>
              <w:t xml:space="preserve">---</w:t>
            </w:r>
          </w:p>
        </w:tc>
        <w:tc>
          <w:tcPr/>
          <w:p>
            <w:pPr>
              <w:pStyle w:val="Compact"/>
              <w:jc w:val="left"/>
            </w:pPr>
            <w:r>
              <w:t xml:space="preserve">1768</w:t>
            </w:r>
          </w:p>
        </w:tc>
        <w:tc>
          <w:tcPr/>
          <w:p>
            <w:pPr>
              <w:pStyle w:val="Compact"/>
              <w:jc w:val="left"/>
            </w:pPr>
            <w:r>
              <w:t xml:space="preserve">---</w:t>
            </w:r>
          </w:p>
        </w:tc>
        <w:tc>
          <w:tcPr/>
          <w:p>
            <w:pPr>
              <w:pStyle w:val="Compact"/>
              <w:jc w:val="left"/>
            </w:pPr>
            <w:r>
              <w:t xml:space="preserve">1768</w:t>
            </w:r>
          </w:p>
        </w:tc>
        <w:tc>
          <w:tcPr/>
          <w:p>
            <w:pPr>
              <w:pStyle w:val="Compact"/>
              <w:jc w:val="left"/>
            </w:pPr>
            <w:r>
              <w:t xml:space="preserve">Iviron</w:t>
            </w:r>
          </w:p>
        </w:tc>
        <w:tc>
          <w:tcPr/>
          <w:p>
            <w:pPr>
              <w:pStyle w:val="Compact"/>
              <w:jc w:val="left"/>
            </w:pPr>
            <w:r>
              <w:t xml:space="preserve">1519</w:t>
            </w:r>
          </w:p>
        </w:tc>
      </w:tr>
      <w:tr>
        <w:tc>
          <w:tcPr/>
          <w:p>
            <w:pPr>
              <w:pStyle w:val="Compact"/>
              <w:jc w:val="left"/>
            </w:pPr>
            <w:r>
              <w:t xml:space="preserve">1864</w:t>
            </w:r>
          </w:p>
        </w:tc>
        <w:tc>
          <w:tcPr/>
          <w:p>
            <w:pPr>
              <w:pStyle w:val="Compact"/>
              <w:jc w:val="left"/>
            </w:pPr>
            <w:r>
              <w:t xml:space="preserve">---</w:t>
            </w:r>
          </w:p>
        </w:tc>
        <w:tc>
          <w:tcPr/>
          <w:p>
            <w:pPr>
              <w:pStyle w:val="Compact"/>
              <w:jc w:val="left"/>
            </w:pPr>
            <w:r>
              <w:t xml:space="preserve">---</w:t>
            </w:r>
          </w:p>
        </w:tc>
        <w:tc>
          <w:tcPr/>
          <w:p>
            <w:pPr>
              <w:pStyle w:val="Compact"/>
              <w:jc w:val="left"/>
            </w:pPr>
            <w:r>
              <w:t xml:space="preserve">1864</w:t>
            </w:r>
          </w:p>
        </w:tc>
        <w:tc>
          <w:tcPr/>
          <w:p>
            <w:pPr>
              <w:pStyle w:val="Compact"/>
              <w:jc w:val="left"/>
            </w:pPr>
            <w:r>
              <w:t xml:space="preserve">1864</w:t>
            </w:r>
          </w:p>
        </w:tc>
        <w:tc>
          <w:tcPr/>
          <w:p>
            <w:pPr>
              <w:pStyle w:val="Compact"/>
              <w:jc w:val="left"/>
            </w:pPr>
            <w:r>
              <w:t xml:space="preserve">---</w:t>
            </w:r>
          </w:p>
        </w:tc>
        <w:tc>
          <w:tcPr/>
          <w:p>
            <w:pPr>
              <w:pStyle w:val="Compact"/>
              <w:jc w:val="left"/>
            </w:pPr>
            <w:r>
              <w:t xml:space="preserve">Stavronikita</w:t>
            </w:r>
          </w:p>
        </w:tc>
        <w:tc>
          <w:tcPr/>
          <w:p>
            <w:pPr>
              <w:pStyle w:val="Compact"/>
              <w:jc w:val="left"/>
            </w:pPr>
            <w:r>
              <w:t xml:space="preserve">XIII</w:t>
            </w:r>
          </w:p>
        </w:tc>
      </w:tr>
      <w:tr>
        <w:tc>
          <w:tcPr/>
          <w:p>
            <w:pPr>
              <w:pStyle w:val="Compact"/>
              <w:jc w:val="left"/>
            </w:pPr>
            <w:r>
              <w:t xml:space="preserve">---</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w:t>
            </w:r>
          </w:p>
        </w:tc>
        <w:tc>
          <w:tcPr/>
          <w:p>
            <w:pPr>
              <w:pStyle w:val="Compact"/>
              <w:jc w:val="left"/>
            </w:pPr>
            <w:r>
              <w:t xml:space="preserve">1899</w:t>
            </w:r>
          </w:p>
        </w:tc>
        <w:tc>
          <w:tcPr/>
          <w:p>
            <w:pPr>
              <w:pStyle w:val="Compact"/>
              <w:jc w:val="left"/>
            </w:pPr>
            <w:r>
              <w:t xml:space="preserve">Patmos</w:t>
            </w:r>
          </w:p>
        </w:tc>
        <w:tc>
          <w:tcPr/>
          <w:p>
            <w:pPr>
              <w:pStyle w:val="Compact"/>
              <w:jc w:val="left"/>
            </w:pPr>
            <w:r>
              <w:t xml:space="preserve">XIV</w:t>
            </w:r>
          </w:p>
        </w:tc>
      </w:tr>
    </w:tbl>
    <w:p>
      <w:pPr>
        <w:pStyle w:val="BodyText"/>
      </w:pPr>
      <w:r>
        <w:t xml:space="preserve">Dodaję teraz „maruderów”, aby uzupełnić obraz każdego wariantu. Uważny czytelnik zauważył, że 1 List Piotra 3,6 znajduje się wyżej w nawiasach kwadratowych, uczyniłem tak, ponieważ wariant ten znajduje się już w grupie 1. Ten konkretny wariant ma dziwną „domieszkę” obu grup, ze względu na charakter wariantu podejrzewam, że wykaz jest przypadkowy, a zatem wariant ten tak naprawdę nie należy do żadnej grupy.</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w:t>
            </w:r>
          </w:p>
        </w:tc>
        <w:tc>
          <w:tcPr/>
          <w:p>
            <w:pPr>
              <w:pStyle w:val="Compact"/>
              <w:jc w:val="left"/>
            </w:pPr>
            <w:r>
              <w:t xml:space="preserve">1250</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1737</w:t>
            </w:r>
          </w:p>
        </w:tc>
        <w:tc>
          <w:tcPr/>
          <w:p>
            <w:pPr>
              <w:pStyle w:val="Compact"/>
              <w:jc w:val="left"/>
            </w:pPr>
            <w:r>
              <w:t xml:space="preserve">1737</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1763</w:t>
            </w:r>
          </w:p>
        </w:tc>
        <w:tc>
          <w:tcPr/>
          <w:p>
            <w:pPr>
              <w:pStyle w:val="Compact"/>
              <w:jc w:val="left"/>
            </w:pPr>
            <w:r>
              <w:t xml:space="preserve">---</w:t>
            </w:r>
          </w:p>
        </w:tc>
        <w:tc>
          <w:tcPr/>
          <w:p>
            <w:pPr>
              <w:pStyle w:val="Compact"/>
              <w:jc w:val="left"/>
            </w:pPr>
            <w:r>
              <w:t xml:space="preserve">1763</w:t>
            </w:r>
          </w:p>
        </w:tc>
        <w:tc>
          <w:tcPr/>
          <w:p>
            <w:pPr>
              <w:pStyle w:val="Compact"/>
              <w:jc w:val="left"/>
            </w:pPr>
            <w:r>
              <w:t xml:space="preserve">---</w:t>
            </w:r>
          </w:p>
        </w:tc>
        <w:tc>
          <w:tcPr/>
          <w:p>
            <w:pPr>
              <w:pStyle w:val="Compact"/>
              <w:jc w:val="left"/>
            </w:pPr>
            <w:r>
              <w:t xml:space="preserve">---</w:t>
            </w:r>
          </w:p>
        </w:tc>
        <w:tc>
          <w:tcPr/>
          <w:p>
            <w:pPr>
              <w:pStyle w:val="Compact"/>
              <w:jc w:val="left"/>
            </w:pPr>
            <w:r>
              <w:t xml:space="preserve">1763</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2218</w:t>
            </w:r>
          </w:p>
        </w:tc>
        <w:tc>
          <w:tcPr/>
          <w:p>
            <w:pPr>
              <w:pStyle w:val="Compact"/>
              <w:jc w:val="left"/>
            </w:pPr>
            <w:r>
              <w:t xml:space="preserve">2218</w:t>
            </w:r>
          </w:p>
        </w:tc>
        <w:tc>
          <w:tcPr/>
          <w:p>
            <w:pPr>
              <w:pStyle w:val="Compact"/>
              <w:jc w:val="left"/>
            </w:pPr>
            <w:r>
              <w:t xml:space="preserve">---</w:t>
            </w:r>
          </w:p>
        </w:tc>
        <w:tc>
          <w:tcPr/>
          <w:p>
            <w:pPr>
              <w:pStyle w:val="Compact"/>
              <w:jc w:val="left"/>
            </w:pPr>
            <w:r>
              <w:t xml:space="preserve">Lesbos</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2261</w:t>
            </w:r>
          </w:p>
        </w:tc>
        <w:tc>
          <w:tcPr/>
          <w:p>
            <w:pPr>
              <w:pStyle w:val="Compact"/>
              <w:jc w:val="left"/>
            </w:pPr>
            <w:r>
              <w:t xml:space="preserve">---</w:t>
            </w:r>
          </w:p>
        </w:tc>
        <w:tc>
          <w:tcPr/>
          <w:p>
            <w:pPr>
              <w:pStyle w:val="Compact"/>
              <w:jc w:val="left"/>
            </w:pPr>
            <w:r>
              <w:t xml:space="preserve">2261</w:t>
            </w:r>
          </w:p>
        </w:tc>
        <w:tc>
          <w:tcPr/>
          <w:p>
            <w:pPr>
              <w:pStyle w:val="Compact"/>
              <w:jc w:val="left"/>
            </w:pPr>
            <w:r>
              <w:t xml:space="preserve">Kalawrita</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c>
          <w:tcPr/>
          <w:p>
            <w:pPr>
              <w:pStyle w:val="Compact"/>
              <w:jc w:val="left"/>
            </w:pPr>
            <w:r>
              <w:t xml:space="preserve">---</w:t>
            </w:r>
          </w:p>
        </w:tc>
        <w:tc>
          <w:tcPr/>
          <w:p>
            <w:pPr>
              <w:pStyle w:val="Compact"/>
              <w:jc w:val="left"/>
            </w:pPr>
            <w:r>
              <w:t xml:space="preserve">2501</w:t>
            </w:r>
          </w:p>
        </w:tc>
        <w:tc>
          <w:tcPr/>
          <w:p>
            <w:pPr>
              <w:pStyle w:val="Compact"/>
              <w:jc w:val="left"/>
            </w:pPr>
            <w:r>
              <w:t xml:space="preserve">Synaj</w:t>
            </w:r>
          </w:p>
        </w:tc>
        <w:tc>
          <w:tcPr/>
          <w:p>
            <w:pPr>
              <w:pStyle w:val="Compact"/>
              <w:jc w:val="left"/>
            </w:pPr>
            <w:r>
              <w:t xml:space="preserve">XVI</w:t>
            </w:r>
          </w:p>
        </w:tc>
      </w:tr>
    </w:tbl>
    <w:p>
      <w:pPr>
        <w:pStyle w:val="BodyText"/>
      </w:pPr>
      <w:r>
        <w:t xml:space="preserve">Do nich należy dodać następujące „samotne” przypadki: dla 1 Listu Piotra 2,11 dodać 204, 2704, dla 1 Listu Piotra 4,2 dodać 1101, 1761, 1766, dla 1 Listu Piotra 5,7 dodać 141, 801, 986, 1247, 1249, 1726, 1752, 1876, 2626 (obraz ten wynika prawdopodobnie z charakteru wariantu i nie odzwierciedla zależności), dla 1 Listu Piotra 1,23 i 4,11 nie ma żadnych.</w:t>
      </w:r>
    </w:p>
    <w:p>
      <w:pPr>
        <w:pStyle w:val="BodyText"/>
      </w:pPr>
      <w:r>
        <w:t xml:space="preserve">Komentarz: rzucającą się w oczy cechą tej drugiej grupy jest to, że ogranicza się do jednej księgi. Inną rzucającą się w oczy cechą jest dominacja M Lavras, niemal połowa całości (istnieją jednak pewne manuskrypty M Lavras, które nie należą do żadnej grupy). Prawdopodobieństwo, że ta druga grupa mogłaby reprezentować archetyp, również jest znikome.</w:t>
      </w:r>
    </w:p>
    <w:p>
      <w:pPr>
        <w:pStyle w:val="BodyText"/>
      </w:pPr>
      <w:r>
        <w:t xml:space="preserve">Podobnie jak w przypadku εχη w Liście Jakuba 2,14, pominięcie του w 1 Liście Piotra 4,2 jest poświadczone przez 36 manuskryptów, ponad 40% rodziny. Ponieważ nie ma większej wątpliwości, że archetyp miał rodzajnik, jak wyjaśnić wysokie poświadczenie pominięcia? Przypuszczam, że był to nacisk masy bizantyjskiej, wynoszącej tutaj niemal 80%. W kontekście oczekiwalibyśmy rodzajnika, który uważam za poprawny.</w:t>
      </w:r>
    </w:p>
    <w:p>
      <w:pPr>
        <w:pStyle w:val="BodyText"/>
      </w:pPr>
      <w:r>
        <w:t xml:space="preserve">Dochodzimy teraz do jedynego rzeczywistego „problemu” w ustalaniu archetypalnej formy rodziny w Listach Ogólnych — 1 List Jana 1,6 (na początku wspomniałem czternaście podziałów, z których omówiłem tylko trzynaście). Jest to jedyne miejsce w Listach Ogólnych, w którym forma archetypalna zachowała się w mniejszości zachowanych przedstawicieli, przynajmniej według mojego rozumienia. Główna kwestia sporna może być przypadkiem dittografii. Czasownik „mówić” słusznie występuje w trybie łączącym, ponieważ jest rządzony przez εαν, lecz czasowniki „mieć” i „chodzić” są częścią stwierdzenia i słusznie występują w trybie oznajmującym, tylko jeśli faktycznie chodzimy w ciemności, stajemy się kłamcami, twierdząc, że mamy społeczność. Περιπατουμεν jest więc poprawne. Wracając jednak do manuskryptów, zauważamy osobliwą okoliczność: wykaz mający tryb łączący tworzą dokładnie te dwie podgrupy, a 2255 jest jedynym obcym (prawdopodobna dittografia), wszystkie pozostałe manuskrypty, które nie uczestniczą w żadnej z podgrup, mają tryb oznajmujący i bardzo dobre rozmieszczenie geograficzne. Rozważmy:</w:t>
      </w:r>
    </w:p>
    <w:tbl>
      <w:tblPr>
        <w:tblStyle w:val="Table"/>
        <w:tblW w:type="pct" w:w="5000"/>
        <w:tblLook w:firstRow="1" w:lastRow="0" w:firstColumn="0" w:lastColumn="0" w:noHBand="0" w:noVBand="0" w:val="0020"/>
        <w:jc w:val="start"/>
      </w:tblPr>
      <w:tblGrid>
        <w:gridCol w:w="1440"/>
        <w:gridCol w:w="1080"/>
        <w:gridCol w:w="1440"/>
        <w:gridCol w:w="1440"/>
        <w:gridCol w:w="1080"/>
        <w:gridCol w:w="1440"/>
      </w:tblGrid>
      <w:tr>
        <w:trPr>
          <w:tblHeader w:val="true"/>
        </w:trPr>
        <w:tc>
          <w:tcPr/>
          <w:p>
            <w:pPr>
              <w:pStyle w:val="Compact"/>
              <w:jc w:val="right"/>
            </w:pPr>
            <w:r>
              <w:t xml:space="preserve">Manuskrypt</w:t>
            </w:r>
          </w:p>
        </w:tc>
        <w:tc>
          <w:tcPr/>
          <w:p>
            <w:pPr>
              <w:pStyle w:val="Compact"/>
              <w:jc w:val="left"/>
            </w:pPr>
            <w:r>
              <w:t xml:space="preserve">Miejsce</w:t>
            </w:r>
          </w:p>
        </w:tc>
        <w:tc>
          <w:tcPr/>
          <w:p>
            <w:pPr>
              <w:pStyle w:val="Compact"/>
              <w:jc w:val="right"/>
            </w:pPr>
            <w:r>
              <w:t xml:space="preserve">Data</w:t>
            </w:r>
          </w:p>
        </w:tc>
        <w:tc>
          <w:tcPr/>
          <w:p>
            <w:pPr>
              <w:pStyle w:val="Compact"/>
              <w:jc w:val="right"/>
            </w:pPr>
            <w:r>
              <w:t xml:space="preserve">Manuskrypt</w:t>
            </w:r>
          </w:p>
        </w:tc>
        <w:tc>
          <w:tcPr/>
          <w:p>
            <w:pPr>
              <w:pStyle w:val="Compact"/>
              <w:jc w:val="left"/>
            </w:pPr>
            <w:r>
              <w:t xml:space="preserve">Miejsce</w:t>
            </w:r>
          </w:p>
        </w:tc>
        <w:tc>
          <w:tcPr/>
          <w:p>
            <w:pPr>
              <w:pStyle w:val="Compact"/>
              <w:jc w:val="right"/>
            </w:pPr>
            <w:r>
              <w:t xml:space="preserve">Data</w:t>
            </w:r>
          </w:p>
        </w:tc>
      </w:tr>
      <w:tr>
        <w:tc>
          <w:tcPr/>
          <w:p>
            <w:pPr>
              <w:pStyle w:val="Compact"/>
              <w:jc w:val="right"/>
            </w:pPr>
            <w:r>
              <w:t xml:space="preserve">18</w:t>
            </w:r>
          </w:p>
        </w:tc>
        <w:tc>
          <w:tcPr/>
          <w:p>
            <w:pPr>
              <w:pStyle w:val="Compact"/>
              <w:jc w:val="left"/>
            </w:pPr>
            <w:r>
              <w:t xml:space="preserve">Konstantynopol</w:t>
            </w:r>
          </w:p>
        </w:tc>
        <w:tc>
          <w:tcPr/>
          <w:p>
            <w:pPr>
              <w:pStyle w:val="Compact"/>
              <w:jc w:val="right"/>
            </w:pPr>
            <w:r>
              <w:t xml:space="preserve">1364</w:t>
            </w:r>
          </w:p>
        </w:tc>
        <w:tc>
          <w:tcPr/>
          <w:p>
            <w:pPr>
              <w:pStyle w:val="Compact"/>
              <w:jc w:val="right"/>
            </w:pPr>
            <w:r>
              <w:t xml:space="preserve">35</w:t>
            </w:r>
          </w:p>
        </w:tc>
        <w:tc>
          <w:tcPr/>
          <w:p>
            <w:pPr>
              <w:pStyle w:val="Compact"/>
              <w:jc w:val="left"/>
            </w:pPr>
            <w:r>
              <w:t xml:space="preserve">Paryż</w:t>
            </w:r>
          </w:p>
        </w:tc>
        <w:tc>
          <w:tcPr/>
          <w:p>
            <w:pPr>
              <w:pStyle w:val="Compact"/>
              <w:jc w:val="right"/>
            </w:pPr>
            <w:r>
              <w:t xml:space="preserve">XI</w:t>
            </w:r>
          </w:p>
        </w:tc>
      </w:tr>
      <w:tr>
        <w:tc>
          <w:tcPr/>
          <w:p>
            <w:pPr>
              <w:pStyle w:val="Compact"/>
              <w:jc w:val="right"/>
            </w:pPr>
            <w:r>
              <w:t xml:space="preserve">141</w:t>
            </w:r>
          </w:p>
        </w:tc>
        <w:tc>
          <w:tcPr/>
          <w:p>
            <w:pPr>
              <w:pStyle w:val="Compact"/>
              <w:jc w:val="left"/>
            </w:pPr>
            <w:r>
              <w:t xml:space="preserve">Watykan</w:t>
            </w:r>
          </w:p>
        </w:tc>
        <w:tc>
          <w:tcPr/>
          <w:p>
            <w:pPr>
              <w:pStyle w:val="Compact"/>
              <w:jc w:val="right"/>
            </w:pPr>
            <w:r>
              <w:t xml:space="preserve">XIII</w:t>
            </w:r>
          </w:p>
        </w:tc>
        <w:tc>
          <w:tcPr/>
          <w:p>
            <w:pPr>
              <w:pStyle w:val="Compact"/>
              <w:jc w:val="right"/>
            </w:pPr>
            <w:r>
              <w:t xml:space="preserve">204</w:t>
            </w:r>
          </w:p>
        </w:tc>
        <w:tc>
          <w:tcPr/>
          <w:p>
            <w:pPr>
              <w:pStyle w:val="Compact"/>
              <w:jc w:val="left"/>
            </w:pPr>
            <w:r>
              <w:t xml:space="preserve">Bolonia</w:t>
            </w:r>
          </w:p>
        </w:tc>
        <w:tc>
          <w:tcPr/>
          <w:p>
            <w:pPr>
              <w:pStyle w:val="Compact"/>
              <w:jc w:val="right"/>
            </w:pPr>
            <w:r>
              <w:t xml:space="preserve">XIII</w:t>
            </w:r>
          </w:p>
        </w:tc>
      </w:tr>
      <w:tr>
        <w:tc>
          <w:tcPr/>
          <w:p>
            <w:pPr>
              <w:pStyle w:val="Compact"/>
              <w:jc w:val="right"/>
            </w:pPr>
            <w:r>
              <w:t xml:space="preserve">386</w:t>
            </w:r>
          </w:p>
        </w:tc>
        <w:tc>
          <w:tcPr/>
          <w:p>
            <w:pPr>
              <w:pStyle w:val="Compact"/>
              <w:jc w:val="left"/>
            </w:pPr>
            <w:r>
              <w:t xml:space="preserve">Watykan</w:t>
            </w:r>
          </w:p>
        </w:tc>
        <w:tc>
          <w:tcPr/>
          <w:p>
            <w:pPr>
              <w:pStyle w:val="Compact"/>
              <w:jc w:val="right"/>
            </w:pPr>
            <w:r>
              <w:t xml:space="preserve">XIV</w:t>
            </w:r>
          </w:p>
        </w:tc>
        <w:tc>
          <w:tcPr/>
          <w:p>
            <w:pPr>
              <w:pStyle w:val="Compact"/>
              <w:jc w:val="right"/>
            </w:pPr>
            <w:r>
              <w:t xml:space="preserve">801</w:t>
            </w:r>
          </w:p>
        </w:tc>
        <w:tc>
          <w:tcPr/>
          <w:p>
            <w:pPr>
              <w:pStyle w:val="Compact"/>
              <w:jc w:val="left"/>
            </w:pPr>
            <w:r>
              <w:t xml:space="preserve">Ateny</w:t>
            </w:r>
          </w:p>
        </w:tc>
        <w:tc>
          <w:tcPr/>
          <w:p>
            <w:pPr>
              <w:pStyle w:val="Compact"/>
              <w:jc w:val="right"/>
            </w:pPr>
            <w:r>
              <w:t xml:space="preserve">XV</w:t>
            </w:r>
          </w:p>
        </w:tc>
      </w:tr>
      <w:tr>
        <w:tc>
          <w:tcPr/>
          <w:p>
            <w:pPr>
              <w:pStyle w:val="Compact"/>
              <w:jc w:val="right"/>
            </w:pPr>
            <w:r>
              <w:t xml:space="preserve">824</w:t>
            </w:r>
          </w:p>
        </w:tc>
        <w:tc>
          <w:tcPr/>
          <w:p>
            <w:pPr>
              <w:pStyle w:val="Compact"/>
              <w:jc w:val="left"/>
            </w:pPr>
            <w:r>
              <w:t xml:space="preserve">Grottaferrata</w:t>
            </w:r>
          </w:p>
        </w:tc>
        <w:tc>
          <w:tcPr/>
          <w:p>
            <w:pPr>
              <w:pStyle w:val="Compact"/>
              <w:jc w:val="right"/>
            </w:pPr>
            <w:r>
              <w:t xml:space="preserve">XIV</w:t>
            </w:r>
          </w:p>
        </w:tc>
        <w:tc>
          <w:tcPr/>
          <w:p>
            <w:pPr>
              <w:pStyle w:val="Compact"/>
              <w:jc w:val="right"/>
            </w:pPr>
            <w:r>
              <w:t xml:space="preserve">1100</w:t>
            </w:r>
          </w:p>
        </w:tc>
        <w:tc>
          <w:tcPr/>
          <w:p>
            <w:pPr>
              <w:pStyle w:val="Compact"/>
              <w:jc w:val="left"/>
            </w:pPr>
            <w:r>
              <w:t xml:space="preserve">Dionysiu</w:t>
            </w:r>
          </w:p>
        </w:tc>
        <w:tc>
          <w:tcPr/>
          <w:p>
            <w:pPr>
              <w:pStyle w:val="Compact"/>
              <w:jc w:val="right"/>
            </w:pPr>
            <w:r>
              <w:t xml:space="preserve">1376</w:t>
            </w:r>
          </w:p>
        </w:tc>
      </w:tr>
      <w:tr>
        <w:tc>
          <w:tcPr/>
          <w:p>
            <w:pPr>
              <w:pStyle w:val="Compact"/>
              <w:jc w:val="right"/>
            </w:pPr>
            <w:r>
              <w:t xml:space="preserve">1101</w:t>
            </w:r>
          </w:p>
        </w:tc>
        <w:tc>
          <w:tcPr/>
          <w:p>
            <w:pPr>
              <w:pStyle w:val="Compact"/>
              <w:jc w:val="left"/>
            </w:pPr>
            <w:r>
              <w:t xml:space="preserve">Dionysiu</w:t>
            </w:r>
          </w:p>
        </w:tc>
        <w:tc>
          <w:tcPr/>
          <w:p>
            <w:pPr>
              <w:pStyle w:val="Compact"/>
              <w:jc w:val="right"/>
            </w:pPr>
            <w:r>
              <w:t xml:space="preserve">1660</w:t>
            </w:r>
          </w:p>
        </w:tc>
        <w:tc>
          <w:tcPr/>
          <w:p>
            <w:pPr>
              <w:pStyle w:val="Compact"/>
              <w:jc w:val="right"/>
            </w:pPr>
            <w:r>
              <w:t xml:space="preserve">1250</w:t>
            </w:r>
          </w:p>
        </w:tc>
        <w:tc>
          <w:tcPr/>
          <w:p>
            <w:pPr>
              <w:pStyle w:val="Compact"/>
              <w:jc w:val="left"/>
            </w:pPr>
            <w:r>
              <w:t xml:space="preserve">Synaj</w:t>
            </w:r>
          </w:p>
        </w:tc>
        <w:tc>
          <w:tcPr/>
          <w:p>
            <w:pPr>
              <w:pStyle w:val="Compact"/>
              <w:jc w:val="right"/>
            </w:pPr>
            <w:r>
              <w:t xml:space="preserve">XV</w:t>
            </w:r>
          </w:p>
        </w:tc>
      </w:tr>
      <w:tr>
        <w:tc>
          <w:tcPr/>
          <w:p>
            <w:pPr>
              <w:pStyle w:val="Compact"/>
              <w:jc w:val="right"/>
            </w:pPr>
            <w:r>
              <w:t xml:space="preserve">1636</w:t>
            </w:r>
          </w:p>
        </w:tc>
        <w:tc>
          <w:tcPr/>
          <w:p>
            <w:pPr>
              <w:pStyle w:val="Compact"/>
              <w:jc w:val="left"/>
            </w:pPr>
            <w:r>
              <w:t xml:space="preserve">M Lavras</w:t>
            </w:r>
          </w:p>
        </w:tc>
        <w:tc>
          <w:tcPr/>
          <w:p>
            <w:pPr>
              <w:pStyle w:val="Compact"/>
              <w:jc w:val="right"/>
            </w:pPr>
            <w:r>
              <w:t xml:space="preserve">XV</w:t>
            </w:r>
          </w:p>
        </w:tc>
        <w:tc>
          <w:tcPr/>
          <w:p>
            <w:pPr>
              <w:pStyle w:val="Compact"/>
              <w:jc w:val="right"/>
            </w:pPr>
            <w:r>
              <w:t xml:space="preserve">1704</w:t>
            </w:r>
          </w:p>
        </w:tc>
        <w:tc>
          <w:tcPr/>
          <w:p>
            <w:pPr>
              <w:pStyle w:val="Compact"/>
              <w:jc w:val="left"/>
            </w:pPr>
            <w:r>
              <w:t xml:space="preserve">Kutlumusiu</w:t>
            </w:r>
          </w:p>
        </w:tc>
        <w:tc>
          <w:tcPr/>
          <w:p>
            <w:pPr>
              <w:pStyle w:val="Compact"/>
              <w:jc w:val="right"/>
            </w:pPr>
            <w:r>
              <w:t xml:space="preserve">1541</w:t>
            </w:r>
          </w:p>
        </w:tc>
      </w:tr>
      <w:tr>
        <w:tc>
          <w:tcPr/>
          <w:p>
            <w:pPr>
              <w:pStyle w:val="Compact"/>
              <w:jc w:val="right"/>
            </w:pPr>
            <w:r>
              <w:t xml:space="preserve">1725</w:t>
            </w:r>
          </w:p>
        </w:tc>
        <w:tc>
          <w:tcPr/>
          <w:p>
            <w:pPr>
              <w:pStyle w:val="Compact"/>
              <w:jc w:val="left"/>
            </w:pPr>
            <w:r>
              <w:t xml:space="preserve">Vatopediu</w:t>
            </w:r>
          </w:p>
        </w:tc>
        <w:tc>
          <w:tcPr/>
          <w:p>
            <w:pPr>
              <w:pStyle w:val="Compact"/>
              <w:jc w:val="right"/>
            </w:pPr>
            <w:r>
              <w:t xml:space="preserve">1367</w:t>
            </w:r>
          </w:p>
        </w:tc>
        <w:tc>
          <w:tcPr/>
          <w:p>
            <w:pPr>
              <w:pStyle w:val="Compact"/>
              <w:jc w:val="right"/>
            </w:pPr>
            <w:r>
              <w:t xml:space="preserve">1726</w:t>
            </w:r>
          </w:p>
        </w:tc>
        <w:tc>
          <w:tcPr/>
          <w:p>
            <w:pPr>
              <w:pStyle w:val="Compact"/>
              <w:jc w:val="left"/>
            </w:pPr>
            <w:r>
              <w:t xml:space="preserve">Vatopediu</w:t>
            </w:r>
          </w:p>
        </w:tc>
        <w:tc>
          <w:tcPr/>
          <w:p>
            <w:pPr>
              <w:pStyle w:val="Compact"/>
              <w:jc w:val="right"/>
            </w:pPr>
            <w:r>
              <w:t xml:space="preserve">XIV</w:t>
            </w:r>
          </w:p>
        </w:tc>
      </w:tr>
      <w:tr>
        <w:tc>
          <w:tcPr/>
          <w:p>
            <w:pPr>
              <w:pStyle w:val="Compact"/>
              <w:jc w:val="right"/>
            </w:pPr>
            <w:r>
              <w:t xml:space="preserve">1732</w:t>
            </w:r>
          </w:p>
        </w:tc>
        <w:tc>
          <w:tcPr/>
          <w:p>
            <w:pPr>
              <w:pStyle w:val="Compact"/>
              <w:jc w:val="left"/>
            </w:pPr>
            <w:r>
              <w:t xml:space="preserve">M Lavras</w:t>
            </w:r>
          </w:p>
        </w:tc>
        <w:tc>
          <w:tcPr/>
          <w:p>
            <w:pPr>
              <w:pStyle w:val="Compact"/>
              <w:jc w:val="right"/>
            </w:pPr>
            <w:r>
              <w:t xml:space="preserve">1384</w:t>
            </w:r>
          </w:p>
        </w:tc>
        <w:tc>
          <w:tcPr/>
          <w:p>
            <w:pPr>
              <w:pStyle w:val="Compact"/>
              <w:jc w:val="right"/>
            </w:pPr>
            <w:r>
              <w:t xml:space="preserve">1733</w:t>
            </w:r>
          </w:p>
        </w:tc>
        <w:tc>
          <w:tcPr/>
          <w:p>
            <w:pPr>
              <w:pStyle w:val="Compact"/>
              <w:jc w:val="left"/>
            </w:pPr>
            <w:r>
              <w:t xml:space="preserve">M Lavras</w:t>
            </w:r>
          </w:p>
        </w:tc>
        <w:tc>
          <w:tcPr/>
          <w:p>
            <w:pPr>
              <w:pStyle w:val="Compact"/>
              <w:jc w:val="right"/>
            </w:pPr>
            <w:r>
              <w:t xml:space="preserve">XIV</w:t>
            </w:r>
          </w:p>
        </w:tc>
      </w:tr>
      <w:tr>
        <w:tc>
          <w:tcPr/>
          <w:p>
            <w:pPr>
              <w:pStyle w:val="Compact"/>
              <w:jc w:val="right"/>
            </w:pPr>
            <w:r>
              <w:t xml:space="preserve">1754</w:t>
            </w:r>
          </w:p>
        </w:tc>
        <w:tc>
          <w:tcPr/>
          <w:p>
            <w:pPr>
              <w:pStyle w:val="Compact"/>
              <w:jc w:val="left"/>
            </w:pPr>
            <w:r>
              <w:t xml:space="preserve">Panteleimonos</w:t>
            </w:r>
          </w:p>
        </w:tc>
        <w:tc>
          <w:tcPr/>
          <w:p>
            <w:pPr>
              <w:pStyle w:val="Compact"/>
              <w:jc w:val="right"/>
            </w:pPr>
            <w:r>
              <w:t xml:space="preserve">XII</w:t>
            </w:r>
          </w:p>
        </w:tc>
        <w:tc>
          <w:tcPr/>
          <w:p>
            <w:pPr>
              <w:pStyle w:val="Compact"/>
              <w:jc w:val="right"/>
            </w:pPr>
            <w:r>
              <w:t xml:space="preserve">1761</w:t>
            </w:r>
          </w:p>
        </w:tc>
        <w:tc>
          <w:tcPr/>
          <w:p>
            <w:pPr>
              <w:pStyle w:val="Compact"/>
              <w:jc w:val="left"/>
            </w:pPr>
            <w:r>
              <w:t xml:space="preserve">Ateny</w:t>
            </w:r>
          </w:p>
        </w:tc>
        <w:tc>
          <w:tcPr/>
          <w:p>
            <w:pPr>
              <w:pStyle w:val="Compact"/>
              <w:jc w:val="right"/>
            </w:pPr>
            <w:r>
              <w:t xml:space="preserve">XIV</w:t>
            </w:r>
          </w:p>
        </w:tc>
      </w:tr>
      <w:tr>
        <w:tc>
          <w:tcPr/>
          <w:p>
            <w:pPr>
              <w:pStyle w:val="Compact"/>
              <w:jc w:val="right"/>
            </w:pPr>
            <w:r>
              <w:t xml:space="preserve">1858</w:t>
            </w:r>
          </w:p>
        </w:tc>
        <w:tc>
          <w:tcPr/>
          <w:p>
            <w:pPr>
              <w:pStyle w:val="Compact"/>
              <w:jc w:val="left"/>
            </w:pPr>
            <w:r>
              <w:t xml:space="preserve">Konstamonitu</w:t>
            </w:r>
          </w:p>
        </w:tc>
        <w:tc>
          <w:tcPr/>
          <w:p>
            <w:pPr>
              <w:pStyle w:val="Compact"/>
              <w:jc w:val="right"/>
            </w:pPr>
            <w:r>
              <w:t xml:space="preserve">XIII</w:t>
            </w:r>
          </w:p>
        </w:tc>
        <w:tc>
          <w:tcPr/>
          <w:p>
            <w:pPr>
              <w:pStyle w:val="Compact"/>
              <w:jc w:val="right"/>
            </w:pPr>
            <w:r>
              <w:t xml:space="preserve">1865</w:t>
            </w:r>
          </w:p>
        </w:tc>
        <w:tc>
          <w:tcPr/>
          <w:p>
            <w:pPr>
              <w:pStyle w:val="Compact"/>
              <w:jc w:val="left"/>
            </w:pPr>
            <w:r>
              <w:t xml:space="preserve">Filotheu</w:t>
            </w:r>
          </w:p>
        </w:tc>
        <w:tc>
          <w:tcPr/>
          <w:p>
            <w:pPr>
              <w:pStyle w:val="Compact"/>
              <w:jc w:val="right"/>
            </w:pPr>
            <w:r>
              <w:t xml:space="preserve">XIII</w:t>
            </w:r>
          </w:p>
        </w:tc>
      </w:tr>
      <w:tr>
        <w:tc>
          <w:tcPr/>
          <w:p>
            <w:pPr>
              <w:pStyle w:val="Compact"/>
              <w:jc w:val="right"/>
            </w:pPr>
            <w:r>
              <w:t xml:space="preserve">1876</w:t>
            </w:r>
          </w:p>
        </w:tc>
        <w:tc>
          <w:tcPr/>
          <w:p>
            <w:pPr>
              <w:pStyle w:val="Compact"/>
              <w:jc w:val="left"/>
            </w:pPr>
            <w:r>
              <w:t xml:space="preserve">Synaj</w:t>
            </w:r>
          </w:p>
        </w:tc>
        <w:tc>
          <w:tcPr/>
          <w:p>
            <w:pPr>
              <w:pStyle w:val="Compact"/>
              <w:jc w:val="right"/>
            </w:pPr>
            <w:r>
              <w:t xml:space="preserve">XV</w:t>
            </w:r>
          </w:p>
        </w:tc>
        <w:tc>
          <w:tcPr/>
          <w:p>
            <w:pPr>
              <w:pStyle w:val="Compact"/>
              <w:jc w:val="right"/>
            </w:pPr>
            <w:r>
              <w:t xml:space="preserve">1897</w:t>
            </w:r>
          </w:p>
        </w:tc>
        <w:tc>
          <w:tcPr/>
          <w:p>
            <w:pPr>
              <w:pStyle w:val="Compact"/>
              <w:jc w:val="left"/>
            </w:pPr>
            <w:r>
              <w:t xml:space="preserve">Jerozolima</w:t>
            </w:r>
          </w:p>
        </w:tc>
        <w:tc>
          <w:tcPr/>
          <w:p>
            <w:pPr>
              <w:pStyle w:val="Compact"/>
              <w:jc w:val="right"/>
            </w:pPr>
            <w:r>
              <w:t xml:space="preserve">XII</w:t>
            </w:r>
          </w:p>
        </w:tc>
      </w:tr>
      <w:tr>
        <w:tc>
          <w:tcPr/>
          <w:p>
            <w:pPr>
              <w:pStyle w:val="Compact"/>
              <w:jc w:val="right"/>
            </w:pPr>
            <w:r>
              <w:t xml:space="preserve">2080</w:t>
            </w:r>
          </w:p>
        </w:tc>
        <w:tc>
          <w:tcPr/>
          <w:p>
            <w:pPr>
              <w:pStyle w:val="Compact"/>
              <w:jc w:val="left"/>
            </w:pPr>
            <w:r>
              <w:t xml:space="preserve">Patmos</w:t>
            </w:r>
          </w:p>
        </w:tc>
        <w:tc>
          <w:tcPr/>
          <w:p>
            <w:pPr>
              <w:pStyle w:val="Compact"/>
              <w:jc w:val="right"/>
            </w:pPr>
            <w:r>
              <w:t xml:space="preserve">XIV</w:t>
            </w:r>
          </w:p>
        </w:tc>
        <w:tc>
          <w:tcPr/>
          <w:p>
            <w:pPr>
              <w:pStyle w:val="Compact"/>
              <w:jc w:val="right"/>
            </w:pPr>
            <w:r>
              <w:t xml:space="preserve">2221</w:t>
            </w:r>
          </w:p>
        </w:tc>
        <w:tc>
          <w:tcPr/>
          <w:p>
            <w:pPr>
              <w:pStyle w:val="Compact"/>
              <w:jc w:val="left"/>
            </w:pPr>
            <w:r>
              <w:t xml:space="preserve">Sparta</w:t>
            </w:r>
          </w:p>
        </w:tc>
        <w:tc>
          <w:tcPr/>
          <w:p>
            <w:pPr>
              <w:pStyle w:val="Compact"/>
              <w:jc w:val="right"/>
            </w:pPr>
            <w:r>
              <w:t xml:space="preserve">1432</w:t>
            </w:r>
          </w:p>
        </w:tc>
      </w:tr>
      <w:tr>
        <w:tc>
          <w:tcPr/>
          <w:p>
            <w:pPr>
              <w:pStyle w:val="Compact"/>
              <w:jc w:val="right"/>
            </w:pPr>
            <w:r>
              <w:t xml:space="preserve">2261</w:t>
            </w:r>
          </w:p>
        </w:tc>
        <w:tc>
          <w:tcPr/>
          <w:p>
            <w:pPr>
              <w:pStyle w:val="Compact"/>
              <w:jc w:val="left"/>
            </w:pPr>
            <w:r>
              <w:t xml:space="preserve">Kalawrita</w:t>
            </w:r>
          </w:p>
        </w:tc>
        <w:tc>
          <w:tcPr/>
          <w:p>
            <w:pPr>
              <w:pStyle w:val="Compact"/>
              <w:jc w:val="right"/>
            </w:pPr>
            <w:r>
              <w:t xml:space="preserve">XIV</w:t>
            </w:r>
          </w:p>
        </w:tc>
        <w:tc>
          <w:tcPr/>
          <w:p>
            <w:pPr>
              <w:pStyle w:val="Compact"/>
              <w:jc w:val="right"/>
            </w:pPr>
            <w:r>
              <w:t xml:space="preserve">[2378]</w:t>
            </w:r>
          </w:p>
        </w:tc>
        <w:tc>
          <w:tcPr/>
          <w:p>
            <w:pPr>
              <w:pStyle w:val="Compact"/>
              <w:jc w:val="left"/>
            </w:pPr>
            <w:r>
              <w:t xml:space="preserve">Ateny</w:t>
            </w:r>
          </w:p>
        </w:tc>
        <w:tc>
          <w:tcPr/>
          <w:p>
            <w:pPr>
              <w:pStyle w:val="Compact"/>
              <w:jc w:val="right"/>
            </w:pPr>
            <w:r>
              <w:t xml:space="preserve">1511</w:t>
            </w:r>
            <w:r>
              <w:rPr>
                <w:rStyle w:val="FootnoteReference"/>
              </w:rPr>
              <w:footnoteReference w:id="509"/>
            </w:r>
          </w:p>
        </w:tc>
      </w:tr>
      <w:tr>
        <w:tc>
          <w:tcPr/>
          <w:p>
            <w:pPr>
              <w:pStyle w:val="Compact"/>
              <w:jc w:val="right"/>
            </w:pPr>
            <w:r>
              <w:t xml:space="preserve">2466</w:t>
            </w:r>
          </w:p>
        </w:tc>
        <w:tc>
          <w:tcPr/>
          <w:p>
            <w:pPr>
              <w:pStyle w:val="Compact"/>
              <w:jc w:val="left"/>
            </w:pPr>
            <w:r>
              <w:t xml:space="preserve">Patmos</w:t>
            </w:r>
          </w:p>
        </w:tc>
        <w:tc>
          <w:tcPr/>
          <w:p>
            <w:pPr>
              <w:pStyle w:val="Compact"/>
              <w:jc w:val="right"/>
            </w:pPr>
            <w:r>
              <w:t xml:space="preserve">1329</w:t>
            </w:r>
          </w:p>
        </w:tc>
        <w:tc>
          <w:tcPr/>
          <w:p>
            <w:pPr>
              <w:pStyle w:val="Compact"/>
              <w:jc w:val="right"/>
            </w:pPr>
            <w:r>
              <w:t xml:space="preserve">2554</w:t>
            </w:r>
          </w:p>
        </w:tc>
        <w:tc>
          <w:tcPr/>
          <w:p>
            <w:pPr>
              <w:pStyle w:val="Compact"/>
              <w:jc w:val="left"/>
            </w:pPr>
            <w:r>
              <w:t xml:space="preserve">Bukareszt</w:t>
            </w:r>
          </w:p>
        </w:tc>
        <w:tc>
          <w:tcPr/>
          <w:p>
            <w:pPr>
              <w:pStyle w:val="Compact"/>
              <w:jc w:val="right"/>
            </w:pPr>
            <w:r>
              <w:t xml:space="preserve">1434</w:t>
            </w:r>
          </w:p>
        </w:tc>
      </w:tr>
      <w:tr>
        <w:tc>
          <w:tcPr/>
          <w:p>
            <w:pPr>
              <w:pStyle w:val="Compact"/>
              <w:jc w:val="right"/>
            </w:pPr>
            <w:r>
              <w:t xml:space="preserve">2626</w:t>
            </w:r>
          </w:p>
        </w:tc>
        <w:tc>
          <w:tcPr/>
          <w:p>
            <w:pPr>
              <w:pStyle w:val="Compact"/>
              <w:jc w:val="left"/>
            </w:pPr>
            <w:r>
              <w:t xml:space="preserve">Ochryda</w:t>
            </w:r>
          </w:p>
        </w:tc>
        <w:tc>
          <w:tcPr/>
          <w:p>
            <w:pPr>
              <w:pStyle w:val="Compact"/>
              <w:jc w:val="right"/>
            </w:pPr>
            <w:r>
              <w:t xml:space="preserve">XIV</w:t>
            </w:r>
          </w:p>
        </w:tc>
        <w:tc>
          <w:tcPr/>
          <w:p>
            <w:pPr>
              <w:pStyle w:val="Compact"/>
              <w:jc w:val="right"/>
            </w:pPr>
            <w:r>
              <w:t xml:space="preserve">2723</w:t>
            </w:r>
          </w:p>
        </w:tc>
        <w:tc>
          <w:tcPr/>
          <w:p>
            <w:pPr>
              <w:pStyle w:val="Compact"/>
              <w:jc w:val="left"/>
            </w:pPr>
            <w:r>
              <w:t xml:space="preserve">Trikala</w:t>
            </w:r>
          </w:p>
        </w:tc>
        <w:tc>
          <w:tcPr/>
          <w:p>
            <w:pPr>
              <w:pStyle w:val="Compact"/>
              <w:jc w:val="right"/>
            </w:pPr>
            <w:r>
              <w:t xml:space="preserve">XI</w:t>
            </w:r>
          </w:p>
        </w:tc>
      </w:tr>
    </w:tbl>
    <w:p>
      <w:pPr>
        <w:pStyle w:val="BodyText"/>
      </w:pPr>
      <w:r>
        <w:t xml:space="preserve">Tabela pomoże zobrazować rozmieszczenie obu wariantów przy użyciu kategorii „góra Athos” i „gdzie indziej”:</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Tryb oznajmujący</w:t>
            </w:r>
          </w:p>
        </w:tc>
        <w:tc>
          <w:tcPr/>
          <w:p>
            <w:pPr>
              <w:pStyle w:val="Compact"/>
              <w:jc w:val="left"/>
            </w:pPr>
            <w:r>
              <w:t xml:space="preserve">Tryb łączący</w:t>
            </w:r>
          </w:p>
        </w:tc>
        <w:tc>
          <w:tcPr/>
          <w:p>
            <w:pPr>
              <w:pStyle w:val="Compact"/>
              <w:jc w:val="left"/>
            </w:pPr>
            <w:r>
              <w:t xml:space="preserve">Oba</w:t>
            </w:r>
          </w:p>
        </w:tc>
      </w:tr>
      <w:tr>
        <w:tc>
          <w:tcPr/>
          <w:p>
            <w:pPr>
              <w:pStyle w:val="Compact"/>
              <w:jc w:val="left"/>
            </w:pPr>
            <w:r>
              <w:t xml:space="preserve">1) Góra Athos</w:t>
            </w:r>
          </w:p>
        </w:tc>
        <w:tc>
          <w:tcPr/>
          <w:p>
            <w:pPr>
              <w:pStyle w:val="Compact"/>
              <w:jc w:val="left"/>
            </w:pPr>
            <w:r>
              <w:t xml:space="preserve">Konstamonitu</w:t>
            </w:r>
            <w:r>
              <w:t xml:space="preserve">Kutlumusiu</w:t>
            </w:r>
            <w:r>
              <w:t xml:space="preserve">Filotheu</w:t>
            </w:r>
          </w:p>
        </w:tc>
        <w:tc>
          <w:tcPr/>
          <w:p>
            <w:pPr>
              <w:pStyle w:val="Compact"/>
              <w:jc w:val="left"/>
            </w:pPr>
            <w:r>
              <w:t xml:space="preserve">Esfigmenu</w:t>
            </w:r>
            <w:r>
              <w:t xml:space="preserve">Iviron</w:t>
            </w:r>
            <w:r>
              <w:t xml:space="preserve">Kavsokalyvia</w:t>
            </w:r>
            <w:r>
              <w:t xml:space="preserve">Stavronikita</w:t>
            </w:r>
          </w:p>
        </w:tc>
        <w:tc>
          <w:tcPr/>
          <w:p>
            <w:pPr>
              <w:pStyle w:val="Compact"/>
              <w:jc w:val="left"/>
            </w:pPr>
            <w:r>
              <w:t xml:space="preserve">Dionysiu</w:t>
            </w:r>
            <w:r>
              <w:t xml:space="preserve">M Lavras</w:t>
            </w:r>
            <w:r>
              <w:t xml:space="preserve">Panteleimonos</w:t>
            </w:r>
            <w:r>
              <w:t xml:space="preserve">Vatopediu</w:t>
            </w:r>
          </w:p>
        </w:tc>
      </w:tr>
      <w:tr>
        <w:tc>
          <w:tcPr/>
          <w:p>
            <w:pPr>
              <w:pStyle w:val="Compact"/>
              <w:jc w:val="left"/>
            </w:pPr>
            <w:r>
              <w:t xml:space="preserve">2) Gdzie indziej</w:t>
            </w:r>
          </w:p>
        </w:tc>
        <w:tc>
          <w:tcPr/>
          <w:p>
            <w:pPr>
              <w:pStyle w:val="Compact"/>
              <w:jc w:val="left"/>
            </w:pPr>
            <w:r>
              <w:t xml:space="preserve">Bolonia</w:t>
            </w:r>
            <w:r>
              <w:t xml:space="preserve">Bukareszt</w:t>
            </w:r>
            <w:r>
              <w:t xml:space="preserve">Konstantynopol</w:t>
            </w:r>
            <w:r>
              <w:t xml:space="preserve">Grottaferrata</w:t>
            </w:r>
            <w:r>
              <w:t xml:space="preserve">Kalawrita</w:t>
            </w:r>
            <w:r>
              <w:t xml:space="preserve">Ochryda</w:t>
            </w:r>
            <w:r>
              <w:t xml:space="preserve">Patmos</w:t>
            </w:r>
            <w:r>
              <w:t xml:space="preserve">Sparta</w:t>
            </w:r>
            <w:r>
              <w:t xml:space="preserve">Trikala</w:t>
            </w:r>
          </w:p>
        </w:tc>
        <w:tc>
          <w:tcPr/>
          <w:p>
            <w:pPr>
              <w:pStyle w:val="Compact"/>
              <w:jc w:val="left"/>
            </w:pPr>
            <w:r>
              <w:t xml:space="preserve">Karditsa</w:t>
            </w:r>
            <w:r>
              <w:t xml:space="preserve">Lejda</w:t>
            </w:r>
            <w:r>
              <w:t xml:space="preserve">Londyn</w:t>
            </w:r>
            <w:r>
              <w:t xml:space="preserve">Meteora</w:t>
            </w:r>
            <w:r>
              <w:t xml:space="preserve">Sofia</w:t>
            </w:r>
            <w:r>
              <w:t xml:space="preserve">Vallicelliana (Rzym)</w:t>
            </w:r>
            <w:r>
              <w:t xml:space="preserve">Zittau</w:t>
            </w:r>
          </w:p>
        </w:tc>
        <w:tc>
          <w:tcPr/>
          <w:p>
            <w:pPr>
              <w:pStyle w:val="Compact"/>
              <w:jc w:val="left"/>
            </w:pPr>
            <w:r>
              <w:t xml:space="preserve">Ateny</w:t>
            </w:r>
            <w:r>
              <w:t xml:space="preserve">Jerozolima</w:t>
            </w:r>
            <w:r>
              <w:t xml:space="preserve">Paryż</w:t>
            </w:r>
            <w:r>
              <w:t xml:space="preserve">Synaj</w:t>
            </w:r>
            <w:r>
              <w:t xml:space="preserve">Watykan</w:t>
            </w:r>
          </w:p>
        </w:tc>
      </w:tr>
    </w:tbl>
    <w:p>
      <w:pPr>
        <w:pStyle w:val="BodyText"/>
      </w:pPr>
      <w:r>
        <w:t xml:space="preserve">Synaj, Jerozolima, góra Athos i Watykan znajdują się po obu stronach, lecz tryb oznajmujący ma lepsze rozmieszczenie gdzie indziej, znacząco lepsze.</w:t>
      </w:r>
    </w:p>
    <w:p>
      <w:pPr>
        <w:pStyle w:val="BodyText"/>
      </w:pPr>
      <w:r>
        <w:t xml:space="preserve">W „Adjudicating Family Splits”,</w:t>
      </w:r>
      <w:r>
        <w:rPr>
          <w:rStyle w:val="FootnoteReference"/>
        </w:rPr>
        <w:footnoteReference w:id="510"/>
      </w:r>
      <w:r>
        <w:t xml:space="preserve"> </w:t>
      </w:r>
      <w:r>
        <w:t xml:space="preserve">na podstawie 24 manuskryptów, tryb łączący był poświadczony przez 59% tego wyboru, lecz moje narzędzie ważące zmniejszyło wartość do 43%. Niniejsze opracowanie opiera się na 77 manuskryptach (spośród 84 znanych członków rodziny), a tryb łączący jest obecnie poświadczony przez 61% spośród 77, obraz się nie zmienił. Z pogodą ducha jestem przekonany, że archetyp miał tryb oznajmujący.</w:t>
      </w:r>
    </w:p>
    <w:p>
      <w:pPr>
        <w:pStyle w:val="BodyText"/>
      </w:pPr>
      <w:r>
        <w:t xml:space="preserve">Wracając do wykazu czternastu podziałów na pierwszej stronie, można zauważyć, że niemal wszystkie obejmują jedną literę albo podobnie brzmiący dyftong. Większość z nich stanowi ledwie jakąkolwiek różnicę znaczenia. W całej Rodzinie 35, we wszystkich siedmiu Listach Ogólnych, po prostu nie istnieje żadne znaczące zróżnicowanie. Bóg zachował swój Tekst.</w:t>
      </w:r>
    </w:p>
    <w:bookmarkEnd w:id="511"/>
    <w:bookmarkEnd w:id="512"/>
    <w:bookmarkEnd w:id="513"/>
    <w:bookmarkStart w:id="516" w:name="Xda2d2575d30d2c42a65100ab334631998aae85b"/>
    <w:p>
      <w:pPr>
        <w:pStyle w:val="Heading2"/>
      </w:pPr>
      <w:r>
        <w:t xml:space="preserve">Ranking wariantowy manuskryptów zawierających List Judy (według Wassermana)</w:t>
      </w:r>
      <w:r>
        <w:rPr>
          <w:rStyle w:val="FootnoteReference"/>
        </w:rPr>
        <w:footnoteReference w:id="514"/>
      </w:r>
    </w:p>
    <w:p>
      <w:pPr>
        <w:pStyle w:val="BodyText"/>
      </w:pPr>
      <w:r>
        <w:t xml:space="preserve">Uwagi wstępne: niniejsze badanie nie rości sobie pretensji do ścisłej dokładności. Po prostu podążyłem za Wassermanem, nie sprawdzając żadnych manuskryptów, z wyjątkiem tego, co zaznaczono w komentarzu 4 poniżej. Nie liczyłem żadnego wariantu odczytywanego przez ponad 5% manuskryptów, nawet gdy zarówno Wasserman, jak i ja go odrzuciliśmy,</w:t>
      </w:r>
      <w:r>
        <w:rPr>
          <w:rStyle w:val="FootnoteReference"/>
        </w:rPr>
        <w:footnoteReference w:id="515"/>
      </w:r>
      <w:r>
        <w:t xml:space="preserve"> </w:t>
      </w:r>
      <w:r>
        <w:t xml:space="preserve">gdybym to zrobił, liczba wariantów wielu manuskryptów wzrosłaby. Wasserman nie odnotował około sześciu rodzajów dittografii, które z pewnością bym uwzględnił — liczba wariantów manuskryptów takich jak 01 i 03 gwałtownie by wzrosła. To, co następuje, należy więc traktować jedynie jako przybliżenie, jest ono jednak ważne i wystarczające dla mojego obecnego celu:</w:t>
      </w:r>
      <w:r>
        <w:t xml:space="preserve"> </w:t>
      </w:r>
      <w:r>
        <w:rPr>
          <w:bCs/>
          <w:b/>
        </w:rPr>
        <w:t xml:space="preserve">przedstawienia statystycznego obrazu mentalności kopistów</w:t>
      </w:r>
      <w:r>
        <w:t xml:space="preserve">.</w:t>
      </w:r>
    </w:p>
    <w:p>
      <w:pPr>
        <w:pStyle w:val="BodyText"/>
      </w:pPr>
      <w:r>
        <w:t xml:space="preserve">Jest zupełnie oczywiste, że niektórzy kopiści nie traktowali swojego zadania poważnie (zupełnie niezależnie od celowych zmian), podczas gdy inni traktowali je bardzo poważnie. List Judy jest krótką księgą, zawierającą tylko 25 wersetów. Zauważ, że</w:t>
      </w:r>
      <w:r>
        <w:t xml:space="preserve"> </w:t>
      </w:r>
      <w:r>
        <w:rPr>
          <w:bCs/>
          <w:b/>
        </w:rPr>
        <w:t xml:space="preserve">P</w:t>
      </w:r>
      <w:r>
        <w:rPr>
          <w:vertAlign w:val="superscript"/>
          <w:bCs/>
          <w:b/>
        </w:rPr>
        <w:t xml:space="preserve">72</w:t>
      </w:r>
      <w:r>
        <w:t xml:space="preserve">, nasz najstarszy zachowany manuskrypt, jest zdecydowanie najgorszy, ma dwa warianty na werset! Pierwszych 19 manuskryptów wymienionych poniżej jest naprawdę bardzo kiepskich, kopiści wyraźnie nie mieli szacunku dla tego, co kopiowali. Kopiści następnych 95 manuskryptów nie traktowali swojej pracy poważnie. Jakość ich pracy ostro kontrastuje z jakością pracy znacznej większości kopistów Rodziny 35, najwyraźniej rozumieli oni, że kopiują Święty Tekst (manuskrypty</w:t>
      </w:r>
      <w:r>
        <w:t xml:space="preserve"> </w:t>
      </w:r>
      <w:r>
        <w:rPr>
          <w:bCs/>
          <w:b/>
        </w:rPr>
        <w:t xml:space="preserve">f</w:t>
      </w:r>
      <w:r>
        <w:rPr>
          <w:vertAlign w:val="superscript"/>
          <w:bCs/>
          <w:b/>
        </w:rPr>
        <w:t xml:space="preserve">35</w:t>
      </w:r>
      <w:r>
        <w:t xml:space="preserve"> </w:t>
      </w:r>
      <w:r>
        <w:t xml:space="preserve">są podkreślone).</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Liczba wariantów</w:t>
            </w:r>
          </w:p>
        </w:tc>
        <w:tc>
          <w:tcPr/>
          <w:p>
            <w:pPr>
              <w:pStyle w:val="Compact"/>
              <w:jc w:val="left"/>
            </w:pPr>
            <w:r>
              <w:t xml:space="preserve">Manuskrypty</w:t>
            </w:r>
          </w:p>
        </w:tc>
        <w:tc>
          <w:tcPr/>
          <w:p>
            <w:pPr>
              <w:pStyle w:val="Compact"/>
              <w:jc w:val="left"/>
            </w:pPr>
            <w:r>
              <w:t xml:space="preserve">Uwagi</w:t>
            </w:r>
          </w:p>
        </w:tc>
      </w:tr>
      <w:tr>
        <w:tc>
          <w:tcPr/>
          <w:p>
            <w:pPr>
              <w:pStyle w:val="Compact"/>
              <w:jc w:val="right"/>
            </w:pPr>
            <w:r>
              <w:t xml:space="preserve">51</w:t>
            </w:r>
          </w:p>
        </w:tc>
        <w:tc>
          <w:tcPr/>
          <w:p>
            <w:pPr>
              <w:pStyle w:val="Compact"/>
              <w:jc w:val="left"/>
            </w:pPr>
            <w:r>
              <w:rPr>
                <w:bCs/>
                <w:b/>
              </w:rPr>
              <w:t xml:space="preserve">P</w:t>
            </w:r>
            <w:r>
              <w:rPr>
                <w:vertAlign w:val="superscript"/>
                <w:bCs/>
                <w:b/>
              </w:rPr>
              <w:t xml:space="preserve">72</w:t>
            </w:r>
          </w:p>
        </w:tc>
        <w:tc>
          <w:tcPr/>
          <w:p>
            <w:pPr>
              <w:pStyle w:val="Compact"/>
              <w:jc w:val="left"/>
            </w:pPr>
            <w:r>
              <w:rPr>
                <w:bCs/>
                <w:b/>
              </w:rPr>
              <w:t xml:space="preserve">nasz najstarszy zachowany manuskrypt jest zdecydowanie najgorszy!</w:t>
            </w:r>
          </w:p>
        </w:tc>
      </w:tr>
      <w:tr>
        <w:tc>
          <w:tcPr/>
          <w:p>
            <w:pPr>
              <w:pStyle w:val="Compact"/>
              <w:jc w:val="right"/>
            </w:pPr>
            <w:r>
              <w:t xml:space="preserve">34</w:t>
            </w:r>
          </w:p>
        </w:tc>
        <w:tc>
          <w:tcPr/>
          <w:p>
            <w:pPr>
              <w:pStyle w:val="Compact"/>
              <w:jc w:val="left"/>
            </w:pPr>
            <w:r>
              <w:t xml:space="preserve">1241</w:t>
            </w:r>
          </w:p>
        </w:tc>
        <w:tc>
          <w:tcPr/>
          <w:p>
            <w:pPr>
              <w:pStyle w:val="Compact"/>
            </w:pPr>
          </w:p>
        </w:tc>
      </w:tr>
      <w:tr>
        <w:tc>
          <w:tcPr/>
          <w:p>
            <w:pPr>
              <w:pStyle w:val="Compact"/>
              <w:jc w:val="right"/>
            </w:pPr>
            <w:r>
              <w:t xml:space="preserve">32</w:t>
            </w:r>
          </w:p>
        </w:tc>
        <w:tc>
          <w:tcPr/>
          <w:p>
            <w:pPr>
              <w:pStyle w:val="Compact"/>
              <w:jc w:val="left"/>
            </w:pPr>
            <w:r>
              <w:t xml:space="preserve">378, 631, 1838</w:t>
            </w:r>
          </w:p>
        </w:tc>
        <w:tc>
          <w:tcPr/>
          <w:p>
            <w:pPr>
              <w:pStyle w:val="Compact"/>
            </w:pPr>
          </w:p>
        </w:tc>
      </w:tr>
      <w:tr>
        <w:tc>
          <w:tcPr/>
          <w:p>
            <w:pPr>
              <w:pStyle w:val="Compact"/>
              <w:jc w:val="right"/>
            </w:pPr>
            <w:r>
              <w:t xml:space="preserve">30</w:t>
            </w:r>
          </w:p>
        </w:tc>
        <w:tc>
          <w:tcPr/>
          <w:p>
            <w:pPr>
              <w:pStyle w:val="Compact"/>
              <w:jc w:val="left"/>
            </w:pPr>
            <w:r>
              <w:t xml:space="preserve">1646</w:t>
            </w:r>
          </w:p>
        </w:tc>
        <w:tc>
          <w:tcPr/>
          <w:p>
            <w:pPr>
              <w:pStyle w:val="Compact"/>
            </w:pPr>
          </w:p>
        </w:tc>
      </w:tr>
      <w:tr>
        <w:tc>
          <w:tcPr/>
          <w:p>
            <w:pPr>
              <w:pStyle w:val="Compact"/>
              <w:jc w:val="right"/>
            </w:pPr>
            <w:r>
              <w:t xml:space="preserve">29</w:t>
            </w:r>
          </w:p>
        </w:tc>
        <w:tc>
          <w:tcPr/>
          <w:p>
            <w:pPr>
              <w:pStyle w:val="Compact"/>
              <w:jc w:val="left"/>
            </w:pPr>
            <w:r>
              <w:t xml:space="preserve">1847</w:t>
            </w:r>
          </w:p>
        </w:tc>
        <w:tc>
          <w:tcPr/>
          <w:p>
            <w:pPr>
              <w:pStyle w:val="Compact"/>
            </w:pPr>
          </w:p>
        </w:tc>
      </w:tr>
      <w:tr>
        <w:tc>
          <w:tcPr/>
          <w:p>
            <w:pPr>
              <w:pStyle w:val="Compact"/>
              <w:jc w:val="right"/>
            </w:pPr>
            <w:r>
              <w:t xml:space="preserve">28</w:t>
            </w:r>
          </w:p>
        </w:tc>
        <w:tc>
          <w:tcPr/>
          <w:p>
            <w:pPr>
              <w:pStyle w:val="Compact"/>
              <w:jc w:val="left"/>
            </w:pPr>
            <w:r>
              <w:t xml:space="preserve">1751</w:t>
            </w:r>
          </w:p>
        </w:tc>
        <w:tc>
          <w:tcPr/>
          <w:p>
            <w:pPr>
              <w:pStyle w:val="Compact"/>
            </w:pPr>
          </w:p>
        </w:tc>
      </w:tr>
      <w:tr>
        <w:tc>
          <w:tcPr/>
          <w:p>
            <w:pPr>
              <w:pStyle w:val="Compact"/>
              <w:jc w:val="right"/>
            </w:pPr>
            <w:r>
              <w:t xml:space="preserve">25</w:t>
            </w:r>
          </w:p>
        </w:tc>
        <w:tc>
          <w:tcPr/>
          <w:p>
            <w:pPr>
              <w:pStyle w:val="Compact"/>
              <w:jc w:val="left"/>
            </w:pPr>
            <w:r>
              <w:t xml:space="preserve">044</w:t>
            </w:r>
          </w:p>
        </w:tc>
        <w:tc>
          <w:tcPr/>
          <w:p>
            <w:pPr>
              <w:pStyle w:val="Compact"/>
            </w:pPr>
          </w:p>
        </w:tc>
      </w:tr>
      <w:tr>
        <w:tc>
          <w:tcPr/>
          <w:p>
            <w:pPr>
              <w:pStyle w:val="Compact"/>
              <w:jc w:val="right"/>
            </w:pPr>
            <w:r>
              <w:t xml:space="preserve">24</w:t>
            </w:r>
          </w:p>
        </w:tc>
        <w:tc>
          <w:tcPr/>
          <w:p>
            <w:pPr>
              <w:pStyle w:val="Compact"/>
              <w:jc w:val="left"/>
            </w:pPr>
            <w:r>
              <w:t xml:space="preserve">01, 90</w:t>
            </w:r>
          </w:p>
        </w:tc>
        <w:tc>
          <w:tcPr/>
          <w:p>
            <w:pPr>
              <w:pStyle w:val="Compact"/>
            </w:pPr>
          </w:p>
        </w:tc>
      </w:tr>
      <w:tr>
        <w:tc>
          <w:tcPr/>
          <w:p>
            <w:pPr>
              <w:pStyle w:val="Compact"/>
              <w:jc w:val="right"/>
            </w:pPr>
            <w:r>
              <w:t xml:space="preserve">23</w:t>
            </w:r>
          </w:p>
        </w:tc>
        <w:tc>
          <w:tcPr/>
          <w:p>
            <w:pPr>
              <w:pStyle w:val="Compact"/>
              <w:jc w:val="left"/>
            </w:pPr>
            <w:r>
              <w:t xml:space="preserve">1243, 1881</w:t>
            </w:r>
          </w:p>
        </w:tc>
        <w:tc>
          <w:tcPr/>
          <w:p>
            <w:pPr>
              <w:pStyle w:val="Compact"/>
            </w:pPr>
          </w:p>
        </w:tc>
      </w:tr>
      <w:tr>
        <w:tc>
          <w:tcPr/>
          <w:p>
            <w:pPr>
              <w:pStyle w:val="Compact"/>
              <w:jc w:val="right"/>
            </w:pPr>
            <w:r>
              <w:t xml:space="preserve">21</w:t>
            </w:r>
          </w:p>
        </w:tc>
        <w:tc>
          <w:tcPr/>
          <w:p>
            <w:pPr>
              <w:pStyle w:val="Compact"/>
              <w:jc w:val="left"/>
            </w:pPr>
            <w:r>
              <w:t xml:space="preserve">1066, 2147</w:t>
            </w:r>
          </w:p>
        </w:tc>
        <w:tc>
          <w:tcPr/>
          <w:p>
            <w:pPr>
              <w:pStyle w:val="Compact"/>
            </w:pPr>
          </w:p>
        </w:tc>
      </w:tr>
      <w:tr>
        <w:tc>
          <w:tcPr/>
          <w:p>
            <w:pPr>
              <w:pStyle w:val="Compact"/>
              <w:jc w:val="right"/>
            </w:pPr>
            <w:r>
              <w:t xml:space="preserve">20</w:t>
            </w:r>
          </w:p>
        </w:tc>
        <w:tc>
          <w:tcPr/>
          <w:p>
            <w:pPr>
              <w:pStyle w:val="Compact"/>
              <w:jc w:val="left"/>
            </w:pPr>
            <w:r>
              <w:t xml:space="preserve">6, 61, 915, 1505</w:t>
            </w:r>
          </w:p>
        </w:tc>
        <w:tc>
          <w:tcPr/>
          <w:p>
            <w:pPr>
              <w:pStyle w:val="Compact"/>
              <w:jc w:val="left"/>
            </w:pPr>
            <w:r>
              <w:t xml:space="preserve">dotąd 19 manuskryptów</w:t>
            </w:r>
          </w:p>
        </w:tc>
      </w:tr>
      <w:tr>
        <w:tc>
          <w:tcPr/>
          <w:p>
            <w:pPr>
              <w:pStyle w:val="Compact"/>
              <w:jc w:val="right"/>
            </w:pPr>
            <w:r>
              <w:t xml:space="preserve">19</w:t>
            </w:r>
          </w:p>
        </w:tc>
        <w:tc>
          <w:tcPr/>
          <w:p>
            <w:pPr>
              <w:pStyle w:val="Compact"/>
              <w:jc w:val="left"/>
            </w:pPr>
            <w:r>
              <w:t xml:space="preserve">38, 629, 1852, 1875, 1886</w:t>
            </w:r>
          </w:p>
        </w:tc>
        <w:tc>
          <w:tcPr/>
          <w:p>
            <w:pPr>
              <w:pStyle w:val="Compact"/>
            </w:pPr>
          </w:p>
        </w:tc>
      </w:tr>
      <w:tr>
        <w:tc>
          <w:tcPr/>
          <w:p>
            <w:pPr>
              <w:pStyle w:val="Compact"/>
              <w:jc w:val="right"/>
            </w:pPr>
            <w:r>
              <w:t xml:space="preserve">18</w:t>
            </w:r>
          </w:p>
        </w:tc>
        <w:tc>
          <w:tcPr/>
          <w:p>
            <w:pPr>
              <w:pStyle w:val="Compact"/>
              <w:jc w:val="left"/>
            </w:pPr>
            <w:r>
              <w:t xml:space="preserve">621, 1729, 2675</w:t>
            </w:r>
          </w:p>
        </w:tc>
        <w:tc>
          <w:tcPr/>
          <w:p>
            <w:pPr>
              <w:pStyle w:val="Compact"/>
            </w:pPr>
          </w:p>
        </w:tc>
      </w:tr>
      <w:tr>
        <w:tc>
          <w:tcPr/>
          <w:p>
            <w:pPr>
              <w:pStyle w:val="Compact"/>
              <w:jc w:val="right"/>
            </w:pPr>
            <w:r>
              <w:t xml:space="preserve">17</w:t>
            </w:r>
          </w:p>
        </w:tc>
        <w:tc>
          <w:tcPr/>
          <w:p>
            <w:pPr>
              <w:pStyle w:val="Compact"/>
              <w:jc w:val="left"/>
            </w:pPr>
            <w:r>
              <w:t xml:space="preserve">88, 322, 323, 1311, 1735, 2495</w:t>
            </w:r>
          </w:p>
        </w:tc>
        <w:tc>
          <w:tcPr/>
          <w:p>
            <w:pPr>
              <w:pStyle w:val="Compact"/>
            </w:pPr>
          </w:p>
        </w:tc>
      </w:tr>
      <w:tr>
        <w:tc>
          <w:tcPr/>
          <w:p>
            <w:pPr>
              <w:pStyle w:val="Compact"/>
              <w:jc w:val="right"/>
            </w:pPr>
            <w:r>
              <w:t xml:space="preserve">16</w:t>
            </w:r>
          </w:p>
        </w:tc>
        <w:tc>
          <w:tcPr/>
          <w:p>
            <w:pPr>
              <w:pStyle w:val="Compact"/>
              <w:jc w:val="left"/>
            </w:pPr>
            <w:r>
              <w:t xml:space="preserve">522, 1611</w:t>
            </w:r>
          </w:p>
        </w:tc>
        <w:tc>
          <w:tcPr/>
          <w:p>
            <w:pPr>
              <w:pStyle w:val="Compact"/>
            </w:pPr>
          </w:p>
        </w:tc>
      </w:tr>
      <w:tr>
        <w:tc>
          <w:tcPr/>
          <w:p>
            <w:pPr>
              <w:pStyle w:val="Compact"/>
              <w:jc w:val="right"/>
            </w:pPr>
            <w:r>
              <w:t xml:space="preserve">15</w:t>
            </w:r>
          </w:p>
        </w:tc>
        <w:tc>
          <w:tcPr/>
          <w:p>
            <w:pPr>
              <w:pStyle w:val="Compact"/>
              <w:jc w:val="left"/>
            </w:pPr>
            <w:r>
              <w:t xml:space="preserve">43, 459, 460, 616, 618, 918, 1739, 1834, 1844, 2242, 2298, 2344, 2412, 2674</w:t>
            </w:r>
          </w:p>
        </w:tc>
        <w:tc>
          <w:tcPr/>
          <w:p>
            <w:pPr>
              <w:pStyle w:val="Compact"/>
            </w:pPr>
          </w:p>
        </w:tc>
      </w:tr>
      <w:tr>
        <w:tc>
          <w:tcPr/>
          <w:p>
            <w:pPr>
              <w:pStyle w:val="Compact"/>
              <w:jc w:val="right"/>
            </w:pPr>
            <w:r>
              <w:t xml:space="preserve">14</w:t>
            </w:r>
          </w:p>
        </w:tc>
        <w:tc>
          <w:tcPr/>
          <w:p>
            <w:pPr>
              <w:pStyle w:val="Compact"/>
              <w:jc w:val="left"/>
            </w:pPr>
            <w:r>
              <w:t xml:space="preserve">03, 93, 104, 181, 321, 633, 680, 1292, 1845, 2652</w:t>
            </w:r>
          </w:p>
        </w:tc>
        <w:tc>
          <w:tcPr/>
          <w:p>
            <w:pPr>
              <w:pStyle w:val="Compact"/>
            </w:pPr>
          </w:p>
        </w:tc>
      </w:tr>
      <w:tr>
        <w:tc>
          <w:tcPr/>
          <w:p>
            <w:pPr>
              <w:pStyle w:val="Compact"/>
              <w:jc w:val="right"/>
            </w:pPr>
            <w:r>
              <w:t xml:space="preserve">13</w:t>
            </w:r>
          </w:p>
        </w:tc>
        <w:tc>
          <w:tcPr/>
          <w:p>
            <w:pPr>
              <w:pStyle w:val="Compact"/>
              <w:jc w:val="left"/>
            </w:pPr>
            <w:r>
              <w:t xml:space="preserve">04, 0142, 442, 630, 1104, 1523, 2200, 2818</w:t>
            </w:r>
          </w:p>
        </w:tc>
        <w:tc>
          <w:tcPr/>
          <w:p>
            <w:pPr>
              <w:pStyle w:val="Compact"/>
            </w:pPr>
          </w:p>
        </w:tc>
      </w:tr>
      <w:tr>
        <w:tc>
          <w:tcPr/>
          <w:p>
            <w:pPr>
              <w:pStyle w:val="Compact"/>
              <w:jc w:val="right"/>
            </w:pPr>
            <w:r>
              <w:t xml:space="preserve">12</w:t>
            </w:r>
          </w:p>
        </w:tc>
        <w:tc>
          <w:tcPr/>
          <w:p>
            <w:pPr>
              <w:pStyle w:val="Compact"/>
              <w:jc w:val="left"/>
            </w:pPr>
            <w:r>
              <w:t xml:space="preserve">02, 33, 180, 431, 1240, 1405, 1837, 1877, 2138, 2186</w:t>
            </w:r>
          </w:p>
        </w:tc>
        <w:tc>
          <w:tcPr/>
          <w:p>
            <w:pPr>
              <w:pStyle w:val="Compact"/>
            </w:pPr>
          </w:p>
        </w:tc>
      </w:tr>
      <w:tr>
        <w:tc>
          <w:tcPr/>
          <w:p>
            <w:pPr>
              <w:pStyle w:val="Compact"/>
              <w:jc w:val="right"/>
            </w:pPr>
            <w:r>
              <w:t xml:space="preserve">11</w:t>
            </w:r>
          </w:p>
        </w:tc>
        <w:tc>
          <w:tcPr/>
          <w:p>
            <w:pPr>
              <w:pStyle w:val="Compact"/>
              <w:jc w:val="left"/>
            </w:pPr>
            <w:r>
              <w:t xml:space="preserve">94, 131, 177, 307, 337, 496, 506, 636, 665, 876, 1501, 1661, 1827, 1828, 1869, 2544, 2691, 2805</w:t>
            </w:r>
          </w:p>
        </w:tc>
        <w:tc>
          <w:tcPr/>
          <w:p>
            <w:pPr>
              <w:pStyle w:val="Compact"/>
            </w:pPr>
          </w:p>
        </w:tc>
      </w:tr>
      <w:tr>
        <w:tc>
          <w:tcPr/>
          <w:p>
            <w:pPr>
              <w:pStyle w:val="Compact"/>
              <w:jc w:val="right"/>
            </w:pPr>
            <w:r>
              <w:t xml:space="preserve">10</w:t>
            </w:r>
          </w:p>
        </w:tc>
        <w:tc>
          <w:tcPr/>
          <w:p>
            <w:pPr>
              <w:pStyle w:val="Compact"/>
              <w:jc w:val="left"/>
            </w:pPr>
            <w:r>
              <w:t xml:space="preserve">056, 326, 489, 625, 1067, 1315, 1409, 1595, 1610, 1642, 1719, 1832, 1836, 1842, 1874, 1893, 2404, 2494, 2696</w:t>
            </w:r>
          </w:p>
        </w:tc>
        <w:tc>
          <w:tcPr/>
          <w:p>
            <w:pPr>
              <w:pStyle w:val="Compact"/>
              <w:jc w:val="left"/>
            </w:pPr>
            <w:r>
              <w:t xml:space="preserve">+ 95 manuskryptów, dotąd łącznie 114</w:t>
            </w:r>
          </w:p>
        </w:tc>
      </w:tr>
      <w:tr>
        <w:tc>
          <w:tcPr/>
          <w:p>
            <w:pPr>
              <w:pStyle w:val="Compact"/>
              <w:jc w:val="right"/>
            </w:pPr>
            <w:r>
              <w:t xml:space="preserve">9</w:t>
            </w:r>
          </w:p>
        </w:tc>
        <w:tc>
          <w:tcPr/>
          <w:p>
            <w:pPr>
              <w:pStyle w:val="Compact"/>
              <w:jc w:val="left"/>
            </w:pPr>
            <w:r>
              <w:t xml:space="preserve">218, 254, 263, 309, 458, 467, 1107, 1270, 1319, 1367, 1424, 1524, 1598, 1678, 1765, 1840, 2197, 2473, 2816</w:t>
            </w:r>
          </w:p>
        </w:tc>
        <w:tc>
          <w:tcPr/>
          <w:p>
            <w:pPr>
              <w:pStyle w:val="Compact"/>
            </w:pPr>
          </w:p>
        </w:tc>
      </w:tr>
      <w:tr>
        <w:tc>
          <w:tcPr/>
          <w:p>
            <w:pPr>
              <w:pStyle w:val="Compact"/>
              <w:jc w:val="right"/>
            </w:pPr>
            <w:r>
              <w:t xml:space="preserve">8</w:t>
            </w:r>
          </w:p>
        </w:tc>
        <w:tc>
          <w:tcPr/>
          <w:p>
            <w:pPr>
              <w:pStyle w:val="Compact"/>
              <w:jc w:val="left"/>
            </w:pPr>
            <w:r>
              <w:t xml:space="preserve">102, 436, 453, 582, 608, 615, 927, 996,</w:t>
            </w:r>
            <w:r>
              <w:t xml:space="preserve"> </w:t>
            </w:r>
            <w:r>
              <w:rPr>
                <w:u w:val="single"/>
              </w:rPr>
              <w:t xml:space="preserve">1247</w:t>
            </w:r>
            <w:r>
              <w:t xml:space="preserve">, 1297, 1390, 1425, 1448, 1509, 1649, 1702, 1724, 1762, 1839, 1890, 2194, 2400, 2502, 2516, 2718</w:t>
            </w:r>
          </w:p>
        </w:tc>
        <w:tc>
          <w:tcPr/>
          <w:p>
            <w:pPr>
              <w:pStyle w:val="Compact"/>
            </w:pPr>
          </w:p>
        </w:tc>
      </w:tr>
      <w:tr>
        <w:tc>
          <w:tcPr/>
          <w:p>
            <w:pPr>
              <w:pStyle w:val="Compact"/>
              <w:jc w:val="right"/>
            </w:pPr>
            <w:r>
              <w:t xml:space="preserve">7</w:t>
            </w:r>
          </w:p>
        </w:tc>
        <w:tc>
          <w:tcPr/>
          <w:p>
            <w:pPr>
              <w:pStyle w:val="Compact"/>
              <w:jc w:val="left"/>
            </w:pPr>
            <w:r>
              <w:t xml:space="preserve">3, 203, 312, 421, 469, 628, 639, 914, 941, 999, 1003, 1175, 1245, 1573, 1718, 1741, 1744, 1753, 1780, 1799, 1829, 1872, 1882, 2127, 2243, 2318, 2401, 2513, 2865</w:t>
            </w:r>
          </w:p>
        </w:tc>
        <w:tc>
          <w:tcPr/>
          <w:p>
            <w:pPr>
              <w:pStyle w:val="Compact"/>
            </w:pPr>
          </w:p>
        </w:tc>
      </w:tr>
      <w:tr>
        <w:tc>
          <w:tcPr/>
          <w:p>
            <w:pPr>
              <w:pStyle w:val="Compact"/>
              <w:jc w:val="right"/>
            </w:pPr>
            <w:r>
              <w:t xml:space="preserve">6</w:t>
            </w:r>
          </w:p>
        </w:tc>
        <w:tc>
          <w:tcPr/>
          <w:p>
            <w:pPr>
              <w:pStyle w:val="Compact"/>
              <w:jc w:val="left"/>
            </w:pPr>
            <w:r>
              <w:rPr>
                <w:bCs/>
                <w:b/>
              </w:rPr>
              <w:t xml:space="preserve">P</w:t>
            </w:r>
            <w:r>
              <w:rPr>
                <w:vertAlign w:val="superscript"/>
                <w:bCs/>
                <w:b/>
              </w:rPr>
              <w:t xml:space="preserve">78</w:t>
            </w:r>
            <w:r>
              <w:t xml:space="preserve">, 5, 42, 62, 234, 383, 393, 607, 623, 632, 641, 917, 921, 922, 1563, 1736, 1830, 1850, 1853, 1857, 1868, 1896, 2086, 2125, 2180, 2279, 2492, 2508, 2625, 2705</w:t>
            </w:r>
          </w:p>
        </w:tc>
        <w:tc>
          <w:tcPr/>
          <w:p>
            <w:pPr>
              <w:pStyle w:val="Compact"/>
            </w:pPr>
          </w:p>
        </w:tc>
      </w:tr>
      <w:tr>
        <w:tc>
          <w:tcPr/>
          <w:p>
            <w:pPr>
              <w:pStyle w:val="Compact"/>
              <w:jc w:val="right"/>
            </w:pPr>
            <w:r>
              <w:t xml:space="preserve">5</w:t>
            </w:r>
          </w:p>
        </w:tc>
        <w:tc>
          <w:tcPr/>
          <w:p>
            <w:pPr>
              <w:pStyle w:val="Compact"/>
              <w:jc w:val="left"/>
            </w:pPr>
            <w:r>
              <w:t xml:space="preserve">018, 0316, 51, 81, 103, 206, 327, 384, 385, 390, 452, 454, 606, 637, 945, 1070, 1099, 1127, 1359, 1360, 1594, 1626, 1727, 1731, 1831, 1843, 1873, 1880, 1888, 1891, 1902, 2085, 2288,</w:t>
            </w:r>
            <w:r>
              <w:t xml:space="preserve"> </w:t>
            </w:r>
            <w:r>
              <w:rPr>
                <w:u w:val="single"/>
              </w:rPr>
              <w:t xml:space="preserve">2501</w:t>
            </w:r>
            <w:r>
              <w:t xml:space="preserve">, 2527, 2716</w:t>
            </w:r>
          </w:p>
        </w:tc>
        <w:tc>
          <w:tcPr/>
          <w:p>
            <w:pPr>
              <w:pStyle w:val="Compact"/>
              <w:jc w:val="left"/>
            </w:pPr>
            <w:r>
              <w:t xml:space="preserve">+ 139 manuskryptów, dotąd łącznie 253</w:t>
            </w:r>
          </w:p>
        </w:tc>
      </w:tr>
      <w:tr>
        <w:tc>
          <w:tcPr/>
          <w:p>
            <w:pPr>
              <w:pStyle w:val="Compact"/>
              <w:jc w:val="right"/>
            </w:pPr>
            <w:r>
              <w:t xml:space="preserve">4</w:t>
            </w:r>
          </w:p>
        </w:tc>
        <w:tc>
          <w:tcPr/>
          <w:p>
            <w:pPr>
              <w:pStyle w:val="Compact"/>
              <w:jc w:val="left"/>
            </w:pPr>
            <w:r>
              <w:t xml:space="preserve">049, 1, 76, 205, 223, 241, 252, 296, 363, 424, 429, 466, 592, 620, 642, 656, 901, 912, 913, 1069, 1103, 1106, 1149, 1162, 1244,</w:t>
            </w:r>
            <w:r>
              <w:t xml:space="preserve"> </w:t>
            </w:r>
            <w:r>
              <w:rPr>
                <w:u w:val="single"/>
              </w:rPr>
              <w:t xml:space="preserve">1248</w:t>
            </w:r>
            <w:r>
              <w:t xml:space="preserve">, 1352, 1495, 1521, 1717, 1734, 1757, 1760,</w:t>
            </w:r>
            <w:r>
              <w:t xml:space="preserve"> </w:t>
            </w:r>
            <w:r>
              <w:rPr>
                <w:u w:val="single"/>
              </w:rPr>
              <w:t xml:space="preserve">1767</w:t>
            </w:r>
            <w:r>
              <w:t xml:space="preserve">, 1847, 1851, 1860, 1861, 1863, 1889, 1894, 1895, 2131, 2378, 2423, 2558, 2712, 2736, 2746, 2774</w:t>
            </w:r>
          </w:p>
        </w:tc>
        <w:tc>
          <w:tcPr/>
          <w:p>
            <w:pPr>
              <w:pStyle w:val="Compact"/>
            </w:pPr>
          </w:p>
        </w:tc>
      </w:tr>
      <w:tr>
        <w:tc>
          <w:tcPr/>
          <w:p>
            <w:pPr>
              <w:pStyle w:val="Compact"/>
              <w:jc w:val="right"/>
            </w:pPr>
            <w:r>
              <w:t xml:space="preserve">3</w:t>
            </w:r>
          </w:p>
        </w:tc>
        <w:tc>
          <w:tcPr/>
          <w:p>
            <w:pPr>
              <w:pStyle w:val="Compact"/>
              <w:jc w:val="left"/>
            </w:pPr>
            <w:r>
              <w:t xml:space="preserve">020, 57, 82, 110, 205</w:t>
            </w:r>
            <w:r>
              <w:rPr>
                <w:vertAlign w:val="superscript"/>
              </w:rPr>
              <w:t xml:space="preserve">abs</w:t>
            </w:r>
            <w:r>
              <w:t xml:space="preserve">, 221, 250, 314, 330, 400,</w:t>
            </w:r>
            <w:r>
              <w:t xml:space="preserve"> </w:t>
            </w:r>
            <w:r>
              <w:rPr>
                <w:u w:val="single"/>
              </w:rPr>
              <w:t xml:space="preserve">432</w:t>
            </w:r>
            <w:r>
              <w:t xml:space="preserve">, 451, 456, 462, 465, 491, 613, 614, 617, 619,</w:t>
            </w:r>
            <w:r>
              <w:t xml:space="preserve"> </w:t>
            </w:r>
            <w:r>
              <w:rPr>
                <w:u w:val="single"/>
              </w:rPr>
              <w:t xml:space="preserve">634</w:t>
            </w:r>
            <w:r>
              <w:t xml:space="preserve">, 635,</w:t>
            </w:r>
            <w:r>
              <w:t xml:space="preserve"> </w:t>
            </w:r>
            <w:r>
              <w:rPr>
                <w:u w:val="single"/>
              </w:rPr>
              <w:t xml:space="preserve">664</w:t>
            </w:r>
            <w:r>
              <w:t xml:space="preserve">, 796,</w:t>
            </w:r>
            <w:r>
              <w:t xml:space="preserve"> </w:t>
            </w:r>
            <w:r>
              <w:rPr>
                <w:u w:val="single"/>
              </w:rPr>
              <w:t xml:space="preserve">801</w:t>
            </w:r>
            <w:r>
              <w:t xml:space="preserve">, 832, 1022,</w:t>
            </w:r>
            <w:r>
              <w:t xml:space="preserve"> </w:t>
            </w:r>
            <w:r>
              <w:rPr>
                <w:u w:val="single"/>
              </w:rPr>
              <w:t xml:space="preserve">1250</w:t>
            </w:r>
            <w:r>
              <w:t xml:space="preserve">,</w:t>
            </w:r>
            <w:r>
              <w:t xml:space="preserve"> </w:t>
            </w:r>
            <w:r>
              <w:rPr>
                <w:u w:val="single"/>
              </w:rPr>
              <w:t xml:space="preserve">1251</w:t>
            </w:r>
            <w:r>
              <w:t xml:space="preserve">, 1277, 1384, 1398, 1599, 1622, 1673,</w:t>
            </w:r>
            <w:r>
              <w:t xml:space="preserve"> </w:t>
            </w:r>
            <w:r>
              <w:rPr>
                <w:u w:val="single"/>
              </w:rPr>
              <w:t xml:space="preserve">1721</w:t>
            </w:r>
            <w:r>
              <w:t xml:space="preserve">, 1742, 1747, 1769, 1841, 1849, 1856, 1859, 1862, 1867,</w:t>
            </w:r>
            <w:r>
              <w:t xml:space="preserve"> </w:t>
            </w:r>
            <w:r>
              <w:rPr>
                <w:u w:val="single"/>
              </w:rPr>
              <w:t xml:space="preserve">1876</w:t>
            </w:r>
            <w:r>
              <w:t xml:space="preserve">, 2191, 2201,</w:t>
            </w:r>
            <w:r>
              <w:t xml:space="preserve"> </w:t>
            </w:r>
            <w:r>
              <w:rPr>
                <w:u w:val="single"/>
              </w:rPr>
              <w:t xml:space="preserve">2218</w:t>
            </w:r>
            <w:r>
              <w:t xml:space="preserve">, 2374, 2475, 2484, 2627,</w:t>
            </w:r>
            <w:r>
              <w:t xml:space="preserve"> </w:t>
            </w:r>
            <w:r>
              <w:rPr>
                <w:u w:val="single"/>
              </w:rPr>
              <w:t xml:space="preserve">2704</w:t>
            </w:r>
            <w:r>
              <w:t xml:space="preserve">, 2776</w:t>
            </w:r>
          </w:p>
        </w:tc>
        <w:tc>
          <w:tcPr/>
          <w:p>
            <w:pPr>
              <w:pStyle w:val="Compact"/>
            </w:pPr>
          </w:p>
        </w:tc>
      </w:tr>
      <w:tr>
        <w:tc>
          <w:tcPr/>
          <w:p>
            <w:pPr>
              <w:pStyle w:val="Compact"/>
              <w:jc w:val="right"/>
            </w:pPr>
            <w:r>
              <w:t xml:space="preserve">2</w:t>
            </w:r>
          </w:p>
        </w:tc>
        <w:tc>
          <w:tcPr/>
          <w:p>
            <w:pPr>
              <w:pStyle w:val="Compact"/>
              <w:jc w:val="left"/>
            </w:pPr>
            <w:r>
              <w:rPr>
                <w:u w:val="single"/>
              </w:rPr>
              <w:t xml:space="preserve">35</w:t>
            </w:r>
            <w:r>
              <w:t xml:space="preserve">, 97, 105, 142,</w:t>
            </w:r>
            <w:r>
              <w:t xml:space="preserve"> </w:t>
            </w:r>
            <w:r>
              <w:rPr>
                <w:u w:val="single"/>
              </w:rPr>
              <w:t xml:space="preserve">149</w:t>
            </w:r>
            <w:r>
              <w:t xml:space="preserve">,</w:t>
            </w:r>
            <w:r>
              <w:t xml:space="preserve"> </w:t>
            </w:r>
            <w:r>
              <w:rPr>
                <w:u w:val="single"/>
              </w:rPr>
              <w:t xml:space="preserve">328</w:t>
            </w:r>
            <w:r>
              <w:t xml:space="preserve">, 367, 398, 404, 425, 450, 468, 610, 622, 676, 720, 808, 910, 920,</w:t>
            </w:r>
            <w:r>
              <w:t xml:space="preserve"> </w:t>
            </w:r>
            <w:r>
              <w:rPr>
                <w:u w:val="single"/>
              </w:rPr>
              <w:t xml:space="preserve">986</w:t>
            </w:r>
            <w:r>
              <w:t xml:space="preserve">, 1105, 1115, 1242,</w:t>
            </w:r>
            <w:r>
              <w:t xml:space="preserve"> </w:t>
            </w:r>
            <w:r>
              <w:rPr>
                <w:u w:val="single"/>
              </w:rPr>
              <w:t xml:space="preserve">1354</w:t>
            </w:r>
            <w:r>
              <w:t xml:space="preserve">, 1490, 1609,</w:t>
            </w:r>
            <w:r>
              <w:t xml:space="preserve"> </w:t>
            </w:r>
            <w:r>
              <w:rPr>
                <w:u w:val="single"/>
              </w:rPr>
              <w:t xml:space="preserve">1617</w:t>
            </w:r>
            <w:r>
              <w:t xml:space="preserve">, 1720, 1730,</w:t>
            </w:r>
            <w:r>
              <w:t xml:space="preserve"> </w:t>
            </w:r>
            <w:r>
              <w:rPr>
                <w:u w:val="single"/>
              </w:rPr>
              <w:t xml:space="preserve">1732</w:t>
            </w:r>
            <w:r>
              <w:t xml:space="preserve">, 1743, 1750,</w:t>
            </w:r>
            <w:r>
              <w:t xml:space="preserve"> </w:t>
            </w:r>
            <w:r>
              <w:rPr>
                <w:u w:val="single"/>
              </w:rPr>
              <w:t xml:space="preserve">1754</w:t>
            </w:r>
            <w:r>
              <w:t xml:space="preserve">, 1871, 1885,</w:t>
            </w:r>
            <w:r>
              <w:t xml:space="preserve"> </w:t>
            </w:r>
            <w:r>
              <w:rPr>
                <w:u w:val="single"/>
              </w:rPr>
              <w:t xml:space="preserve">1892</w:t>
            </w:r>
            <w:r>
              <w:t xml:space="preserve">, 1903, 2143, 2289,</w:t>
            </w:r>
            <w:r>
              <w:t xml:space="preserve"> </w:t>
            </w:r>
            <w:r>
              <w:rPr>
                <w:u w:val="single"/>
              </w:rPr>
              <w:t xml:space="preserve">2466</w:t>
            </w:r>
            <w:r>
              <w:t xml:space="preserve">, 2483,</w:t>
            </w:r>
            <w:r>
              <w:t xml:space="preserve"> </w:t>
            </w:r>
            <w:r>
              <w:rPr>
                <w:u w:val="single"/>
              </w:rPr>
              <w:t xml:space="preserve">2626</w:t>
            </w:r>
            <w:r>
              <w:t xml:space="preserve">,</w:t>
            </w:r>
            <w:r>
              <w:t xml:space="preserve"> </w:t>
            </w:r>
            <w:r>
              <w:rPr>
                <w:u w:val="single"/>
              </w:rPr>
              <w:t xml:space="preserve">2653</w:t>
            </w:r>
            <w:r>
              <w:t xml:space="preserve">, 2815</w:t>
            </w:r>
          </w:p>
        </w:tc>
        <w:tc>
          <w:tcPr/>
          <w:p>
            <w:pPr>
              <w:pStyle w:val="Compact"/>
            </w:pPr>
          </w:p>
        </w:tc>
      </w:tr>
      <w:tr>
        <w:tc>
          <w:tcPr/>
          <w:p>
            <w:pPr>
              <w:pStyle w:val="Compact"/>
              <w:jc w:val="right"/>
            </w:pPr>
            <w:r>
              <w:t xml:space="preserve">1</w:t>
            </w:r>
          </w:p>
        </w:tc>
        <w:tc>
          <w:tcPr/>
          <w:p>
            <w:pPr>
              <w:pStyle w:val="Compact"/>
              <w:jc w:val="left"/>
            </w:pPr>
            <w:r>
              <w:t xml:space="preserve">025, 69, 101, 133, 172, 175, 189,</w:t>
            </w:r>
            <w:r>
              <w:t xml:space="preserve"> </w:t>
            </w:r>
            <w:r>
              <w:rPr>
                <w:u w:val="single"/>
              </w:rPr>
              <w:t xml:space="preserve">201</w:t>
            </w:r>
            <w:r>
              <w:t xml:space="preserve">, 209, 242, 256, 440,</w:t>
            </w:r>
            <w:r>
              <w:t xml:space="preserve"> </w:t>
            </w:r>
            <w:r>
              <w:rPr>
                <w:u w:val="single"/>
              </w:rPr>
              <w:t xml:space="preserve">444</w:t>
            </w:r>
            <w:r>
              <w:t xml:space="preserve">, 479, 483, 517, 547, 601, 602, 605, 638, 699, 712, 997,</w:t>
            </w:r>
            <w:r>
              <w:t xml:space="preserve"> </w:t>
            </w:r>
            <w:r>
              <w:rPr>
                <w:u w:val="single"/>
              </w:rPr>
              <w:t xml:space="preserve">1058</w:t>
            </w:r>
            <w:r>
              <w:t xml:space="preserve">, 1102, 1161,</w:t>
            </w:r>
            <w:r>
              <w:t xml:space="preserve"> </w:t>
            </w:r>
            <w:r>
              <w:rPr>
                <w:u w:val="single"/>
              </w:rPr>
              <w:t xml:space="preserve">1249</w:t>
            </w:r>
            <w:r>
              <w:t xml:space="preserve">, 1404,</w:t>
            </w:r>
            <w:r>
              <w:t xml:space="preserve"> </w:t>
            </w:r>
            <w:r>
              <w:rPr>
                <w:u w:val="single"/>
              </w:rPr>
              <w:t xml:space="preserve">1548</w:t>
            </w:r>
            <w:r>
              <w:t xml:space="preserve">, 1597,</w:t>
            </w:r>
            <w:r>
              <w:t xml:space="preserve"> </w:t>
            </w:r>
            <w:r>
              <w:rPr>
                <w:u w:val="single"/>
              </w:rPr>
              <w:t xml:space="preserve">1628</w:t>
            </w:r>
            <w:r>
              <w:t xml:space="preserve">, 1643, 1722,</w:t>
            </w:r>
            <w:r>
              <w:t xml:space="preserve"> </w:t>
            </w:r>
            <w:r>
              <w:rPr>
                <w:u w:val="single"/>
              </w:rPr>
              <w:t xml:space="preserve">1725</w:t>
            </w:r>
            <w:r>
              <w:t xml:space="preserve">,</w:t>
            </w:r>
            <w:r>
              <w:t xml:space="preserve"> </w:t>
            </w:r>
            <w:r>
              <w:rPr>
                <w:u w:val="single"/>
              </w:rPr>
              <w:t xml:space="preserve">1726</w:t>
            </w:r>
            <w:r>
              <w:t xml:space="preserve">, 1728,</w:t>
            </w:r>
            <w:r>
              <w:t xml:space="preserve"> </w:t>
            </w:r>
            <w:r>
              <w:rPr>
                <w:u w:val="single"/>
              </w:rPr>
              <w:t xml:space="preserve">1733</w:t>
            </w:r>
            <w:r>
              <w:t xml:space="preserve">,</w:t>
            </w:r>
            <w:r>
              <w:t xml:space="preserve"> </w:t>
            </w:r>
            <w:r>
              <w:rPr>
                <w:u w:val="single"/>
              </w:rPr>
              <w:t xml:space="preserve">1746</w:t>
            </w:r>
            <w:r>
              <w:t xml:space="preserve">,</w:t>
            </w:r>
            <w:r>
              <w:t xml:space="preserve"> </w:t>
            </w:r>
            <w:r>
              <w:rPr>
                <w:u w:val="single"/>
              </w:rPr>
              <w:t xml:space="preserve">1748</w:t>
            </w:r>
            <w:r>
              <w:t xml:space="preserve">,</w:t>
            </w:r>
            <w:r>
              <w:t xml:space="preserve"> </w:t>
            </w:r>
            <w:r>
              <w:rPr>
                <w:u w:val="single"/>
              </w:rPr>
              <w:t xml:space="preserve">1749</w:t>
            </w:r>
            <w:r>
              <w:t xml:space="preserve">,</w:t>
            </w:r>
            <w:r>
              <w:t xml:space="preserve"> </w:t>
            </w:r>
            <w:r>
              <w:rPr>
                <w:u w:val="single"/>
              </w:rPr>
              <w:t xml:space="preserve">1766</w:t>
            </w:r>
            <w:r>
              <w:t xml:space="preserve">,</w:t>
            </w:r>
            <w:r>
              <w:t xml:space="preserve"> </w:t>
            </w:r>
            <w:r>
              <w:rPr>
                <w:u w:val="single"/>
              </w:rPr>
              <w:t xml:space="preserve">1768</w:t>
            </w:r>
            <w:r>
              <w:t xml:space="preserve">, 1795, 1854, 1870,</w:t>
            </w:r>
            <w:r>
              <w:t xml:space="preserve"> </w:t>
            </w:r>
            <w:r>
              <w:rPr>
                <w:u w:val="single"/>
              </w:rPr>
              <w:t xml:space="preserve">1897</w:t>
            </w:r>
            <w:r>
              <w:t xml:space="preserve">,</w:t>
            </w:r>
            <w:r>
              <w:t xml:space="preserve"> </w:t>
            </w:r>
            <w:r>
              <w:rPr>
                <w:u w:val="single"/>
              </w:rPr>
              <w:t xml:space="preserve">2255</w:t>
            </w:r>
            <w:r>
              <w:t xml:space="preserve">,</w:t>
            </w:r>
            <w:r>
              <w:t xml:space="preserve"> </w:t>
            </w:r>
            <w:r>
              <w:rPr>
                <w:u w:val="single"/>
              </w:rPr>
              <w:t xml:space="preserve">2431</w:t>
            </w:r>
            <w:r>
              <w:t xml:space="preserve">,</w:t>
            </w:r>
            <w:r>
              <w:t xml:space="preserve"> </w:t>
            </w:r>
            <w:r>
              <w:rPr>
                <w:u w:val="single"/>
              </w:rPr>
              <w:t xml:space="preserve">2587</w:t>
            </w:r>
            <w:r>
              <w:t xml:space="preserve">,</w:t>
            </w:r>
            <w:r>
              <w:t xml:space="preserve"> </w:t>
            </w:r>
            <w:r>
              <w:rPr>
                <w:u w:val="single"/>
              </w:rPr>
              <w:t xml:space="preserve">2777</w:t>
            </w:r>
          </w:p>
        </w:tc>
        <w:tc>
          <w:tcPr/>
          <w:p>
            <w:pPr>
              <w:pStyle w:val="Compact"/>
            </w:pPr>
          </w:p>
        </w:tc>
      </w:tr>
      <w:tr>
        <w:tc>
          <w:tcPr/>
          <w:p>
            <w:pPr>
              <w:pStyle w:val="Compact"/>
              <w:jc w:val="right"/>
            </w:pPr>
            <w:r>
              <w:t xml:space="preserve">0</w:t>
            </w:r>
          </w:p>
        </w:tc>
        <w:tc>
          <w:tcPr/>
          <w:p>
            <w:pPr>
              <w:pStyle w:val="Compact"/>
              <w:jc w:val="left"/>
            </w:pPr>
            <w:r>
              <w:rPr>
                <w:bCs/>
                <w:b/>
              </w:rPr>
              <w:t xml:space="preserve">P</w:t>
            </w:r>
            <w:r>
              <w:rPr>
                <w:vertAlign w:val="superscript"/>
                <w:bCs/>
                <w:b/>
              </w:rPr>
              <w:t xml:space="preserve">74</w:t>
            </w:r>
            <w:r>
              <w:t xml:space="preserve">,</w:t>
            </w:r>
            <w:r>
              <w:t xml:space="preserve"> </w:t>
            </w:r>
            <w:r>
              <w:rPr>
                <w:u w:val="single"/>
              </w:rPr>
              <w:t xml:space="preserve">18</w:t>
            </w:r>
            <w:r>
              <w:t xml:space="preserve">,</w:t>
            </w:r>
            <w:r>
              <w:t xml:space="preserve"> </w:t>
            </w:r>
            <w:r>
              <w:rPr>
                <w:u w:val="single"/>
              </w:rPr>
              <w:t xml:space="preserve">141</w:t>
            </w:r>
            <w:r>
              <w:t xml:space="preserve">,</w:t>
            </w:r>
            <w:r>
              <w:t xml:space="preserve"> </w:t>
            </w:r>
            <w:r>
              <w:rPr>
                <w:u w:val="single"/>
              </w:rPr>
              <w:t xml:space="preserve">204</w:t>
            </w:r>
            <w:r>
              <w:t xml:space="preserve">, 216, 226, 302, 308, 319, 325,</w:t>
            </w:r>
            <w:r>
              <w:t xml:space="preserve"> </w:t>
            </w:r>
            <w:r>
              <w:rPr>
                <w:u w:val="single"/>
              </w:rPr>
              <w:t xml:space="preserve">386</w:t>
            </w:r>
            <w:r>
              <w:t xml:space="preserve">,</w:t>
            </w:r>
            <w:r>
              <w:t xml:space="preserve"> </w:t>
            </w:r>
            <w:r>
              <w:rPr>
                <w:u w:val="single"/>
              </w:rPr>
              <w:t xml:space="preserve">394</w:t>
            </w:r>
            <w:r>
              <w:t xml:space="preserve">, 457, 603,</w:t>
            </w:r>
            <w:r>
              <w:t xml:space="preserve"> </w:t>
            </w:r>
            <w:r>
              <w:rPr>
                <w:u w:val="single"/>
              </w:rPr>
              <w:t xml:space="preserve">604</w:t>
            </w:r>
            <w:r>
              <w:t xml:space="preserve">, 627,</w:t>
            </w:r>
            <w:r>
              <w:t xml:space="preserve"> </w:t>
            </w:r>
            <w:r>
              <w:rPr>
                <w:u w:val="single"/>
              </w:rPr>
              <w:t xml:space="preserve">757</w:t>
            </w:r>
            <w:r>
              <w:t xml:space="preserve">,</w:t>
            </w:r>
            <w:r>
              <w:t xml:space="preserve"> </w:t>
            </w:r>
            <w:r>
              <w:rPr>
                <w:u w:val="single"/>
              </w:rPr>
              <w:t xml:space="preserve">824</w:t>
            </w:r>
            <w:r>
              <w:t xml:space="preserve">,</w:t>
            </w:r>
            <w:r>
              <w:t xml:space="preserve"> </w:t>
            </w:r>
            <w:r>
              <w:rPr>
                <w:u w:val="single"/>
              </w:rPr>
              <w:t xml:space="preserve">928</w:t>
            </w:r>
            <w:r>
              <w:t xml:space="preserve">, 935, 959,</w:t>
            </w:r>
            <w:r>
              <w:t xml:space="preserve"> </w:t>
            </w:r>
            <w:r>
              <w:rPr>
                <w:u w:val="single"/>
              </w:rPr>
              <w:t xml:space="preserve">1040</w:t>
            </w:r>
            <w:r>
              <w:t xml:space="preserve">,</w:t>
            </w:r>
            <w:r>
              <w:t xml:space="preserve"> </w:t>
            </w:r>
            <w:r>
              <w:rPr>
                <w:u w:val="single"/>
              </w:rPr>
              <w:t xml:space="preserve">1072</w:t>
            </w:r>
            <w:r>
              <w:t xml:space="preserve">,</w:t>
            </w:r>
            <w:r>
              <w:t xml:space="preserve"> </w:t>
            </w:r>
            <w:r>
              <w:rPr>
                <w:u w:val="single"/>
              </w:rPr>
              <w:t xml:space="preserve">1075</w:t>
            </w:r>
            <w:r>
              <w:t xml:space="preserve">, 1094,</w:t>
            </w:r>
            <w:r>
              <w:t xml:space="preserve"> </w:t>
            </w:r>
            <w:r>
              <w:rPr>
                <w:u w:val="single"/>
              </w:rPr>
              <w:t xml:space="preserve">1100</w:t>
            </w:r>
            <w:r>
              <w:t xml:space="preserve">,</w:t>
            </w:r>
            <w:r>
              <w:t xml:space="preserve"> </w:t>
            </w:r>
            <w:r>
              <w:rPr>
                <w:u w:val="single"/>
              </w:rPr>
              <w:t xml:space="preserve">1101</w:t>
            </w:r>
            <w:r>
              <w:t xml:space="preserve">,</w:t>
            </w:r>
            <w:r>
              <w:t xml:space="preserve"> </w:t>
            </w:r>
            <w:r>
              <w:rPr>
                <w:u w:val="single"/>
              </w:rPr>
              <w:t xml:space="preserve">1400</w:t>
            </w:r>
            <w:r>
              <w:t xml:space="preserve">,</w:t>
            </w:r>
            <w:r>
              <w:t xml:space="preserve"> </w:t>
            </w:r>
            <w:r>
              <w:rPr>
                <w:u w:val="single"/>
              </w:rPr>
              <w:t xml:space="preserve">1482</w:t>
            </w:r>
            <w:r>
              <w:t xml:space="preserve">,</w:t>
            </w:r>
            <w:r>
              <w:t xml:space="preserve"> </w:t>
            </w:r>
            <w:r>
              <w:rPr>
                <w:u w:val="single"/>
              </w:rPr>
              <w:t xml:space="preserve">1503</w:t>
            </w:r>
            <w:r>
              <w:t xml:space="preserve">,</w:t>
            </w:r>
            <w:r>
              <w:t xml:space="preserve"> </w:t>
            </w:r>
            <w:r>
              <w:rPr>
                <w:u w:val="single"/>
              </w:rPr>
              <w:t xml:space="preserve">1508</w:t>
            </w:r>
            <w:r>
              <w:t xml:space="preserve">,</w:t>
            </w:r>
            <w:r>
              <w:t xml:space="preserve"> </w:t>
            </w:r>
            <w:r>
              <w:rPr>
                <w:u w:val="single"/>
              </w:rPr>
              <w:t xml:space="preserve">1618</w:t>
            </w:r>
            <w:r>
              <w:t xml:space="preserve">,</w:t>
            </w:r>
            <w:r>
              <w:t xml:space="preserve"> </w:t>
            </w:r>
            <w:r>
              <w:rPr>
                <w:u w:val="single"/>
              </w:rPr>
              <w:t xml:space="preserve">1619</w:t>
            </w:r>
            <w:r>
              <w:t xml:space="preserve">,</w:t>
            </w:r>
            <w:r>
              <w:t xml:space="preserve"> </w:t>
            </w:r>
            <w:r>
              <w:rPr>
                <w:u w:val="single"/>
              </w:rPr>
              <w:t xml:space="preserve">1636</w:t>
            </w:r>
            <w:r>
              <w:t xml:space="preserve">,</w:t>
            </w:r>
            <w:r>
              <w:t xml:space="preserve"> </w:t>
            </w:r>
            <w:r>
              <w:rPr>
                <w:u w:val="single"/>
              </w:rPr>
              <w:t xml:space="preserve">1637</w:t>
            </w:r>
            <w:r>
              <w:t xml:space="preserve">,</w:t>
            </w:r>
            <w:r>
              <w:t xml:space="preserve"> </w:t>
            </w:r>
            <w:r>
              <w:rPr>
                <w:u w:val="single"/>
              </w:rPr>
              <w:t xml:space="preserve">1652</w:t>
            </w:r>
            <w:r>
              <w:t xml:space="preserve">,</w:t>
            </w:r>
            <w:r>
              <w:t xml:space="preserve"> </w:t>
            </w:r>
            <w:r>
              <w:rPr>
                <w:u w:val="single"/>
              </w:rPr>
              <w:t xml:space="preserve">1656</w:t>
            </w:r>
            <w:r>
              <w:t xml:space="preserve">, 1668,</w:t>
            </w:r>
            <w:r>
              <w:t xml:space="preserve"> </w:t>
            </w:r>
            <w:r>
              <w:rPr>
                <w:u w:val="single"/>
              </w:rPr>
              <w:t xml:space="preserve">1704</w:t>
            </w:r>
            <w:r>
              <w:t xml:space="preserve">,</w:t>
            </w:r>
            <w:r>
              <w:t xml:space="preserve"> </w:t>
            </w:r>
            <w:r>
              <w:rPr>
                <w:u w:val="single"/>
              </w:rPr>
              <w:t xml:space="preserve">1723</w:t>
            </w:r>
            <w:r>
              <w:t xml:space="preserve">,</w:t>
            </w:r>
            <w:r>
              <w:t xml:space="preserve"> </w:t>
            </w:r>
            <w:r>
              <w:rPr>
                <w:u w:val="single"/>
              </w:rPr>
              <w:t xml:space="preserve">1737</w:t>
            </w:r>
            <w:r>
              <w:t xml:space="preserve">,</w:t>
            </w:r>
            <w:r>
              <w:t xml:space="preserve"> </w:t>
            </w:r>
            <w:r>
              <w:rPr>
                <w:u w:val="single"/>
              </w:rPr>
              <w:t xml:space="preserve">1740</w:t>
            </w:r>
            <w:r>
              <w:t xml:space="preserve">,</w:t>
            </w:r>
            <w:r>
              <w:t xml:space="preserve"> </w:t>
            </w:r>
            <w:r>
              <w:rPr>
                <w:u w:val="single"/>
              </w:rPr>
              <w:t xml:space="preserve">1745</w:t>
            </w:r>
            <w:r>
              <w:t xml:space="preserve">,</w:t>
            </w:r>
            <w:r>
              <w:t xml:space="preserve"> </w:t>
            </w:r>
            <w:r>
              <w:rPr>
                <w:u w:val="single"/>
              </w:rPr>
              <w:t xml:space="preserve">1752</w:t>
            </w:r>
            <w:r>
              <w:t xml:space="preserve">,</w:t>
            </w:r>
            <w:r>
              <w:t xml:space="preserve"> </w:t>
            </w:r>
            <w:r>
              <w:rPr>
                <w:u w:val="single"/>
              </w:rPr>
              <w:t xml:space="preserve">1761</w:t>
            </w:r>
            <w:r>
              <w:t xml:space="preserve">,</w:t>
            </w:r>
            <w:r>
              <w:t xml:space="preserve"> </w:t>
            </w:r>
            <w:r>
              <w:rPr>
                <w:u w:val="single"/>
              </w:rPr>
              <w:t xml:space="preserve">1763</w:t>
            </w:r>
            <w:r>
              <w:t xml:space="preserve">, 1835,</w:t>
            </w:r>
            <w:r>
              <w:t xml:space="preserve"> </w:t>
            </w:r>
            <w:r>
              <w:rPr>
                <w:u w:val="single"/>
              </w:rPr>
              <w:t xml:space="preserve">1855</w:t>
            </w:r>
            <w:r>
              <w:t xml:space="preserve">,</w:t>
            </w:r>
            <w:r>
              <w:t xml:space="preserve"> </w:t>
            </w:r>
            <w:r>
              <w:rPr>
                <w:u w:val="single"/>
              </w:rPr>
              <w:t xml:space="preserve">1858</w:t>
            </w:r>
            <w:r>
              <w:t xml:space="preserve">,</w:t>
            </w:r>
            <w:r>
              <w:t xml:space="preserve"> </w:t>
            </w:r>
            <w:r>
              <w:rPr>
                <w:u w:val="single"/>
              </w:rPr>
              <w:t xml:space="preserve">1864</w:t>
            </w:r>
            <w:r>
              <w:t xml:space="preserve">,</w:t>
            </w:r>
            <w:r>
              <w:t xml:space="preserve"> </w:t>
            </w:r>
            <w:r>
              <w:rPr>
                <w:u w:val="single"/>
              </w:rPr>
              <w:t xml:space="preserve">1865</w:t>
            </w:r>
            <w:r>
              <w:t xml:space="preserve">,</w:t>
            </w:r>
            <w:r>
              <w:t xml:space="preserve"> </w:t>
            </w:r>
            <w:r>
              <w:rPr>
                <w:u w:val="single"/>
              </w:rPr>
              <w:t xml:space="preserve">1899</w:t>
            </w:r>
            <w:r>
              <w:t xml:space="preserve">,</w:t>
            </w:r>
            <w:r>
              <w:t xml:space="preserve"> </w:t>
            </w:r>
            <w:r>
              <w:rPr>
                <w:u w:val="single"/>
              </w:rPr>
              <w:t xml:space="preserve">2080</w:t>
            </w:r>
            <w:r>
              <w:t xml:space="preserve">,</w:t>
            </w:r>
            <w:r>
              <w:t xml:space="preserve"> </w:t>
            </w:r>
            <w:r>
              <w:rPr>
                <w:u w:val="single"/>
              </w:rPr>
              <w:t xml:space="preserve">2221</w:t>
            </w:r>
            <w:r>
              <w:t xml:space="preserve">,</w:t>
            </w:r>
            <w:r>
              <w:t xml:space="preserve"> </w:t>
            </w:r>
            <w:r>
              <w:rPr>
                <w:u w:val="single"/>
              </w:rPr>
              <w:t xml:space="preserve">2261</w:t>
            </w:r>
            <w:r>
              <w:t xml:space="preserve">,</w:t>
            </w:r>
            <w:r>
              <w:t xml:space="preserve"> </w:t>
            </w:r>
            <w:r>
              <w:rPr>
                <w:u w:val="single"/>
              </w:rPr>
              <w:t xml:space="preserve">2352</w:t>
            </w:r>
            <w:r>
              <w:t xml:space="preserve">, 2356, 2511, 2541,</w:t>
            </w:r>
            <w:r>
              <w:t xml:space="preserve"> </w:t>
            </w:r>
            <w:r>
              <w:rPr>
                <w:u w:val="single"/>
              </w:rPr>
              <w:t xml:space="preserve">2554</w:t>
            </w:r>
            <w:r>
              <w:t xml:space="preserve">,</w:t>
            </w:r>
            <w:r>
              <w:t xml:space="preserve"> </w:t>
            </w:r>
            <w:r>
              <w:rPr>
                <w:u w:val="single"/>
              </w:rPr>
              <w:t xml:space="preserve">2723</w:t>
            </w:r>
          </w:p>
        </w:tc>
        <w:tc>
          <w:tcPr/>
          <w:p>
            <w:pPr>
              <w:pStyle w:val="Compact"/>
            </w:pPr>
          </w:p>
        </w:tc>
      </w:tr>
    </w:tbl>
    <w:p>
      <w:pPr>
        <w:pStyle w:val="BodyText"/>
      </w:pPr>
      <w:r>
        <w:t xml:space="preserve">Komentarze:</w:t>
      </w:r>
    </w:p>
    <w:p>
      <w:pPr>
        <w:numPr>
          <w:ilvl w:val="0"/>
          <w:numId w:val="1111"/>
        </w:numPr>
      </w:pPr>
      <w:r>
        <w:t xml:space="preserve">Łączna liczba wymienionych wyżej manuskryptów wynosi 514, z powodu luk w dowolnym miejscu liczba ta będzie wynosić około 500. Wasserman uwzględnił również lekcjonarze, ja jednak tego nie zrobiłem.</w:t>
      </w:r>
    </w:p>
    <w:p>
      <w:pPr>
        <w:numPr>
          <w:ilvl w:val="0"/>
          <w:numId w:val="1111"/>
        </w:numPr>
      </w:pPr>
      <w:r>
        <w:rPr>
          <w:bCs/>
          <w:b/>
        </w:rPr>
        <w:t xml:space="preserve">P</w:t>
      </w:r>
      <w:r>
        <w:rPr>
          <w:vertAlign w:val="superscript"/>
          <w:bCs/>
          <w:b/>
        </w:rPr>
        <w:t xml:space="preserve">74</w:t>
      </w:r>
      <w:r>
        <w:t xml:space="preserve">, 319, 325, 603, 2356 i 2511 są najwyraźniej fragmentaryczne albo mają niewiele czytelnego tekstu, dlatego ich wynik wynosi zero.</w:t>
      </w:r>
    </w:p>
    <w:p>
      <w:pPr>
        <w:numPr>
          <w:ilvl w:val="0"/>
          <w:numId w:val="1111"/>
        </w:numPr>
      </w:pPr>
      <w:r>
        <w:t xml:space="preserve">216, 226, 302, 308, 457, 935, 959, 1094, 1668, 1835 i 2541 zwykle nie należą do</w:t>
      </w:r>
      <w:r>
        <w:t xml:space="preserve"> </w:t>
      </w:r>
      <w:r>
        <w:rPr>
          <w:bCs/>
          <w:b/>
        </w:rPr>
        <w:t xml:space="preserve">f</w:t>
      </w:r>
      <w:r>
        <w:rPr>
          <w:vertAlign w:val="superscript"/>
          <w:bCs/>
          <w:b/>
        </w:rPr>
        <w:t xml:space="preserve">35</w:t>
      </w:r>
      <w:r>
        <w:t xml:space="preserve">, lecz zachowały jego tekst w tej krótkiej księdze (jeśli zarówno Wasserman, jak i ja poprawnie odnotowaliśmy fakty).</w:t>
      </w:r>
    </w:p>
    <w:p>
      <w:pPr>
        <w:numPr>
          <w:ilvl w:val="0"/>
          <w:numId w:val="1111"/>
        </w:numPr>
      </w:pPr>
      <w:r>
        <w:t xml:space="preserve">Tam, gdzie sam przeprowadziłem pełne kolacjonowanie manuskryptu</w:t>
      </w:r>
      <w:r>
        <w:t xml:space="preserve"> </w:t>
      </w:r>
      <w:r>
        <w:rPr>
          <w:bCs/>
          <w:b/>
        </w:rPr>
        <w:t xml:space="preserve">f</w:t>
      </w:r>
      <w:r>
        <w:rPr>
          <w:vertAlign w:val="superscript"/>
          <w:bCs/>
          <w:b/>
        </w:rPr>
        <w:t xml:space="preserve">35</w:t>
      </w:r>
      <w:r>
        <w:t xml:space="preserve"> </w:t>
      </w:r>
      <w:r>
        <w:t xml:space="preserve">dla Listu Judy, użyłem własnych danych, gdy nie zgadzam się z Wassermanem — zmieniłem pozycję dwudziestu trzech manuskryptów</w:t>
      </w:r>
      <w:r>
        <w:t xml:space="preserve"> </w:t>
      </w:r>
      <w:r>
        <w:rPr>
          <w:bCs/>
          <w:b/>
        </w:rPr>
        <w:t xml:space="preserve">f</w:t>
      </w:r>
      <w:r>
        <w:rPr>
          <w:vertAlign w:val="superscript"/>
          <w:bCs/>
          <w:b/>
        </w:rPr>
        <w:t xml:space="preserve">35</w:t>
      </w:r>
      <w:r>
        <w:t xml:space="preserve"> </w:t>
      </w:r>
      <w:r>
        <w:t xml:space="preserve">(jednej czwartej ogółu).</w:t>
      </w:r>
    </w:p>
    <w:p>
      <w:pPr>
        <w:numPr>
          <w:ilvl w:val="0"/>
          <w:numId w:val="1111"/>
        </w:numPr>
      </w:pPr>
      <w:r>
        <w:t xml:space="preserve">Spośród 88 manuskryptów, które podkreśliłem jako należące do</w:t>
      </w:r>
      <w:r>
        <w:t xml:space="preserve"> </w:t>
      </w:r>
      <w:r>
        <w:rPr>
          <w:bCs/>
          <w:b/>
        </w:rPr>
        <w:t xml:space="preserve">f</w:t>
      </w:r>
      <w:r>
        <w:rPr>
          <w:vertAlign w:val="superscript"/>
          <w:bCs/>
          <w:b/>
        </w:rPr>
        <w:t xml:space="preserve">35</w:t>
      </w:r>
      <w:r>
        <w:t xml:space="preserve">, niemal połowa jest doskonała. 1247 jest raczej niestaranny, lecz należy do rodziny.</w:t>
      </w:r>
    </w:p>
    <w:p>
      <w:pPr>
        <w:numPr>
          <w:ilvl w:val="0"/>
          <w:numId w:val="1111"/>
        </w:numPr>
      </w:pPr>
      <w:r>
        <w:t xml:space="preserve">Każdy, kto kolacjonował pewną liczbę manuskryptów, zauważył, że mniej więcej na trzeciej albo czwartej stronie kopista zaczyna się męczyć albo nudzić, w następstwie czego liczba błędów zauważalnie wzrasta. Gdyby była to dłuższa księga, „pozycja” większości manuskryptów wzrosłaby. Rdzeń przedstawicieli</w:t>
      </w:r>
      <w:r>
        <w:t xml:space="preserve"> </w:t>
      </w:r>
      <w:r>
        <w:rPr>
          <w:bCs/>
          <w:b/>
        </w:rPr>
        <w:t xml:space="preserve">f</w:t>
      </w:r>
      <w:r>
        <w:rPr>
          <w:vertAlign w:val="superscript"/>
          <w:bCs/>
          <w:b/>
        </w:rPr>
        <w:t xml:space="preserve">35</w:t>
      </w:r>
      <w:r>
        <w:t xml:space="preserve"> </w:t>
      </w:r>
      <w:r>
        <w:t xml:space="preserve">pozostałby mniej więcej taki sam.</w:t>
      </w:r>
    </w:p>
    <w:p>
      <w:pPr>
        <w:numPr>
          <w:ilvl w:val="0"/>
          <w:numId w:val="1111"/>
        </w:numPr>
      </w:pPr>
      <w:r>
        <w:t xml:space="preserve">W przypadku tak krótkiej księgi uważam pięć wariantów za niedopuszczalne, tak więc praktycznie połowa manuskryptów znajduje się poniżej mojej granicy przyzwoitości.</w:t>
      </w:r>
    </w:p>
    <w:bookmarkEnd w:id="516"/>
    <w:bookmarkStart w:id="522" w:name="precz-z-fałszerstwem"/>
    <w:p>
      <w:pPr>
        <w:pStyle w:val="Heading2"/>
      </w:pPr>
      <w:r>
        <w:t xml:space="preserve">Precz z fałszerstwem!</w:t>
      </w:r>
    </w:p>
    <w:p>
      <w:pPr>
        <w:pStyle w:val="FirstParagraph"/>
      </w:pPr>
      <w:r>
        <w:t xml:space="preserve">Co jakiś czas otrzymuję pytanie, które początkowo mnie irytuje, lecz kiedy już się uspokoję, dostrzegam, że Bóg pobudza mnie do wyjaśnienia kwestii, która tego wymaga. Zdarzyło się tak jakiś czas temu z „perełką” przypisywaną Hieronimowi, według której w jego czasach „większość” albo „niemal wszystkie” greckie manuskrypty nie zawierały ostatnich dwunastu wersetów Ewangelii Marka. Skoro spośród około 1700 znanych nam greckich manuskryptów, które zawierają ostatni rozdział Ewangelii Marka, tylko trzy ich nie mają (przy czym jeden z nich jest w tym miejscu falsyfikatem), jak ogromna większość w V wieku mogła później zmniejszyć się do drobnego ułamka jednego procenta? Z punktu widzenia nauki o prawdopodobieństwie statystycznym takie odwrócenie jest po prostu niemożliwe. Jedynie ogólnoświatowa kampania, która odniosłaby niemal stuprocentowy sukces, mogłaby spowodować taką zmianę, a nie istnieje ani strzęp dowodu na taką kampanię. Przypomnijmy, że kampania Dioklecjana mająca na celu zniszczenie manuskryptów Nowego Testamentu (prowadzona nierównomiernie na różnych obszarach) już od stulecia należała do przeszłości (nie wspominając o „nawróceniu” Konstantyna i jego następstwach). Kenneth Scott Latourette (</w:t>
      </w:r>
      <w:r>
        <w:rPr>
          <w:iCs/>
          <w:i/>
        </w:rPr>
        <w:t xml:space="preserve">A History of Christianity</w:t>
      </w:r>
      <w:r>
        <w:t xml:space="preserve"> </w:t>
      </w:r>
      <w:r>
        <w:t xml:space="preserve">(New York: Harper, 1953), s. 231) opisuje Eusebiusa Hieronimusa Sophroniusa (znanego jako Hieronim) jako „utalentowanego i pilnego uczonego, niezwykle erudycyjnego, mistrza języków, miłośnika książek, władającego łatwym, energicznym i często zjadliwym piórem”, który „był wymownym rzecznikiem życia monastycznego”. Niewątpliwie miał swoje wady (czyż nie mamy ich wszyscy), lecz nie był absurdalnie głupi, a musiałby taki być, aby wypowiedzieć przypisywane mu stwierdzenie. Nasza wiedza o tej „perełce” pochodzi z X wieku (odstęp pięciu stuleci nie budzi zaufania), niemal na pewno jest to fałszerstwo (ktoś „zapożyczył” sławne nazwisko, aby uwiarygodnić jakieś stwierdzenie). Ponieważ „święte krowy” nie lubią umierać, należy dokonać przeglądu części istotnej historii.</w:t>
      </w:r>
    </w:p>
    <w:bookmarkStart w:id="517" w:name="k.-aland-o-egipcie"/>
    <w:p>
      <w:pPr>
        <w:pStyle w:val="Heading3"/>
      </w:pPr>
      <w:r>
        <w:t xml:space="preserve">K. Aland o Egipcie</w:t>
      </w:r>
    </w:p>
    <w:p>
      <w:pPr>
        <w:pStyle w:val="FirstParagraph"/>
      </w:pPr>
      <w:r>
        <w:t xml:space="preserve">Nawet ten wielki orędownik tekstu egipskiego, Kurt Aland, uznawał, że w pierwszych stuleciach, włącznie z IV, Azja Mniejsza (zwłaszcza obszar Morza Egejskiego) była „sercem Kościoła”. (Stała się również sercem Cesarstwa Bizantyjskiego i Kościołów prawosławnych). Zapotrzebowanie na kopie Nowego Testamentu miało bezpośredni wpływ na ich podaż oraz na obszary, na których kopie były skupione. Na temat Egiptu Aland powiedział jednak co następuje:</w:t>
      </w:r>
    </w:p>
    <w:p>
      <w:pPr>
        <w:pStyle w:val="BlockText"/>
      </w:pPr>
      <w:r>
        <w:t xml:space="preserve">Nasza wiedza o Kościele w Egipcie zaczyna się u schyłku II wieku od biskupa Demetriusza, który zreorganizował zdominowany przez gnostyków Kościół egipski, zakładając nowe wspólnoty, wyświęcając biskupów, a przede wszystkim ustanawiając stosunki z innymi prowincjami wspólnoty kościelnej.</w:t>
      </w:r>
    </w:p>
    <w:p>
      <w:pPr>
        <w:pStyle w:val="BlockText"/>
      </w:pPr>
      <w:r>
        <w:t xml:space="preserve">Każdy kościół potrzebował manuskryptów Nowego Testamentu — jak Demetriusz miał je zapewnić? Nawet gdyby w jego własnej stolicy biskupiej istniało skryptorium, musiałby zdobyć „ortodoksyjne” egzemplarze dla skrybów. Kopii istniejących we wspólnotach gnostyckich nie można było użyć, ponieważ podejrzewano je o skażenie. Nie da się ustalić, skąd biskup wziął egzemplarze dla skrybów albo dużą liczbę manuskryptów papirusowych, które mógł przekazać bezpośrednio swoim wspólnotom. („The Text of the Church?”, Kurt Aland,</w:t>
      </w:r>
      <w:r>
        <w:t xml:space="preserve"> </w:t>
      </w:r>
      <w:r>
        <w:rPr>
          <w:iCs/>
          <w:i/>
        </w:rPr>
        <w:t xml:space="preserve">Trinity Journal</w:t>
      </w:r>
      <w:r>
        <w:t xml:space="preserve">, t. 8, nr 2, jesień 1987, s. 138 (faktycznie rozesłany wiosną 1989 roku)).</w:t>
      </w:r>
    </w:p>
    <w:p>
      <w:pPr>
        <w:pStyle w:val="FirstParagraph"/>
      </w:pPr>
      <w:r>
        <w:t xml:space="preserve">Ale chwileczkę. Kto w Egipcie nadal mówił po grecku w roku Pańskim 200? (A właściwie kto spośród zwykłych ludzi kiedykolwiek mówił tam po grecku?) Jakim greckojęzycznym wspólnotom mógł służyć zacny Demetriusz? Czy uczeni związani z biblioteką w Aleksandrii byliby skłonni podporządkować się Demetriuszowi? O ile wiemy, żaden apostoł nigdy nie usługiwał w Egipcie i nie przechowywano tam żadnego Autografu księgi Nowego Testamentu. Dominacja gnostycka prawdopodobnie nie powinna nas dziwić. Sytuacja w Aleksandrii ma jednak znaczenie dla rozpatrywanej kwestii ze względu na Klemensa, a zwłaszcza Orygenesa, który był mentorem Pamfila, ten zaś był mentorem Euzebiusza z Cezarei.</w:t>
      </w:r>
    </w:p>
    <w:bookmarkEnd w:id="517"/>
    <w:bookmarkStart w:id="518" w:name="euzebiusz-cezarea"/>
    <w:p>
      <w:pPr>
        <w:pStyle w:val="Heading3"/>
      </w:pPr>
      <w:r>
        <w:t xml:space="preserve">Euzebiusz (Cezarea)</w:t>
      </w:r>
    </w:p>
    <w:p>
      <w:pPr>
        <w:pStyle w:val="FirstParagraph"/>
      </w:pPr>
      <w:r>
        <w:t xml:space="preserve">Można podejrzewać, że fałszerz, który „zapożyczył” Hieronima, w rzeczywistości zaczął od „zapożyczenia” Euzebiusza (z Cezarei). Każe Euzebiuszowi odpowiedzieć pewnemu „Marynowi”: „Można by powiedzieć, że fragment ten nie znajduje się we wszystkich kopiach Ewangelii Marka…”. „Nie wszystkie” tu i ówdzie stało się „niektórymi”, a nawet „wieloma”. Jeśli Euzebiusz rzeczywiście napisał coś takiego, czego nie jesteśmy pewni (odstęp sześciu stuleci również tutaj nie budzi zaufania), jakie miał kwalifikacje, aby to zrobić? Po zniszczeniu dokonanym przez Rzymian w 70 roku po Chrystusie Palestyna stała się zaściankiem w nurcie chrześcijańskiej rzeki. Przekaz prawdziwego Tekstu Nowego Testamentu niczego nie zawdzięcza Cezarei. W IV wieku na całym świecie byłyby w użyciu dosłownie tysiące manuskryptów Nowego Testamentu, z których Euzebiusz (zm. 339, ur. około 265) prawdopodobnie nie widział więcej niż tuzina (większość z Aleksandrii, a nie z Azji Mniejszej). Jeśli Kodeks B powstał w Aleksandrii dostatecznie wcześnie, aby Euzebiusz mógł go zobaczyć, rzeczywiście pozwoliłoby mu to powiedzieć, że „nie wszystkie” kopie, lecz dlaczego miałby tak mówić? I dlaczego mielibyśmy zwracać na niego jakąkolwiek uwagę, gdyby to uczynił? Także tutaj, kto w Palestynie nadal mówił po grecku w IV wieku? Jaki użytek miałby Euzebiusz z greckich manuskryptów? Jeszcze jedna kwestia: gdyby Euzebiusz napisał coś takiego, stałoby się to przypuszczalnie po kampanii Dioklecjana, lecz nadal miałby ją świeżo w pamięci i powinien był o niej wspomnieć. Jak przypuszczam, ośmielony powodzeniem fałszerz postanowił „podbić stawkę”, przypisując tę samą wymianę zdań Hieronimowi odpowiadającemu pewnej „Hebidii”, tyle że tym razem jest to „większość” albo „niemal wszystkie”.</w:t>
      </w:r>
    </w:p>
    <w:bookmarkEnd w:id="518"/>
    <w:bookmarkStart w:id="519" w:name="hieronim-betlejem"/>
    <w:p>
      <w:pPr>
        <w:pStyle w:val="Heading3"/>
      </w:pPr>
      <w:r>
        <w:t xml:space="preserve">Hieronim (Betlejem)</w:t>
      </w:r>
    </w:p>
    <w:p>
      <w:pPr>
        <w:pStyle w:val="FirstParagraph"/>
      </w:pPr>
      <w:r>
        <w:t xml:space="preserve">Hieronim urodził się około 342 roku i zmarł w roku 420 (mniej więcej). W latach 382–384 był sekretarzem papieża Damazego w Rzymie i rozpoczął pracę nad łacińską Wulgatą. Niedługo po śmierci Damazego (384) przeniósł się do Betlejem, a kilka miesięcy później podążyła za nim zamożna Paula, która pomogła mu zbudować klasztor i tak dalej. Hieronim spędził ostatnie ponad 30 lat życia w Betlejem, będącym jeszcze większym „zaściankiem” niż Cezarea, i stulecie po Euzebiuszu. Wszystkie negatywne uwagi poczynione o Cezarei mają tutaj zastosowanie z jeszcze większą mocą. Co więcej, kto w otoczeniu papieża w Rzymie mówił po grecku w 380 roku po Chrystusie? Z Rzymu Hieronim przeniósł się do Betlejem. Ile rzeczywistych greckich manuskryptów Nowego Testamentu mógł zobaczyć? Z pewnością mniej niż 1% ogółu będącego w użyciu (w tamtym czasie w Italii i Palestynie byłoby niewiele greckich manuskryptów — kto miałby ich używać?). W wykazach wczesnych „ojców” Kościoła Hieronim jest zazwyczaj wymieniany wśród tych, którzy pisali po łacinie, a nie po grecku. Przypisywane mu stwierdzenie jest jawnie fałszywe, naukowo niemożliwe, on zaś miałby absurdalnie niewystarczające kwalifikacje, aby je wypowiedzieć. Ponieważ nie był głupi ani nieuczciwy, nie zrobił tego!</w:t>
      </w:r>
    </w:p>
    <w:bookmarkEnd w:id="519"/>
    <w:bookmarkStart w:id="521" w:name="uzupełnienie"/>
    <w:p>
      <w:pPr>
        <w:pStyle w:val="Heading3"/>
      </w:pPr>
      <w:r>
        <w:t xml:space="preserve">Uzupełnienie</w:t>
      </w:r>
    </w:p>
    <w:p>
      <w:pPr>
        <w:pStyle w:val="FirstParagraph"/>
      </w:pPr>
      <w:r>
        <w:t xml:space="preserve">Po tym, jak rozesłałem powyższy tekst jako moją „przesyłkę 75”, mój kanadyjski przyjaciel Charles Holm zwrócił moją uwagę na badania historyczne Timothy’ego Davida Barnesa, które mają znaczenie dla wiarygodności Hieronima (</w:t>
      </w:r>
      <w:r>
        <w:rPr>
          <w:iCs/>
          <w:i/>
        </w:rPr>
        <w:t xml:space="preserve">Tertullian: A Historical and Literary Study</w:t>
      </w:r>
      <w:r>
        <w:t xml:space="preserve">, Oxford: Clarendon Press, 1971). W dodatku poświęconym konkretnie Hieronimowi znajduje się część zatytułowana „Jerome and Eusebius”, w której Barnes przedstawia następujące uwagi (strony 236–238).</w:t>
      </w:r>
    </w:p>
    <w:p>
      <w:pPr>
        <w:pStyle w:val="BlockText"/>
      </w:pPr>
      <w:r>
        <w:t xml:space="preserve">Po pierwsze, Hieronim nigdy nie kwestionuje wiarygodności Euzebiusza. Przyjmuje zatem interpretację tego, co mówi dany pisarz, dokonaną przez Euzebiusza, nie pytając, czy jest ona poprawna.</w:t>
      </w:r>
    </w:p>
    <w:p>
      <w:pPr>
        <w:pStyle w:val="BlockText"/>
      </w:pPr>
      <w:r>
        <w:t xml:space="preserve">……………………………………………………</w:t>
      </w:r>
    </w:p>
    <w:p>
      <w:pPr>
        <w:pStyle w:val="BlockText"/>
      </w:pPr>
      <w:r>
        <w:t xml:space="preserve">Po drugie, Hieronim znacznie przewyższa Euzebiusza łatwowiernością. To, co u Euzebiusza przedstawiono jako przypuszczenie lub zwykłą pogłoskę, dla Hieronima jest ustalonym i niewątpliwym faktem.</w:t>
      </w:r>
    </w:p>
    <w:p>
      <w:pPr>
        <w:pStyle w:val="BlockText"/>
      </w:pPr>
      <w:r>
        <w:t xml:space="preserve">……………………………………………………</w:t>
      </w:r>
    </w:p>
    <w:p>
      <w:pPr>
        <w:pStyle w:val="BlockText"/>
      </w:pPr>
      <w:r>
        <w:t xml:space="preserve">Po trzecie, Hieronim błędnie tłumaczy i błędnie rozumie.</w:t>
      </w:r>
    </w:p>
    <w:p>
      <w:pPr>
        <w:pStyle w:val="BlockText"/>
      </w:pPr>
      <w:r>
        <w:t xml:space="preserve">……………………………………………………</w:t>
      </w:r>
    </w:p>
    <w:p>
      <w:pPr>
        <w:pStyle w:val="BlockText"/>
      </w:pPr>
      <w:r>
        <w:t xml:space="preserve">Po czwarte, Hieronim nieuczciwie ukrywa zarówno swoją niewiedzę, jak i dług wobec Euzebiusza.</w:t>
      </w:r>
    </w:p>
    <w:p>
      <w:pPr>
        <w:pStyle w:val="FirstParagraph"/>
      </w:pPr>
      <w:r>
        <w:t xml:space="preserve">No proszę, wygląda na to, że czytając Hieronima, należałoby mieć pod ręką pełną solniczkę. Być może moje końcowe zdanie powyżej powinno brzmieć: Ponieważ nie był głupi, nie zrobił tego! Nadal jednak obstaję przy tym, że Hieronim nie mógł być aż tak rażąco głupi lub nieuczciwy, aby wypowiedzieć przypisywane mu absurdalne stwierdzenie. Precz z</w:t>
      </w:r>
      <w:r>
        <w:t xml:space="preserve"> </w:t>
      </w:r>
      <w:r>
        <w:rPr>
          <w:bCs/>
          <w:b/>
        </w:rPr>
        <w:t xml:space="preserve">fałszerstwem</w:t>
      </w:r>
      <w:r>
        <w:t xml:space="preserve">!</w:t>
      </w:r>
      <w:r>
        <w:rPr>
          <w:rStyle w:val="FootnoteReference"/>
        </w:rPr>
        <w:footnoteReference w:id="520"/>
      </w:r>
    </w:p>
    <w:bookmarkEnd w:id="521"/>
    <w:bookmarkEnd w:id="522"/>
    <w:bookmarkStart w:id="523" w:name="definiowanie-zachowania"/>
    <w:p>
      <w:pPr>
        <w:pStyle w:val="Heading2"/>
      </w:pPr>
      <w:r>
        <w:t xml:space="preserve">Definiowanie „zachowania”</w:t>
      </w:r>
    </w:p>
    <w:p>
      <w:pPr>
        <w:pStyle w:val="FirstParagraph"/>
      </w:pPr>
      <w:r>
        <w:t xml:space="preserve">Rozumiemy, że ludzcy autorzy Pisma pisali pod natchnieniem, przez co rozumiemy, że Duch Święty nadzorował ten proces, w wyniku czego napisali dokładnie to, co chciał, aby napisali (z poszanowaniem norm rządzących użyciem języka). Natchnieni byli autorzy, chronieni przed błędem, lecz nie kopiści na przestrzeni lat. Nic tak jak rzeczywiste kolacjonowanie pewnej liczby manuskryptów nie pozwala docenić Boskiego zachowania Tekstu, procesu bardziej skomplikowanego niż natchnienie. (Szatanowi nie pozwolono ingerować w natchnienie, lecz pozwolono mu ingerować w zachowanie).</w:t>
      </w:r>
    </w:p>
    <w:p>
      <w:pPr>
        <w:pStyle w:val="BodyText"/>
      </w:pPr>
      <w:r>
        <w:t xml:space="preserve">Celem tej notatki jest nieco „przeżuć” kwestię tego, jak dokładnie oceniać reprezentowanie przez kopię jej archetypalnej formy, a tym samym jej zachowanie. Uważam, że następujących rzeczy nie należy traktować jako „wariantów” ani odchyleń od archetypu:</w:t>
      </w:r>
    </w:p>
    <w:p>
      <w:pPr>
        <w:numPr>
          <w:ilvl w:val="0"/>
          <w:numId w:val="1112"/>
        </w:numPr>
      </w:pPr>
      <w:r>
        <w:t xml:space="preserve">Czy liczba jest zapisana słownie, czy oznaczona literami.</w:t>
      </w:r>
    </w:p>
    <w:p>
      <w:pPr>
        <w:numPr>
          <w:ilvl w:val="0"/>
          <w:numId w:val="1112"/>
        </w:numPr>
      </w:pPr>
      <w:r>
        <w:t xml:space="preserve">Czy nazwa litery (</w:t>
      </w:r>
      <w:r>
        <w:rPr>
          <w:iCs/>
          <w:i/>
        </w:rPr>
        <w:t xml:space="preserve">alfa</w:t>
      </w:r>
      <w:r>
        <w:t xml:space="preserve">) jest zapisana słownie, czy podana jako litera.</w:t>
      </w:r>
    </w:p>
    <w:p>
      <w:pPr>
        <w:numPr>
          <w:ilvl w:val="0"/>
          <w:numId w:val="1112"/>
        </w:numPr>
      </w:pPr>
      <w:r>
        <w:t xml:space="preserve">Skróty albo formy „stenograficzne” (są one szczególnie częste na końcu wiersza), gdy tożsamość słowa i jego znaczenie pozostają nietknięte, tak zwane</w:t>
      </w:r>
      <w:r>
        <w:t xml:space="preserve"> </w:t>
      </w:r>
      <w:r>
        <w:rPr>
          <w:iCs/>
          <w:i/>
        </w:rPr>
        <w:t xml:space="preserve">nomina sacra</w:t>
      </w:r>
      <w:r>
        <w:t xml:space="preserve"> </w:t>
      </w:r>
      <w:r>
        <w:t xml:space="preserve">są prawdopodobnie najbardziej znanymi przykładami.</w:t>
      </w:r>
    </w:p>
    <w:p>
      <w:pPr>
        <w:pStyle w:val="FirstParagraph"/>
      </w:pPr>
      <w:r>
        <w:t xml:space="preserve">Zarówno pergamin, jak i atrament przygotowywano ręcznie i trudno było je zdobyć, dlatego każdy zgodny z prawem sposób oszczędzania tych materiałów uznawano za całkowicie właściwy. Postawę tę odzwierciedlają pierwsze trzy punkty.</w:t>
      </w:r>
    </w:p>
    <w:p>
      <w:pPr>
        <w:numPr>
          <w:ilvl w:val="0"/>
          <w:numId w:val="1113"/>
        </w:numPr>
      </w:pPr>
      <w:r>
        <w:t xml:space="preserve">Kopiści często dawali wyraz skłonnościom artystycznym w górnym wierszu strony i na końcach wierszy, używając ozdobników, zawijasów, przesadnych form, linii wybiegających poza stronę i tym podobnych — należy je ignorować.</w:t>
      </w:r>
    </w:p>
    <w:p>
      <w:pPr>
        <w:numPr>
          <w:ilvl w:val="0"/>
          <w:numId w:val="1113"/>
        </w:numPr>
      </w:pPr>
      <w:r>
        <w:t xml:space="preserve">Alternatywne pisownie tego samego słowa, gdy tożsamość słowa i jego znaczenie pozostają nietknięte. Ten punkt jest nieco bardziej kłopotliwy niż pozostałe, lecz uważam, że powinien znaleźć się na liście. Takie różnice mogą jednak być użyteczne w rozpoznawaniu podgrup. Zaliczam tutaj alternatywne pisownie transliterowanego słowa obcego, jak w Ewangelii Marka 5,41 (tym bardziej w tym przypadku, ponieważ zostało ono przetłumaczone).</w:t>
      </w:r>
    </w:p>
    <w:p>
      <w:pPr>
        <w:numPr>
          <w:ilvl w:val="0"/>
          <w:numId w:val="1113"/>
        </w:numPr>
      </w:pPr>
      <w:r>
        <w:t xml:space="preserve">Gdy szyk słów zostaje zmieniony, lecz zmiana ta (jak się wydaje) w żaden sposób nie wpływa na znaczenie, są to dwa sposoby powiedzenia tego samego. Nie są to „właściwe” warianty, choć mogą być użyteczne w rozpoznawaniu podgrup. Niektóre zmiany szyku słów wpływają na odcień znaczeniowy, dlatego każdy przypadek trzeba oceniać indywidualnie. Na przykład, czy w Ewangelii Łukasza 10,41 jest ο Ιησους ειπεν αυτη, czy ειπεν αυτη ο Ιησους? Oba znaczą po prostu „Jezus powiedział jej”.</w:t>
      </w:r>
    </w:p>
    <w:p>
      <w:pPr>
        <w:pStyle w:val="FirstParagraph"/>
      </w:pPr>
      <w:r>
        <w:t xml:space="preserve">Zmieniam sposób, w jaki opisuję wyniki manuskryptów w odniesieniu do ich archetypu. Manuskrypt, który odtwarza formę archetypalną bez żadnych wariantów, jest kopią, która reprezentuje archetyp</w:t>
      </w:r>
      <w:r>
        <w:t xml:space="preserve"> </w:t>
      </w:r>
      <w:r>
        <w:rPr>
          <w:iCs/>
          <w:i/>
        </w:rPr>
        <w:t xml:space="preserve">doskonale</w:t>
      </w:r>
      <w:r>
        <w:t xml:space="preserve">. Manuskrypt, który ma jedynie różne sposoby powiedzenia tego samego, jest kopią, która reprezentuje archetyp</w:t>
      </w:r>
      <w:r>
        <w:t xml:space="preserve"> </w:t>
      </w:r>
      <w:r>
        <w:rPr>
          <w:iCs/>
          <w:i/>
        </w:rPr>
        <w:t xml:space="preserve">kompletnie</w:t>
      </w:r>
      <w:r>
        <w:t xml:space="preserve">. Do tej drugiej kategorii zaliczam manuskrypty mające jedynie formy alternatywne lub poprawki prowadzące do formy archetypalnej — w każdym przypadku zachowany jest prawdziwy odczyt. Zaliczam tutaj również powtórzenie litery albo sylaby przy przejściu z jednego wiersza do następnego (w każdym razie nie jest to „właściwy” wariant).</w:t>
      </w:r>
    </w:p>
    <w:p>
      <w:pPr>
        <w:pStyle w:val="BodyText"/>
      </w:pPr>
      <w:r>
        <w:t xml:space="preserve">Oczywiście przy drukowaniu tekstu trzeba dokonać wyboru między konkurującymi formami (jestem gotów wyjaśnić mój wybór w każdym przypadku), ponieważ jednak znaczenie pozostaje nietknięte, wybory takie będą interesować głównie kogoś, kto chce zastosować do tekstu kod liczbowy.</w:t>
      </w:r>
      <w:r>
        <w:t xml:space="preserve"> </w:t>
      </w:r>
      <w:r>
        <w:rPr>
          <w:bCs/>
          <w:b/>
        </w:rPr>
        <w:t xml:space="preserve">Rodzaju zmian wymienionych powyżej nie można w sposób uprawniony wykorzystywać do argumentowania przeciwko doktrynie nieomylności</w:t>
      </w:r>
      <w:r>
        <w:t xml:space="preserve">.</w:t>
      </w:r>
    </w:p>
    <w:bookmarkEnd w:id="523"/>
    <w:bookmarkStart w:id="528" w:name="Xe7fa3c451fd1feaed7107269b77aa1218452e36"/>
    <w:p>
      <w:pPr>
        <w:pStyle w:val="Heading2"/>
      </w:pPr>
      <w:r>
        <w:t xml:space="preserve">Skolacjonowane manuskrypty</w:t>
      </w:r>
      <w:r>
        <w:t xml:space="preserve"> </w:t>
      </w:r>
      <w:r>
        <w:rPr>
          <w:bCs/>
          <w:b/>
        </w:rPr>
        <w:t xml:space="preserve">f</w:t>
      </w:r>
      <w:r>
        <w:rPr>
          <w:vertAlign w:val="superscript"/>
          <w:bCs/>
          <w:b/>
        </w:rPr>
        <w:t xml:space="preserve">35</w:t>
      </w:r>
      <w:r>
        <w:rPr>
          <w:rStyle w:val="FootnoteReference"/>
        </w:rPr>
        <w:footnoteReference w:id="524"/>
      </w:r>
    </w:p>
    <w:p>
      <w:pPr>
        <w:pStyle w:val="BodyText"/>
      </w:pPr>
      <w:r>
        <w:t xml:space="preserve">Gdy mówię, że manuskrypt miał doskonały egzemplarz (doskonałą kopię archetypu rodziny), nie obciążam jego egzemplarza tym, co wydaje się prywatnymi błędami kopii — obejmuje to poprawki prowadzące do archetypu. Oczywiście z konieczności opieram się na mojej ocenie, ponieważ nie mam sposobu dowiedzieć się, co rzeczywiście się wydarzyło, prawdopodobnie jednak niewiele się mylę. Gdy mówię, że sama kopia jest doskonała, odnoszę się do pierwszej ręki. Użyłem numerów GA, z wyjątkiem Iviron 2110, który nie ma numeru GA. Ci, którzy znają moją pracę, wiedzą, że archetypalna forma rodziny została ustalona empirycznie jako konsensus skolacjonowanych manuskryptów.</w:t>
      </w:r>
    </w:p>
    <w:p>
      <w:pPr>
        <w:pStyle w:val="BodyText"/>
      </w:pPr>
      <w:r>
        <w:rPr>
          <w:bCs/>
          <w:b/>
        </w:rPr>
        <w:t xml:space="preserve">Ewangelia Mateusza</w:t>
      </w:r>
      <w:r>
        <w:t xml:space="preserve"> </w:t>
      </w:r>
      <w:r>
        <w:t xml:space="preserve">— skolacjonowałem 51 manuskryptów</w:t>
      </w:r>
      <w:r>
        <w:t xml:space="preserve"> </w:t>
      </w:r>
      <w:r>
        <w:rPr>
          <w:bCs/>
          <w:b/>
        </w:rPr>
        <w:t xml:space="preserve">f</w:t>
      </w:r>
      <w:r>
        <w:rPr>
          <w:vertAlign w:val="superscript"/>
          <w:bCs/>
          <w:b/>
        </w:rPr>
        <w:t xml:space="preserve">35</w:t>
      </w:r>
      <w:r>
        <w:t xml:space="preserve">, 2554 jest doskonały, 1072, 1117, 1461, 1496, 1652, 1713 i Iviron 2110 miały doskonały egzemplarz (jak przypuszczam).</w:t>
      </w:r>
    </w:p>
    <w:p>
      <w:pPr>
        <w:pStyle w:val="BodyText"/>
      </w:pPr>
      <w:r>
        <w:rPr>
          <w:bCs/>
          <w:b/>
        </w:rPr>
        <w:t xml:space="preserve">Ewangelia Marka</w:t>
      </w:r>
      <w:r>
        <w:t xml:space="preserve"> </w:t>
      </w:r>
      <w:r>
        <w:t xml:space="preserve">— skolacjonowałem 53 manuskrypty</w:t>
      </w:r>
      <w:r>
        <w:t xml:space="preserve"> </w:t>
      </w:r>
      <w:r>
        <w:rPr>
          <w:bCs/>
          <w:b/>
        </w:rPr>
        <w:t xml:space="preserve">f</w:t>
      </w:r>
      <w:r>
        <w:rPr>
          <w:vertAlign w:val="superscript"/>
          <w:bCs/>
          <w:b/>
        </w:rPr>
        <w:t xml:space="preserve">35</w:t>
      </w:r>
      <w:r>
        <w:t xml:space="preserve">, żaden nie jest doskonały, GA 35 jest kompletny,</w:t>
      </w:r>
      <w:r>
        <w:rPr>
          <w:rStyle w:val="FootnoteReference"/>
        </w:rPr>
        <w:footnoteReference w:id="525"/>
      </w:r>
      <w:r>
        <w:t xml:space="preserve"> </w:t>
      </w:r>
      <w:r>
        <w:t xml:space="preserve">586 i 2382 miały doskonały egzemplarz.</w:t>
      </w:r>
    </w:p>
    <w:p>
      <w:pPr>
        <w:pStyle w:val="BodyText"/>
      </w:pPr>
      <w:r>
        <w:rPr>
          <w:bCs/>
          <w:b/>
        </w:rPr>
        <w:t xml:space="preserve">Ewangelia Łukasza</w:t>
      </w:r>
      <w:r>
        <w:t xml:space="preserve"> </w:t>
      </w:r>
      <w:r>
        <w:t xml:space="preserve">— skolacjonowałem 51 manuskryptów</w:t>
      </w:r>
      <w:r>
        <w:t xml:space="preserve"> </w:t>
      </w:r>
      <w:r>
        <w:rPr>
          <w:bCs/>
          <w:b/>
        </w:rPr>
        <w:t xml:space="preserve">f</w:t>
      </w:r>
      <w:r>
        <w:rPr>
          <w:vertAlign w:val="superscript"/>
          <w:bCs/>
          <w:b/>
        </w:rPr>
        <w:t xml:space="preserve">35</w:t>
      </w:r>
      <w:r>
        <w:t xml:space="preserve">, żaden nie jest doskonały, 2382 jest praktycznie kompletny,</w:t>
      </w:r>
      <w:r>
        <w:rPr>
          <w:rStyle w:val="FootnoteReference"/>
        </w:rPr>
        <w:footnoteReference w:id="526"/>
      </w:r>
      <w:r>
        <w:t xml:space="preserve"> </w:t>
      </w:r>
      <w:r>
        <w:t xml:space="preserve">789 i 897 miały doskonały egzemplarz.</w:t>
      </w:r>
    </w:p>
    <w:p>
      <w:pPr>
        <w:pStyle w:val="BodyText"/>
      </w:pPr>
      <w:r>
        <w:rPr>
          <w:bCs/>
          <w:b/>
        </w:rPr>
        <w:t xml:space="preserve">Ewangelia Jana</w:t>
      </w:r>
      <w:r>
        <w:t xml:space="preserve"> </w:t>
      </w:r>
      <w:r>
        <w:t xml:space="preserve">— skolacjonowałem 57 manuskryptów</w:t>
      </w:r>
      <w:r>
        <w:t xml:space="preserve"> </w:t>
      </w:r>
      <w:r>
        <w:rPr>
          <w:bCs/>
          <w:b/>
        </w:rPr>
        <w:t xml:space="preserve">f</w:t>
      </w:r>
      <w:r>
        <w:rPr>
          <w:vertAlign w:val="superscript"/>
          <w:bCs/>
          <w:b/>
        </w:rPr>
        <w:t xml:space="preserve">35</w:t>
      </w:r>
      <w:r>
        <w:t xml:space="preserve">, żaden nie jest doskonały, 2382 jest kompletny, 1072 miał doskonały egzemplarz.</w:t>
      </w:r>
    </w:p>
    <w:p>
      <w:pPr>
        <w:pStyle w:val="BodyText"/>
      </w:pPr>
      <w:r>
        <w:rPr>
          <w:bCs/>
          <w:b/>
        </w:rPr>
        <w:t xml:space="preserve">Dzieje Apostolskie</w:t>
      </w:r>
      <w:r>
        <w:t xml:space="preserve"> </w:t>
      </w:r>
      <w:r>
        <w:t xml:space="preserve">— skolacjonowałem 35 manuskryptów</w:t>
      </w:r>
      <w:r>
        <w:t xml:space="preserve"> </w:t>
      </w:r>
      <w:r>
        <w:rPr>
          <w:bCs/>
          <w:b/>
        </w:rPr>
        <w:t xml:space="preserve">f</w:t>
      </w:r>
      <w:r>
        <w:rPr>
          <w:vertAlign w:val="superscript"/>
          <w:bCs/>
          <w:b/>
        </w:rPr>
        <w:t xml:space="preserve">35</w:t>
      </w:r>
      <w:r>
        <w:t xml:space="preserve">, żaden nie jest doskonały, 35 jest niemal kompletny,</w:t>
      </w:r>
      <w:r>
        <w:rPr>
          <w:rStyle w:val="FootnoteReference"/>
        </w:rPr>
        <w:footnoteReference w:id="527"/>
      </w:r>
      <w:r>
        <w:t xml:space="preserve"> </w:t>
      </w:r>
      <w:r>
        <w:t xml:space="preserve">nie ma doskonałych egzemplarzy.</w:t>
      </w:r>
    </w:p>
    <w:p>
      <w:pPr>
        <w:pStyle w:val="BodyText"/>
      </w:pPr>
      <w:r>
        <w:rPr>
          <w:bCs/>
          <w:b/>
        </w:rPr>
        <w:t xml:space="preserve">List do Rzymian</w:t>
      </w:r>
      <w:r>
        <w:t xml:space="preserve"> </w:t>
      </w:r>
      <w:r>
        <w:t xml:space="preserve">— skolacjonowałem 37 manuskryptów</w:t>
      </w:r>
      <w:r>
        <w:t xml:space="preserve"> </w:t>
      </w:r>
      <w:r>
        <w:rPr>
          <w:bCs/>
          <w:b/>
        </w:rPr>
        <w:t xml:space="preserve">f</w:t>
      </w:r>
      <w:r>
        <w:rPr>
          <w:vertAlign w:val="superscript"/>
          <w:bCs/>
          <w:b/>
        </w:rPr>
        <w:t xml:space="preserve">35</w:t>
      </w:r>
      <w:r>
        <w:t xml:space="preserve">, 1482, 2554 i 2723 są doskonałe, 35 jest kompletny, 1249, 1855, 1865 i 2466 miały doskonały egzemplarz.</w:t>
      </w:r>
    </w:p>
    <w:p>
      <w:pPr>
        <w:pStyle w:val="BodyText"/>
      </w:pPr>
      <w:r>
        <w:rPr>
          <w:bCs/>
          <w:b/>
        </w:rPr>
        <w:t xml:space="preserve">1 List do Koryntian</w:t>
      </w:r>
      <w:r>
        <w:t xml:space="preserve"> </w:t>
      </w:r>
      <w:r>
        <w:t xml:space="preserve">— skolacjonowałem 34 manuskrypty</w:t>
      </w:r>
      <w:r>
        <w:t xml:space="preserve"> </w:t>
      </w:r>
      <w:r>
        <w:rPr>
          <w:bCs/>
          <w:b/>
        </w:rPr>
        <w:t xml:space="preserve">f</w:t>
      </w:r>
      <w:r>
        <w:rPr>
          <w:vertAlign w:val="superscript"/>
          <w:bCs/>
          <w:b/>
        </w:rPr>
        <w:t xml:space="preserve">35</w:t>
      </w:r>
      <w:r>
        <w:t xml:space="preserve">, 2554 jest doskonały, nie ma doskonałych egzemplarzy.</w:t>
      </w:r>
    </w:p>
    <w:p>
      <w:pPr>
        <w:pStyle w:val="BodyText"/>
      </w:pPr>
      <w:r>
        <w:rPr>
          <w:bCs/>
          <w:b/>
        </w:rPr>
        <w:t xml:space="preserve">2 List do Koryntian</w:t>
      </w:r>
      <w:r>
        <w:t xml:space="preserve"> </w:t>
      </w:r>
      <w:r>
        <w:t xml:space="preserve">— skolacjonowałem 36 manuskryptów</w:t>
      </w:r>
      <w:r>
        <w:t xml:space="preserve"> </w:t>
      </w:r>
      <w:r>
        <w:rPr>
          <w:bCs/>
          <w:b/>
        </w:rPr>
        <w:t xml:space="preserve">f</w:t>
      </w:r>
      <w:r>
        <w:rPr>
          <w:vertAlign w:val="superscript"/>
          <w:bCs/>
          <w:b/>
        </w:rPr>
        <w:t xml:space="preserve">35</w:t>
      </w:r>
      <w:r>
        <w:t xml:space="preserve">, 2554 jest doskonały, 35 jest kompletny, 1865 miał doskonały egzemplarz.</w:t>
      </w:r>
    </w:p>
    <w:p>
      <w:pPr>
        <w:pStyle w:val="BodyText"/>
      </w:pPr>
      <w:r>
        <w:rPr>
          <w:bCs/>
          <w:b/>
        </w:rPr>
        <w:t xml:space="preserve">List do Galacjan</w:t>
      </w:r>
      <w:r>
        <w:t xml:space="preserve"> </w:t>
      </w:r>
      <w:r>
        <w:t xml:space="preserve">— skolacjonowałem 37 manuskryptów</w:t>
      </w:r>
      <w:r>
        <w:t xml:space="preserve"> </w:t>
      </w:r>
      <w:r>
        <w:rPr>
          <w:bCs/>
          <w:b/>
        </w:rPr>
        <w:t xml:space="preserve">f</w:t>
      </w:r>
      <w:r>
        <w:rPr>
          <w:vertAlign w:val="superscript"/>
          <w:bCs/>
          <w:b/>
        </w:rPr>
        <w:t xml:space="preserve">35</w:t>
      </w:r>
      <w:r>
        <w:t xml:space="preserve">, 204, 1100, 1637, 1865, 2554 i 2587 są doskonałe, 35 jest kompletny, 386, 444, 1075 i 2723 miały doskonały egzemplarz.</w:t>
      </w:r>
    </w:p>
    <w:p>
      <w:pPr>
        <w:pStyle w:val="BodyText"/>
      </w:pPr>
      <w:r>
        <w:rPr>
          <w:bCs/>
          <w:b/>
        </w:rPr>
        <w:t xml:space="preserve">List do Efezjan</w:t>
      </w:r>
      <w:r>
        <w:t xml:space="preserve"> </w:t>
      </w:r>
      <w:r>
        <w:t xml:space="preserve">— skolacjonowałem 37 manuskryptów</w:t>
      </w:r>
      <w:r>
        <w:t xml:space="preserve"> </w:t>
      </w:r>
      <w:r>
        <w:rPr>
          <w:bCs/>
          <w:b/>
        </w:rPr>
        <w:t xml:space="preserve">f</w:t>
      </w:r>
      <w:r>
        <w:rPr>
          <w:vertAlign w:val="superscript"/>
          <w:bCs/>
          <w:b/>
        </w:rPr>
        <w:t xml:space="preserve">35</w:t>
      </w:r>
      <w:r>
        <w:t xml:space="preserve">, 928, 1864, 2554 i 2723 są doskonałe, 204, 757, 986, 1248, 1503, 1548, 1725, 1732, 1865 i 2352 miały doskonały egzemplarz.</w:t>
      </w:r>
    </w:p>
    <w:p>
      <w:pPr>
        <w:pStyle w:val="BodyText"/>
      </w:pPr>
      <w:r>
        <w:rPr>
          <w:bCs/>
          <w:b/>
        </w:rPr>
        <w:t xml:space="preserve">List do Filipian</w:t>
      </w:r>
      <w:r>
        <w:t xml:space="preserve"> </w:t>
      </w:r>
      <w:r>
        <w:t xml:space="preserve">— skolacjonowałem 37 manuskryptów</w:t>
      </w:r>
      <w:r>
        <w:t xml:space="preserve"> </w:t>
      </w:r>
      <w:r>
        <w:rPr>
          <w:bCs/>
          <w:b/>
        </w:rPr>
        <w:t xml:space="preserve">f</w:t>
      </w:r>
      <w:r>
        <w:rPr>
          <w:vertAlign w:val="superscript"/>
          <w:bCs/>
          <w:b/>
        </w:rPr>
        <w:t xml:space="preserve">35</w:t>
      </w:r>
      <w:r>
        <w:t xml:space="preserve">, 35, 1072, 1864, 1865 i 2554 są doskonałe, 204, 394, 757, 824, 1249, 1503, 1548, 1732, 1855, 2352, 2466 i 2723 miały doskonały egzemplarz.</w:t>
      </w:r>
    </w:p>
    <w:p>
      <w:pPr>
        <w:pStyle w:val="BodyText"/>
      </w:pPr>
      <w:r>
        <w:rPr>
          <w:bCs/>
          <w:b/>
        </w:rPr>
        <w:t xml:space="preserve">List do Kolosan</w:t>
      </w:r>
      <w:r>
        <w:t xml:space="preserve"> </w:t>
      </w:r>
      <w:r>
        <w:t xml:space="preserve">— skolacjonowałem 37 manuskryptów</w:t>
      </w:r>
      <w:r>
        <w:t xml:space="preserve"> </w:t>
      </w:r>
      <w:r>
        <w:rPr>
          <w:bCs/>
          <w:b/>
        </w:rPr>
        <w:t xml:space="preserve">f</w:t>
      </w:r>
      <w:r>
        <w:rPr>
          <w:vertAlign w:val="superscript"/>
          <w:bCs/>
          <w:b/>
        </w:rPr>
        <w:t xml:space="preserve">35</w:t>
      </w:r>
      <w:r>
        <w:t xml:space="preserve">, 18, 444, 1732, 1864, 2554 i 2723 są doskonałe, 35, 1075, 1503 i 1725 są kompletne, 824, 1637, 1865, 1892, 2352 i 2466 miały doskonały egzemplarz.</w:t>
      </w:r>
    </w:p>
    <w:p>
      <w:pPr>
        <w:pStyle w:val="BodyText"/>
      </w:pPr>
      <w:r>
        <w:rPr>
          <w:bCs/>
          <w:b/>
        </w:rPr>
        <w:t xml:space="preserve">1 List do Tesaloniczan</w:t>
      </w:r>
      <w:r>
        <w:t xml:space="preserve"> </w:t>
      </w:r>
      <w:r>
        <w:t xml:space="preserve">— skolacjonowałem 39 manuskryptów</w:t>
      </w:r>
      <w:r>
        <w:t xml:space="preserve"> </w:t>
      </w:r>
      <w:r>
        <w:rPr>
          <w:bCs/>
          <w:b/>
        </w:rPr>
        <w:t xml:space="preserve">f</w:t>
      </w:r>
      <w:r>
        <w:rPr>
          <w:vertAlign w:val="superscript"/>
          <w:bCs/>
          <w:b/>
        </w:rPr>
        <w:t xml:space="preserve">35</w:t>
      </w:r>
      <w:r>
        <w:t xml:space="preserve">, 18, 824, 928, 1855, 1864 i 2723 są doskonałe, 35, 1865 i 2554 są kompletne, 394, 444, 757, 986, 1072, 1503, 1892 i 2587 miały doskonały egzemplarz.</w:t>
      </w:r>
    </w:p>
    <w:p>
      <w:pPr>
        <w:pStyle w:val="BodyText"/>
      </w:pPr>
      <w:r>
        <w:rPr>
          <w:bCs/>
          <w:b/>
        </w:rPr>
        <w:t xml:space="preserve">2 List do Tesaloniczan</w:t>
      </w:r>
      <w:r>
        <w:t xml:space="preserve"> </w:t>
      </w:r>
      <w:r>
        <w:t xml:space="preserve">— skolacjonowałem 38 manuskryptów</w:t>
      </w:r>
      <w:r>
        <w:t xml:space="preserve"> </w:t>
      </w:r>
      <w:r>
        <w:rPr>
          <w:bCs/>
          <w:b/>
        </w:rPr>
        <w:t xml:space="preserve">f</w:t>
      </w:r>
      <w:r>
        <w:rPr>
          <w:vertAlign w:val="superscript"/>
          <w:bCs/>
          <w:b/>
        </w:rPr>
        <w:t xml:space="preserve">35</w:t>
      </w:r>
      <w:r>
        <w:t xml:space="preserve">, 18, 35, 204, 394, 928, 1072, 1075, 1249, 1503, 1637, 1768, 1864, 1865, 2554 i 2723 są doskonałe, 328, 386, 444, 604, 824, 986, 1248, 1548, 1725, 1732, 1761, 1855, 1892, 1897, 2466 i 2587 miały doskonały egzemplarz.</w:t>
      </w:r>
    </w:p>
    <w:p>
      <w:pPr>
        <w:pStyle w:val="BodyText"/>
      </w:pPr>
      <w:r>
        <w:rPr>
          <w:bCs/>
          <w:b/>
        </w:rPr>
        <w:t xml:space="preserve">1 List do Tymoteusza</w:t>
      </w:r>
      <w:r>
        <w:t xml:space="preserve"> </w:t>
      </w:r>
      <w:r>
        <w:t xml:space="preserve">— skolacjonowałem 37 manuskryptów</w:t>
      </w:r>
      <w:r>
        <w:t xml:space="preserve"> </w:t>
      </w:r>
      <w:r>
        <w:rPr>
          <w:bCs/>
          <w:b/>
        </w:rPr>
        <w:t xml:space="preserve">f</w:t>
      </w:r>
      <w:r>
        <w:rPr>
          <w:vertAlign w:val="superscript"/>
          <w:bCs/>
          <w:b/>
        </w:rPr>
        <w:t xml:space="preserve">35</w:t>
      </w:r>
      <w:r>
        <w:t xml:space="preserve">, 1761 i 2554 są doskonałe, 35 jest kompletny, 444 i 2466 miały doskonały egzemplarz.</w:t>
      </w:r>
    </w:p>
    <w:p>
      <w:pPr>
        <w:pStyle w:val="BodyText"/>
      </w:pPr>
      <w:r>
        <w:rPr>
          <w:bCs/>
          <w:b/>
        </w:rPr>
        <w:t xml:space="preserve">2 List do Tymoteusza</w:t>
      </w:r>
      <w:r>
        <w:t xml:space="preserve"> </w:t>
      </w:r>
      <w:r>
        <w:t xml:space="preserve">— skolacjonowałem 36 manuskryptów</w:t>
      </w:r>
      <w:r>
        <w:t xml:space="preserve"> </w:t>
      </w:r>
      <w:r>
        <w:rPr>
          <w:bCs/>
          <w:b/>
        </w:rPr>
        <w:t xml:space="preserve">f</w:t>
      </w:r>
      <w:r>
        <w:rPr>
          <w:vertAlign w:val="superscript"/>
          <w:bCs/>
          <w:b/>
        </w:rPr>
        <w:t xml:space="preserve">35</w:t>
      </w:r>
      <w:r>
        <w:t xml:space="preserve">, 824, 1072, 1075 i 1864 są doskonałe, 1865 i 2723 są kompletne, 1503 miał doskonały egzemplarz.</w:t>
      </w:r>
    </w:p>
    <w:p>
      <w:pPr>
        <w:pStyle w:val="BodyText"/>
      </w:pPr>
      <w:r>
        <w:rPr>
          <w:bCs/>
          <w:b/>
        </w:rPr>
        <w:t xml:space="preserve">List do Tytusa</w:t>
      </w:r>
      <w:r>
        <w:t xml:space="preserve"> </w:t>
      </w:r>
      <w:r>
        <w:t xml:space="preserve">— skolacjonowałem 36 manuskryptów</w:t>
      </w:r>
      <w:r>
        <w:t xml:space="preserve"> </w:t>
      </w:r>
      <w:r>
        <w:rPr>
          <w:bCs/>
          <w:b/>
        </w:rPr>
        <w:t xml:space="preserve">f</w:t>
      </w:r>
      <w:r>
        <w:rPr>
          <w:vertAlign w:val="superscript"/>
          <w:bCs/>
          <w:b/>
        </w:rPr>
        <w:t xml:space="preserve">35</w:t>
      </w:r>
      <w:r>
        <w:t xml:space="preserve">, 35, 1072, 1503, 1855, 1864, 1892, 2080, 2587 i 2723 są doskonałe, 18, 328, 1637 i 1761 miały doskonały egzemplarz.</w:t>
      </w:r>
    </w:p>
    <w:p>
      <w:pPr>
        <w:pStyle w:val="BodyText"/>
      </w:pPr>
      <w:r>
        <w:rPr>
          <w:bCs/>
          <w:b/>
        </w:rPr>
        <w:t xml:space="preserve">List do Filemona</w:t>
      </w:r>
      <w:r>
        <w:t xml:space="preserve"> </w:t>
      </w:r>
      <w:r>
        <w:t xml:space="preserve">— skolacjonowałem 36 manuskryptów</w:t>
      </w:r>
      <w:r>
        <w:t xml:space="preserve"> </w:t>
      </w:r>
      <w:r>
        <w:rPr>
          <w:bCs/>
          <w:b/>
        </w:rPr>
        <w:t xml:space="preserve">f</w:t>
      </w:r>
      <w:r>
        <w:rPr>
          <w:vertAlign w:val="superscript"/>
          <w:bCs/>
          <w:b/>
        </w:rPr>
        <w:t xml:space="preserve">35</w:t>
      </w:r>
      <w:r>
        <w:t xml:space="preserve">, tylko siedem nie jest doskonałych, a pięć spośród nich miało doskonały egzemplarz.</w:t>
      </w:r>
    </w:p>
    <w:p>
      <w:pPr>
        <w:pStyle w:val="BodyText"/>
      </w:pPr>
      <w:r>
        <w:rPr>
          <w:bCs/>
          <w:b/>
        </w:rPr>
        <w:t xml:space="preserve">List do Hebrajczyków</w:t>
      </w:r>
      <w:r>
        <w:t xml:space="preserve"> </w:t>
      </w:r>
      <w:r>
        <w:t xml:space="preserve">— skolacjonowałem 34 manuskrypty</w:t>
      </w:r>
      <w:r>
        <w:t xml:space="preserve"> </w:t>
      </w:r>
      <w:r>
        <w:rPr>
          <w:bCs/>
          <w:b/>
        </w:rPr>
        <w:t xml:space="preserve">f</w:t>
      </w:r>
      <w:r>
        <w:rPr>
          <w:vertAlign w:val="superscript"/>
          <w:bCs/>
          <w:b/>
        </w:rPr>
        <w:t xml:space="preserve">35</w:t>
      </w:r>
      <w:r>
        <w:t xml:space="preserve">, 2554 jest doskonały, 35, 1637 i 2723 są kompletne.</w:t>
      </w:r>
    </w:p>
    <w:p>
      <w:pPr>
        <w:pStyle w:val="BodyText"/>
      </w:pPr>
      <w:r>
        <w:rPr>
          <w:bCs/>
          <w:b/>
        </w:rPr>
        <w:t xml:space="preserve">List Jakuba</w:t>
      </w:r>
      <w:r>
        <w:t xml:space="preserve"> </w:t>
      </w:r>
      <w:r>
        <w:t xml:space="preserve">— skolacjonowałem 43 manuskrypty</w:t>
      </w:r>
      <w:r>
        <w:t xml:space="preserve"> </w:t>
      </w:r>
      <w:r>
        <w:rPr>
          <w:bCs/>
          <w:b/>
        </w:rPr>
        <w:t xml:space="preserve">f</w:t>
      </w:r>
      <w:r>
        <w:rPr>
          <w:vertAlign w:val="superscript"/>
          <w:bCs/>
          <w:b/>
        </w:rPr>
        <w:t xml:space="preserve">35</w:t>
      </w:r>
      <w:r>
        <w:t xml:space="preserve">, 18, 1864, 2554 i 2723 są doskonałe, 35 i 2221 są kompletne, 1503, 1732, 1865 i 2303 miały doskonały egzemplarz.</w:t>
      </w:r>
    </w:p>
    <w:p>
      <w:pPr>
        <w:pStyle w:val="BodyText"/>
      </w:pPr>
      <w:r>
        <w:rPr>
          <w:bCs/>
          <w:b/>
        </w:rPr>
        <w:t xml:space="preserve">1 List Piotra</w:t>
      </w:r>
      <w:r>
        <w:t xml:space="preserve"> </w:t>
      </w:r>
      <w:r>
        <w:t xml:space="preserve">— skolacjonowałem 42 manuskrypty</w:t>
      </w:r>
      <w:r>
        <w:t xml:space="preserve"> </w:t>
      </w:r>
      <w:r>
        <w:rPr>
          <w:bCs/>
          <w:b/>
        </w:rPr>
        <w:t xml:space="preserve">f</w:t>
      </w:r>
      <w:r>
        <w:rPr>
          <w:vertAlign w:val="superscript"/>
          <w:bCs/>
          <w:b/>
        </w:rPr>
        <w:t xml:space="preserve">35</w:t>
      </w:r>
      <w:r>
        <w:t xml:space="preserve">, 1865, 2554 i 2723 są doskonałe, 35 jest kompletny, 824 miał doskonały egzemplarz.</w:t>
      </w:r>
    </w:p>
    <w:p>
      <w:pPr>
        <w:pStyle w:val="BodyText"/>
      </w:pPr>
      <w:r>
        <w:rPr>
          <w:bCs/>
          <w:b/>
        </w:rPr>
        <w:t xml:space="preserve">2 List Piotra</w:t>
      </w:r>
      <w:r>
        <w:t xml:space="preserve"> </w:t>
      </w:r>
      <w:r>
        <w:t xml:space="preserve">— skolacjonowałem 42 manuskrypty</w:t>
      </w:r>
      <w:r>
        <w:t xml:space="preserve"> </w:t>
      </w:r>
      <w:r>
        <w:rPr>
          <w:bCs/>
          <w:b/>
        </w:rPr>
        <w:t xml:space="preserve">f</w:t>
      </w:r>
      <w:r>
        <w:rPr>
          <w:vertAlign w:val="superscript"/>
          <w:bCs/>
          <w:b/>
        </w:rPr>
        <w:t xml:space="preserve">35</w:t>
      </w:r>
      <w:r>
        <w:t xml:space="preserve">, 35, 1725, 1864, 2554 i 2723 są doskonałe, 18, 141, 824, 1072, 1075, 1503, 1865 i 1897 miały doskonały egzemplarz.</w:t>
      </w:r>
    </w:p>
    <w:p>
      <w:pPr>
        <w:pStyle w:val="BodyText"/>
      </w:pPr>
      <w:r>
        <w:rPr>
          <w:bCs/>
          <w:b/>
        </w:rPr>
        <w:t xml:space="preserve">1 List Jana</w:t>
      </w:r>
      <w:r>
        <w:t xml:space="preserve"> </w:t>
      </w:r>
      <w:r>
        <w:t xml:space="preserve">— skolacjonowałem 42 manuskrypty</w:t>
      </w:r>
      <w:r>
        <w:t xml:space="preserve"> </w:t>
      </w:r>
      <w:r>
        <w:rPr>
          <w:bCs/>
          <w:b/>
        </w:rPr>
        <w:t xml:space="preserve">f</w:t>
      </w:r>
      <w:r>
        <w:rPr>
          <w:vertAlign w:val="superscript"/>
          <w:bCs/>
          <w:b/>
        </w:rPr>
        <w:t xml:space="preserve">35</w:t>
      </w:r>
      <w:r>
        <w:t xml:space="preserve">, 204, 824, 1100 i 2554 są doskonałe, 35, 1637 i 1865 są kompletne, 1248, 1503, 1725, 1732, 1864, 1897 i 2723 miały doskonały egzemplarz.</w:t>
      </w:r>
    </w:p>
    <w:p>
      <w:pPr>
        <w:pStyle w:val="BodyText"/>
      </w:pPr>
      <w:r>
        <w:rPr>
          <w:bCs/>
          <w:b/>
        </w:rPr>
        <w:t xml:space="preserve">2 i 3 List Jana oraz List Judy</w:t>
      </w:r>
      <w:r>
        <w:t xml:space="preserve"> </w:t>
      </w:r>
      <w:r>
        <w:t xml:space="preserve">— skolacjonowałem 46 manuskryptów</w:t>
      </w:r>
      <w:r>
        <w:t xml:space="preserve"> </w:t>
      </w:r>
      <w:r>
        <w:rPr>
          <w:bCs/>
          <w:b/>
        </w:rPr>
        <w:t xml:space="preserve">f</w:t>
      </w:r>
      <w:r>
        <w:rPr>
          <w:vertAlign w:val="superscript"/>
          <w:bCs/>
          <w:b/>
        </w:rPr>
        <w:t xml:space="preserve">35</w:t>
      </w:r>
      <w:r>
        <w:t xml:space="preserve">, 141, 204, 386, 824, 928, 1072, 1075, 1100, 1637, 1855, 1864, 2221, 2554 i 2723 są doskonałe we wszystkich trzech księgach, 35 i 2587 są doskonałe w Listach Jana i kompletne w Liście Judy, kolejnych trzynaście miało doskonały egzemplarz, tylko pięć spośród 46 manuskryptów ma wariant we wszystkich trzech księgach.</w:t>
      </w:r>
    </w:p>
    <w:p>
      <w:pPr>
        <w:pStyle w:val="BodyText"/>
      </w:pPr>
      <w:r>
        <w:rPr>
          <w:bCs/>
          <w:b/>
        </w:rPr>
        <w:t xml:space="preserve">Objawienie Jana</w:t>
      </w:r>
      <w:r>
        <w:t xml:space="preserve"> </w:t>
      </w:r>
      <w:r>
        <w:t xml:space="preserve">— skolacjonowałem 20 manuskryptów</w:t>
      </w:r>
      <w:r>
        <w:t xml:space="preserve"> </w:t>
      </w:r>
      <w:r>
        <w:rPr>
          <w:bCs/>
          <w:b/>
        </w:rPr>
        <w:t xml:space="preserve">f</w:t>
      </w:r>
      <w:r>
        <w:rPr>
          <w:vertAlign w:val="superscript"/>
          <w:bCs/>
          <w:b/>
        </w:rPr>
        <w:t xml:space="preserve">35</w:t>
      </w:r>
      <w:r>
        <w:t xml:space="preserve">, żaden nie jest doskonały, 1864 jest kompletny, 757 miał doskonały egzemplarz. (W związku z tym nie sprawdziłem kolacjonowania innych manuskryptów dokonanego przez Hoskiera).</w:t>
      </w:r>
    </w:p>
    <w:p>
      <w:pPr>
        <w:pStyle w:val="BodyText"/>
      </w:pPr>
      <w:r>
        <w:t xml:space="preserve">Tak więc mam doskonałą kopię archetypu Rodziny 35 dla 22 ksiąg. Dla kolejnych trzech mam kopię kompletną. Twierdzę, że GA 2382 jest kompletny dla Ewangelii Łukasza, jeśli jednak nie, różni się jedną jedyną literą. Twierdzę, że GA 35 brakuje jednej jedynej litery do kompletności dla Dziejów Apostolskich, to niezły wynik dla najdłuższej księgi Nowego Testamentu.</w:t>
      </w:r>
      <w:r>
        <w:t xml:space="preserve"> </w:t>
      </w:r>
      <w:r>
        <w:rPr>
          <w:bCs/>
          <w:b/>
          <w:u w:val="single"/>
        </w:rPr>
        <w:t xml:space="preserve">Bóg zachował swój Tekst!</w:t>
      </w:r>
    </w:p>
    <w:p>
      <w:pPr>
        <w:pStyle w:val="BodyText"/>
      </w:pPr>
      <w:r>
        <w:t xml:space="preserve">Przed laty sam napisałem, że żadne dwa manuskrypty nie są identyczne, powtarzając jedynie rozpowszechnioną kaczkę dziennikarską. Było to jednak, zanim sam zacząłem kolacjonować manuskrypty. Nic przecież nie dorównuje bezpośredniej znajomości dowodów.</w:t>
      </w:r>
    </w:p>
    <w:bookmarkEnd w:id="528"/>
    <w:bookmarkStart w:id="529" w:name="bizantyjskie-manuskrypty-kr-rodziny-35"/>
    <w:p>
      <w:pPr>
        <w:pStyle w:val="Heading2"/>
      </w:pPr>
      <w:r>
        <w:t xml:space="preserve">Bizantyjskie manuskrypty</w:t>
      </w:r>
      <w:r>
        <w:t xml:space="preserve"> </w:t>
      </w:r>
      <w:r>
        <w:rPr>
          <w:bCs/>
          <w:b/>
        </w:rPr>
        <w:t xml:space="preserve">K</w:t>
      </w:r>
      <w:r>
        <w:rPr>
          <w:vertAlign w:val="superscript"/>
          <w:bCs/>
          <w:b/>
        </w:rPr>
        <w:t xml:space="preserve">r</w:t>
      </w:r>
      <w:r>
        <w:t xml:space="preserve"> </w:t>
      </w:r>
      <w:r>
        <w:t xml:space="preserve">(Rodziny 35)</w:t>
      </w:r>
    </w:p>
    <w:p>
      <w:pPr>
        <w:pStyle w:val="FirstParagraph"/>
      </w:pPr>
      <w:r>
        <w:rPr>
          <w:iCs/>
          <w:i/>
        </w:rPr>
        <w:t xml:space="preserve">Uncjały</w:t>
      </w:r>
      <w:r>
        <w:t xml:space="preserve">: brak</w:t>
      </w:r>
    </w:p>
    <w:p>
      <w:pPr>
        <w:pStyle w:val="BodyText"/>
      </w:pPr>
      <w:r>
        <w:rPr>
          <w:iCs/>
          <w:i/>
        </w:rPr>
        <w:t xml:space="preserve">Minuskuły</w:t>
      </w:r>
      <w:r>
        <w:t xml:space="preserve">: 18, 35, 47, 55, 56, 58, 59, 66, 83, 128, 141, 147, 149, 155, 167, 170, 189, 201, 204, 205, 214, 225, 246, 285, 290, 328, 361, 363, 386, 387, 394, 402, 415, 422, 432, 471, 479, 480, 486, 510, 511, 512, 516, 520, 521, 536, 547, 553, 575, 586, 588, 594, 604, 634, 645, 660, 664, 673, 676, 685, 689, 691, 694, 696, 757, 758, 763, 769, 781, 786, 789, 797, 801, 802, 806, 824, 825, 830, 845, 864, 867, 897, 928, 932, 936, 938, 940, 952, 953, 955, 958, 959, 960, 961, 962, 966, 986, 1003, 1010, 1018, 1020, 1023, 1025, 1030, 1040, 1046, 1058, 1059, 1062, 1072, 1075, 1088, 1092, 1095, 1100, 1101, 1111, 1116, 1117, 1119, 1131, 1132, 1133, 1140, 1145, 1146, 1147, 1158, 1165, 1169, 1176, 1180, 1185, 1189, 1190, 1199, 1224, 1234, 1236, 1247, 1248, 1249, 1250, 1251, 1293, 1323, 1328, 1329, 1330, 1331, 1334, 1339, 1348, 1354, 1362, 1367, 1384, 1389, 1400, 1401, 1409, 1414, 1427, 1435, 1444, 1445, 1453, 1456, 1461, 1462, 1465, 1467, 1471, 1472, 1474, 1476, 1477, 1480, 1482, 1483, 1487, 1488, 1489, 1490, 1492, 1493, 1494, 1496, 1497, 1499, 1501, 1503, 1508, 1509, 1543, 1544, 1548, 1550, 1551, 1552, 1559, 1560, 1570, 1572, 1576, 1584, 1585, 1591, 1596, 1599, 1600, 1601, 1609, 1614, 1617, 1618, 1619, 1620, 1621, 1622, 1625, 1628, 1630, 1632, 1633, 1634, 1636, 1637, 1638, 1641, 1648, 1649, 1650, 1652, 1653, 1656, 1658, 1659, 1664, 1667, 1671, 1680, 1686, 1688, 1694, 1698, 1700, 1702, 1703, 1704, 1705, 1713, 1723, 1725, 1726, 1732, 1733, 1737, 1740, 1745, 1746, 1748, 1749, 1752, 1754, 1761, 1763, 1766, 1767, 1768, 1771, 1779, 1785, 1786, 1789, 1813, 1855, 1856, 1858, 1864, 1865, 1876, 1892, 1894, 1897, 1903, 1957, 1960, 1966, 2023, 2035, 2041, 2061, 2080, 2095, 2112, 2122, 2124, 2131, 2175, 2178, 2196, 2204, 2213, 2218, 2221, 2231, 2235, 2251, 2253, 2255, 2260, 2261, 2265, 2273, 2284, 2289, 2296, 2303, 2322, 2323, 2352, 2355, 2367, 2375, 2378, 2382, 2387, 2399, 2407, 2418, 2431, 2434, 2436, 2452, 2454, 2460, 2466, 2479, 2483, 2496, 2501, 2503, 2508, 2510, 2520, 2554, 2587, 2598, 2621, 2626, 2635, 2649, 2653, 2658, 2673, 2669, 2704, 2723, 2765, 2767, 2777, 2806, 2821</w:t>
      </w:r>
    </w:p>
    <w:p>
      <w:pPr>
        <w:pStyle w:val="BodyText"/>
      </w:pPr>
      <w:r>
        <w:t xml:space="preserve">Łącznie = 364</w:t>
      </w:r>
    </w:p>
    <w:p>
      <w:pPr>
        <w:pStyle w:val="BodyText"/>
      </w:pPr>
      <w:r>
        <w:t xml:space="preserve">Uwaga: wykaz obejmuje wyłącznie manuskrypty o tekście ciągłym.</w:t>
      </w:r>
    </w:p>
    <w:p>
      <w:pPr>
        <w:pStyle w:val="BodyText"/>
      </w:pPr>
      <w:r>
        <w:t xml:space="preserve">Źródła:</w:t>
      </w:r>
    </w:p>
    <w:p>
      <w:pPr>
        <w:numPr>
          <w:ilvl w:val="0"/>
          <w:numId w:val="1114"/>
        </w:numPr>
        <w:pStyle w:val="Compact"/>
      </w:pPr>
      <w:r>
        <w:rPr>
          <w:iCs/>
          <w:i/>
        </w:rPr>
        <w:t xml:space="preserve">Die Schriften Des Neuen Testaments</w:t>
      </w:r>
      <w:r>
        <w:t xml:space="preserve">, Hermann Von Soden, Gottingen, 2 tomy (1911–1913)</w:t>
      </w:r>
    </w:p>
    <w:p>
      <w:pPr>
        <w:numPr>
          <w:ilvl w:val="0"/>
          <w:numId w:val="1114"/>
        </w:numPr>
        <w:pStyle w:val="Compact"/>
      </w:pPr>
      <w:r>
        <w:rPr>
          <w:iCs/>
          <w:i/>
        </w:rPr>
        <w:t xml:space="preserve">Kurzgefaste Liste</w:t>
      </w:r>
      <w:r>
        <w:t xml:space="preserve">, Kurt Aland, Berlin, de Gruyter, wyd. 2 (1994)</w:t>
      </w:r>
    </w:p>
    <w:p>
      <w:pPr>
        <w:numPr>
          <w:ilvl w:val="0"/>
          <w:numId w:val="1114"/>
        </w:numPr>
        <w:pStyle w:val="Compact"/>
      </w:pPr>
      <w:r>
        <w:rPr>
          <w:iCs/>
          <w:i/>
        </w:rPr>
        <w:t xml:space="preserve">Text und Textwert (TuT)</w:t>
      </w:r>
      <w:r>
        <w:t xml:space="preserve">, Berlin, de Gryuter (1998–2005)</w:t>
      </w:r>
    </w:p>
    <w:p>
      <w:pPr>
        <w:numPr>
          <w:ilvl w:val="0"/>
          <w:numId w:val="1114"/>
        </w:numPr>
        <w:pStyle w:val="Compact"/>
      </w:pPr>
      <w:r>
        <w:rPr>
          <w:iCs/>
          <w:i/>
        </w:rPr>
        <w:t xml:space="preserve">The Profile Method for Classification and Evaluation of Manuscript Evidence-The Gospel of Luke</w:t>
      </w:r>
      <w:r>
        <w:t xml:space="preserve">, Frederick Wisse, William B. Eerdmans, Grand Rapids, Michigan (1982)</w:t>
      </w:r>
    </w:p>
    <w:p>
      <w:pPr>
        <w:numPr>
          <w:ilvl w:val="0"/>
          <w:numId w:val="1114"/>
        </w:numPr>
        <w:pStyle w:val="Compact"/>
      </w:pPr>
      <w:r>
        <w:rPr>
          <w:iCs/>
          <w:i/>
        </w:rPr>
        <w:t xml:space="preserve">VMR-Handshriftenliste</w:t>
      </w:r>
      <w:r>
        <w:t xml:space="preserve">, (INTF) Munster, http://intf.uni-muenster.de/vmr/NTVMR/ListeHandschriften.php</w:t>
      </w:r>
    </w:p>
    <w:p>
      <w:pPr>
        <w:pStyle w:val="FirstParagraph"/>
      </w:pPr>
      <w:r>
        <w:t xml:space="preserve">Opracował:</w:t>
      </w:r>
    </w:p>
    <w:p>
      <w:pPr>
        <w:pStyle w:val="BodyText"/>
      </w:pPr>
      <w:r>
        <w:t xml:space="preserve">Paul D. Anderson</w:t>
      </w:r>
      <w:r>
        <w:br/>
      </w:r>
      <w:r>
        <w:t xml:space="preserve">kwiecień 2010</w:t>
      </w:r>
    </w:p>
    <w:bookmarkEnd w:id="529"/>
    <w:bookmarkStart w:id="532" w:name="grzech-pokoleniowy"/>
    <w:p>
      <w:pPr>
        <w:pStyle w:val="Heading2"/>
      </w:pPr>
      <w:r>
        <w:t xml:space="preserve">Grzech pokoleniowy</w:t>
      </w:r>
    </w:p>
    <w:bookmarkStart w:id="531" w:name="Xd40b6b7d1526f13e049e5a8c63215a5638e7df3"/>
    <w:p>
      <w:pPr>
        <w:pStyle w:val="Heading3"/>
      </w:pPr>
      <w:r>
        <w:t xml:space="preserve">Do starszych Duncanville Bible Church</w:t>
      </w:r>
      <w:r>
        <w:rPr>
          <w:rStyle w:val="FootnoteReference"/>
        </w:rPr>
        <w:footnoteReference w:id="530"/>
      </w:r>
    </w:p>
    <w:p>
      <w:pPr>
        <w:pStyle w:val="BodyText"/>
      </w:pPr>
      <w:r>
        <w:t xml:space="preserve">Dwóch naszych starszych publicznie odniosło się w ubiegłą niedzielę (22.10.1989) do „grzechu pokoleniowego”, a to dało mi punkt zaczepienia w sprawie sytuacji w kościele, która od pewnego czasu mnie niepokoi. Grzech pokoleniowy? Tak! Lecz nie tylko w obrębie rodzin. Grzech pokoleniowy występuje w poszczególnych kościołach, szkołach, denominacjach oraz w szerszych częściach Kościoła. Jednym z bardzo poważnych grzechów pokoleniowych, mającym charakter endemiczny na rozległych obszarach całej społeczności konserwatywnej lub ewangelikalnej, jest bałwochwalstwo wynoszące ludzki rozum ponad objawione Słowo Boga. Bałwochwalstwo to wyraża się na wielu frontach, lecz być może ten fundamentalny dotyczy samego Tekstu Pisma — mam na myśli mentalność, która nieustannie kwestionuje same sformułowania Tekstu, podważając w ten sposób zaufanie do jego integralności i autorytetu.</w:t>
      </w:r>
    </w:p>
    <w:p>
      <w:pPr>
        <w:pStyle w:val="BodyText"/>
      </w:pPr>
      <w:r>
        <w:t xml:space="preserve">Podam konkretny, szczegółowy przykład tego, o czym mówię. Kilka tygodni temu nasz pastor emendował z kazalnicy Tekst 1 Listu do Koryntian 8,3. Zamiast</w:t>
      </w:r>
      <w:r>
        <w:t xml:space="preserve"> </w:t>
      </w:r>
      <w:r>
        <w:rPr>
          <w:iCs/>
          <w:i/>
        </w:rPr>
        <w:t xml:space="preserve">„jeśli ktoś miłuje Boga, ten jest przez Niego znany”</w:t>
      </w:r>
      <w:r>
        <w:t xml:space="preserve"> </w:t>
      </w:r>
      <w:r>
        <w:t xml:space="preserve">zasugerował, że być może powinniśmy czytać</w:t>
      </w:r>
      <w:r>
        <w:t xml:space="preserve"> </w:t>
      </w:r>
      <w:r>
        <w:rPr>
          <w:iCs/>
          <w:i/>
        </w:rPr>
        <w:t xml:space="preserve">„jeśli ktoś miłuje Boga, ten wie”</w:t>
      </w:r>
      <w:r>
        <w:t xml:space="preserve">. Ponieważ żaden drukowany tekst grecki nie ma tego, co zasugerował, czułem, że Pan prowadzi mnie, by ostrzec go, iż takie postępowanie jest niewskazane. W odpowiedzi skierował mnie do komentarza Gordona Fee do 1 Listu do Koryntian, który był źródłem tego, co zrobił. Komentarz Fee do 1 Listu do Koryntian 8,2–3 dostarcza wyjątkowo rażącego przykładu bałwochwalstwa, o którym wspomniałem. Rozważmy:</w:t>
      </w:r>
    </w:p>
    <w:p>
      <w:pPr>
        <w:pStyle w:val="BodyText"/>
      </w:pPr>
      <w:r>
        <w:t xml:space="preserve">Poprawny Tekst 1 Listu do Koryntian 8,2–3, poświadczony przez około 95% greckich manuskryptów, brzmi następująco: Ει δε τις δοκει ειδεναι (86%) τι,</w:t>
      </w:r>
      <w:r>
        <w:t xml:space="preserve"> </w:t>
      </w:r>
      <w:r>
        <w:rPr>
          <w:u w:val="single"/>
        </w:rPr>
        <w:t xml:space="preserve">ουδεπω ουδεν εγνωκε καθως δει γνωναι. Ει δε τις αγαπα τον θεον, οὑτος</w:t>
      </w:r>
      <w:r>
        <w:t xml:space="preserve"> </w:t>
      </w:r>
      <w:r>
        <w:t xml:space="preserve">εγνωσται ὑπ̕ αυτου. Będący obecnie w modzie tekst eklektyczny, za którym podążają NIV, NASB, LB i tak dalej, opiera się na garstce świadków egipskich i brzmi tak: Ει … τις δοκει</w:t>
      </w:r>
      <w:r>
        <w:t xml:space="preserve"> </w:t>
      </w:r>
      <w:r>
        <w:rPr>
          <w:u w:val="single"/>
        </w:rPr>
        <w:t xml:space="preserve">εγνωκεναι</w:t>
      </w:r>
      <w:r>
        <w:t xml:space="preserve"> </w:t>
      </w:r>
      <w:r>
        <w:t xml:space="preserve">τί</w:t>
      </w:r>
      <w:r>
        <w:t xml:space="preserve"> </w:t>
      </w:r>
      <w:r>
        <w:rPr>
          <w:u w:val="single"/>
        </w:rPr>
        <w:t xml:space="preserve">ουπω</w:t>
      </w:r>
      <w:r>
        <w:t xml:space="preserve"> </w:t>
      </w:r>
      <w:r>
        <w:t xml:space="preserve">…</w:t>
      </w:r>
      <w:r>
        <w:t xml:space="preserve"> </w:t>
      </w:r>
      <w:r>
        <w:rPr>
          <w:u w:val="single"/>
        </w:rPr>
        <w:t xml:space="preserve">εγνω καθως δει</w:t>
      </w:r>
      <w:r>
        <w:t xml:space="preserve"> </w:t>
      </w:r>
      <w:r>
        <w:t xml:space="preserve">γνωναι. Ει δε τις αγαπα τον θεον, οὑτος εγνωσται ὑπ̕ αυτου. Omawiane miejsca są podkreślone. To właśnie tekst eklektyczny Fee przyjmuje za punkt wyjścia i z upodobaniem nazywa „tekstem standardowym”. Gdyby Fee uznał poprawny tekst, trudno byłoby mu pisać tak, jak napisał. (Aby jednak to uczynić, musiałby odrzucić wszystko, czego nauczono go w dziedzinie krytyki tekstu Nowego Testamentu). Nie zadowolił się jednak nawet swoim „standardowym” tekstem — proponuje emendować go przez pominięcie w trzech miejscach (zob. jego s. 367) i robi to na podstawie jednego greckiego manuskryptu, P</w:t>
      </w:r>
      <w:r>
        <w:rPr>
          <w:vertAlign w:val="superscript"/>
        </w:rPr>
        <w:t xml:space="preserve">46</w:t>
      </w:r>
      <w:r>
        <w:t xml:space="preserve">. Jego tekst wyglądałby następująco: Ει τις δοκει εγνωκεναι… ουπω εγνω καθως δει γνωναι. Ει δε τις αγαπα … …, οὑτος εγνωσται … ….</w:t>
      </w:r>
    </w:p>
    <w:p>
      <w:pPr>
        <w:pStyle w:val="BodyText"/>
      </w:pPr>
      <w:r>
        <w:t xml:space="preserve">P</w:t>
      </w:r>
      <w:r>
        <w:rPr>
          <w:vertAlign w:val="superscript"/>
        </w:rPr>
        <w:t xml:space="preserve">46</w:t>
      </w:r>
      <w:r>
        <w:t xml:space="preserve"> </w:t>
      </w:r>
      <w:r>
        <w:t xml:space="preserve">zawiera większość listów Pawła i jest zwykle datowany na około 200 rok po Chrystusie (co czyni go naszym najstarszym zachowanym manuskryptem w tym miejscu). Odkryto go w piaskach Egiptu około 85 lat temu, a opinia uczonych wydaje się zgodna, że powstał w Egipcie. Otóż w tamtym czasie (200) „kościół chrześcijański” w Egipcie obejmował co najmniej jedenaście grup heretyckich, które były tak wyraźnie określone, że miały nazwy — walentynianie, bazylidianie, marcjonici, peraci, enkratyci, dokeci, haimetyci, kainici, ofici, symonianie i eutychici — lecz dominującą siłą w całej społeczności „chrześcijańskiej” był gnostycyzm. Tekst P</w:t>
      </w:r>
      <w:r>
        <w:rPr>
          <w:vertAlign w:val="superscript"/>
        </w:rPr>
        <w:t xml:space="preserve">46</w:t>
      </w:r>
      <w:r>
        <w:t xml:space="preserve"> </w:t>
      </w:r>
      <w:r>
        <w:t xml:space="preserve">w 1 Liście do Koryntian 8,2–3 jest po prostu gnostyckim tworem, który przez 17 stuleci był pogrzebany w piaskach Egiptu, lecz Fee proponuje go wskrzesić i przedstawić światu jako Prawdę Boga!</w:t>
      </w:r>
    </w:p>
    <w:p>
      <w:pPr>
        <w:pStyle w:val="BodyText"/>
      </w:pPr>
      <w:r>
        <w:t xml:space="preserve">Przeanalizujmy teraz postępowanie Fee. Zaczął od eklektycznego tekstu greckiego opartego na mniej niż 5% zachowanych greckich manuskryptów (tutaj około 700). Nie zadowalając się tym, proponuje trzy pominięcia oparte na jednym greckim manuskrypcie przeciwko każdemu innemu greckiemu manuskryptowi (około 700) i każdemu starożytnemu przekładowi, łącznie z egipskimi manuskryptami i przekładami (z wyjątkiem tego, że trzecie pominięcie znajduje się również w dwóch innych manuskryptach). Zauważ, że nie omawia dowodów, nie podejmuje próby wyjaśnienia, dlaczego albo jak każdy manuskrypt (z wyjątkiem P</w:t>
      </w:r>
      <w:r>
        <w:rPr>
          <w:vertAlign w:val="superscript"/>
        </w:rPr>
        <w:t xml:space="preserve">46</w:t>
      </w:r>
      <w:r>
        <w:t xml:space="preserve">) i przekład miałby być tutaj błędny. Cała jego argumentacja opiera się na subiektywnych rozważaniach, na tym, co</w:t>
      </w:r>
      <w:r>
        <w:t xml:space="preserve"> </w:t>
      </w:r>
      <w:r>
        <w:rPr>
          <w:iCs/>
          <w:i/>
          <w:u w:val="single"/>
        </w:rPr>
        <w:t xml:space="preserve">on</w:t>
      </w:r>
      <w:r>
        <w:t xml:space="preserve"> </w:t>
      </w:r>
      <w:r>
        <w:t xml:space="preserve">uważa za „pasujące do kontekstu”. Innymi słowy, Fee wynosi własne procesy umysłowe ponad Słowo Boga. On, Gordon Fee, ustali oryginalne sformułowania Świętego Tekstu na podstawie własnej wyobraźni. To jest bałwochwalstwo, przewrotne bałwochwalstwo.</w:t>
      </w:r>
    </w:p>
    <w:p>
      <w:pPr>
        <w:pStyle w:val="BodyText"/>
      </w:pPr>
      <w:r>
        <w:t xml:space="preserve">Rozważmy teraz konsekwencje dla doktryny natchnienia Pisma. Jeśli Fee ma rację, wówczas forma 1 Listu do Koryntian, którą kanonizowały poszczególne sobory Kościoła, jest błędna. Jeśli Kościół kanonizował błędny Tekst, skąd wiemy, że postąpił słusznie, w ogóle kanonizując tę księgę (1 List do Koryntian)? Co więcej, Kościół powszechny używał i zachowywał przez stulecia błędny tekst. Marcin Luter nie mógł wiedzieć, jaki był poprawny tekst 1 Listu do Koryntian — był pogrzebany w piaskach Egiptu (według Fee). Nie mógł tego wiedzieć także nikt inny w żadnym momencie między 300 a 1930 rokiem po Chrystusie — prawdziwy odczyt (według Fee) zniknął z wiedzy Kościoła. Żaden tłumacz ani uczony w 1900 roku po prostu nie mógł wiedzieć, jaki był prawdziwy odczyt — nie istniał. Co więcej, skąd wiemy, że jutro nie zostanie odkryty nowy papirus, nazwijmy go P</w:t>
      </w:r>
      <w:r>
        <w:rPr>
          <w:vertAlign w:val="superscript"/>
        </w:rPr>
        <w:t xml:space="preserve">201</w:t>
      </w:r>
      <w:r>
        <w:t xml:space="preserve">, który będzie miał wariant w miejscu, gdzie dotąd istnieje stuprocentowa zgodność? I co miałoby powstrzymać Fee przed powiedzeniem nam, że ten wariant jest w rzeczywistości oryginalnym odczytem? Innymi słowy, jeśli Fee ma rację, nie mamy pewności i nigdy nie możemy mieć pewności co do tego, jaki jest prawdziwy Tekst Pisma. Po co więc w takiej sytuacji próbować mówić o nieomylnym Tekście? I czy każde twierdzenie o natchnieniu nie staje się względne?</w:t>
      </w:r>
    </w:p>
    <w:p>
      <w:pPr>
        <w:pStyle w:val="BodyText"/>
      </w:pPr>
      <w:r>
        <w:t xml:space="preserve">Traktowanie 1 Listu do Koryntian 8,2–3 przez Fee jest jedynie skrajnym przykładem mentalności przenikającej nasze kościoły. Marginesy NIV i NASB pełne są uwag podważających zaufanie do integralności Tekstu:</w:t>
      </w:r>
      <w:r>
        <w:t xml:space="preserve"> </w:t>
      </w:r>
      <w:r>
        <w:rPr>
          <w:iCs/>
          <w:i/>
        </w:rPr>
        <w:t xml:space="preserve">„niektóre wczesne manuskrypty pomijają…”</w:t>
      </w:r>
      <w:r>
        <w:t xml:space="preserve">,</w:t>
      </w:r>
      <w:r>
        <w:t xml:space="preserve"> </w:t>
      </w:r>
      <w:r>
        <w:rPr>
          <w:iCs/>
          <w:i/>
        </w:rPr>
        <w:t xml:space="preserve">„wiele starożytnych autorytetów odczytuje…”</w:t>
      </w:r>
      <w:r>
        <w:t xml:space="preserve">,</w:t>
      </w:r>
      <w:r>
        <w:t xml:space="preserve"> </w:t>
      </w:r>
      <w:r>
        <w:rPr>
          <w:iCs/>
          <w:i/>
        </w:rPr>
        <w:t xml:space="preserve">„najwcześniejsi i najlepsi</w:t>
      </w:r>
      <w:r>
        <w:t xml:space="preserve"> </w:t>
      </w:r>
      <w:r>
        <w:t xml:space="preserve">(w rzeczywistości najgorsi)</w:t>
      </w:r>
      <w:r>
        <w:t xml:space="preserve"> </w:t>
      </w:r>
      <w:r>
        <w:rPr>
          <w:iCs/>
          <w:i/>
        </w:rPr>
        <w:t xml:space="preserve">świadkowie…”</w:t>
      </w:r>
      <w:r>
        <w:t xml:space="preserve">, nie wspominając o nawiasach w samym tekście, które mówią czytelnikowi, że zawarty w nich materiał „z pewnością nie jest autentyczny”. Dlaczego to robią? Ponieważ podążają za tekstem eklektycznym, a jego redaktorzy skonstruowali go na podstawie subiektywnych kryteriów, które z kolei opierają się na fałszywych założeniach wstępnych. Żaden z tych redaktorów nie wierzył jednak, że Biblia jest nieomylnym Słowem Boga — w istocie narzucili swemu tekstowi oczywiste błędy rzeczowe i sprzeczności. Czy nie kwalifikowaliby się jako „synowie nieposłuszeństwa” (List do Efezjan 2,2)? Jeśli tak, oznaczałoby to, że ich umysły były całkowicie otwarte na szatańską ingerencję. Jeśli ktoś sądzi, że Szatan przepuściłby taką sposobność do skażenia Świętego Tekstu, to naprawdę nie wierzy w to, co Biblia mówi o naszym wrogu!</w:t>
      </w:r>
    </w:p>
    <w:p>
      <w:pPr>
        <w:pStyle w:val="BodyText"/>
      </w:pPr>
      <w:r>
        <w:t xml:space="preserve">Wyrażenie „grzech pokoleniowy” oznacza, że grzech ten praktykuje całe pokolenie. Wiąże się z tym bardzo poważna konsekwencja: wszystkie następne pokolenia otrzymują ten grzech jako część swojej „puli genowej”, nie jest on postrzegany jako „grzech”, lecz jako „prawda”. Ponieważ jednak w rzeczywistości jest kłamstwem, staje się warownią Szatana w ich umysłach i nie jest kwestionowany. Jedyne uwolnienie od tego grzechu następuje wtedy, gdy ktoś wraca do jego początku oraz analizuje i ujawnia fałszywe założenia wstępne i rozumowanie, które dały początek grzechowi. Osoba taka nie powinna jednak oczekiwać dobrego przyjęcia. Z pewnością będzie prześladowana przez „Establishment”. Jeśli jednak ma sposób rozpowszechniania swoich ustaleń, może wpłynąć na przyszłość.</w:t>
      </w:r>
    </w:p>
    <w:p>
      <w:pPr>
        <w:pStyle w:val="BodyText"/>
      </w:pPr>
      <w:r>
        <w:t xml:space="preserve">Rozważmy teraz konsekwencje tego grzechu pokoleniowego. Coraz trudniej jest rzeczywiście prowadzić lekcję szkoły niedzielnej — w sali może znajdować się sześć różnych przekładów i zaczynamy omawiać różne teksty i tłumaczenia, nie ma autorytetu pozwalającego dokonać wyboru, nikt nie wie na pewno, czym jest słowo Boga! Przypisy wraz z różnicami między przekładami (często znaczącymi) podważyły zaufanie ludzi do integralności Tekstu. Jeśli kaznodzieja emenduje Tekst z kazalnicy, zamieszanie zostaje spotęgowane. Autorytet Pism został podważony. Niewielu ma pewność, by powstać i powiedzieć: „Tak mówi PAN!”. Praktyczny skutek jest taki, że ilekroć jakaś nauka Pisma staje się niewygodna z przyczyn osobistych albo kulturowych, po prostu mówimy o wszystkim wokół niej, wyjaśniamy ją tak, by ją usunąć, albo zwyczajnie wzruszamy ramionami. Bezwarunkowe posłuszeństwo zwykłemu znaczeniu Tekstu jest teraz beznadziejnie niemodne! Ostatecznie w dzisiejszych czasach to nasz rozum i logika (łagodzone przez naszą wygodę) są ostatecznym autorytetem, ostatecznym arbitrem — Słowo Boga już nad nami nie panuje, to my panujemy nad nim (</w:t>
      </w:r>
      <w:r>
        <w:rPr>
          <w:iCs/>
          <w:i/>
        </w:rPr>
        <w:t xml:space="preserve">à la</w:t>
      </w:r>
      <w:r>
        <w:t xml:space="preserve"> </w:t>
      </w:r>
      <w:r>
        <w:t xml:space="preserve">Fee).</w:t>
      </w:r>
    </w:p>
    <w:p>
      <w:pPr>
        <w:pStyle w:val="BodyText"/>
      </w:pPr>
      <w:r>
        <w:t xml:space="preserve">Dlaczego Bóg miałby błogosławić nasz kraj, nasz kościół, nasze domy, nasze życie, skoro trwamy w tak zgubnej formie bałwochwalstwa?</w:t>
      </w:r>
    </w:p>
    <w:bookmarkEnd w:id="531"/>
    <w:bookmarkEnd w:id="532"/>
    <w:bookmarkStart w:id="533" w:name="metoda-genealogiczna-oparta-na-spójności"/>
    <w:p>
      <w:pPr>
        <w:pStyle w:val="Heading2"/>
      </w:pPr>
      <w:r>
        <w:t xml:space="preserve">Metoda genealogiczna oparta na spójności</w:t>
      </w:r>
    </w:p>
    <w:p>
      <w:pPr>
        <w:pStyle w:val="FirstParagraph"/>
      </w:pPr>
      <w:r>
        <w:t xml:space="preserve">Każdy, kto w jakikolwiek sposób zajmuje się krytyką tekstu Nowego Testamentu, przypuszczalnie słyszał o Metodzie genealogicznej opartej na spójności (</w:t>
      </w:r>
      <w:r>
        <w:rPr>
          <w:iCs/>
          <w:i/>
        </w:rPr>
        <w:t xml:space="preserve">Coherence-Based Genealogical Method</w:t>
      </w:r>
      <w:r>
        <w:t xml:space="preserve">, CBGM). Ilekroć widzisz wyrażenie „metoda genealogiczna”, powinieneś powiedzieć sobie: „Aha, to będzie po prostu kolejna próba uniknięcia harówki polegającej na kolacjonowaniu wszystkich manuskryptów”. Ponieważ sam skolacjonowałem co najmniej jedną księgę w ponad stu manuskryptach (ponad 30 w całości), mogę zapewnić, że rzeczywiście jest to harówka, niewolnicza praca.</w:t>
      </w:r>
    </w:p>
    <w:p>
      <w:pPr>
        <w:pStyle w:val="BodyText"/>
      </w:pPr>
      <w:r>
        <w:t xml:space="preserve">CBGM jest zasadniczo kolejną próbą uniknięcia pracy polegającej na kolacjonowaniu wszystkich zachowanych manuskryptów. Używa komputera do wykreślania prawdopodobieństw. Głównym problemem tej metody (z naszego punktu widzenia) jest to, że na niemal każdym etapie procedury krytyk musi dokonywać subiektywnych wyborów, a będzie ich dokonywał przy użyciu tych samych kryteriów, których używa się w eklektyzmie (preferuj trudniejszy odczyt, krótszy odczyt i tak dalej). W niedawnym</w:t>
      </w:r>
      <w:r>
        <w:t xml:space="preserve"> </w:t>
      </w:r>
      <w:r>
        <w:rPr>
          <w:iCs/>
          <w:i/>
        </w:rPr>
        <w:t xml:space="preserve">ECM</w:t>
      </w:r>
      <w:r>
        <w:t xml:space="preserve"> </w:t>
      </w:r>
      <w:r>
        <w:t xml:space="preserve">Dziejów Apostolskich Klaus Wachtel stwierdza jasno: „Na pierwszym etapie stosuje się tradycyjne metody eklektycznej krytyki tekstu” (s. 28*). Zasadniczo jest to więc stary eklektyzm przebrany w nowe szaty. Metoda nie jest empiryczna, chociaż wykorzystuje rzeczywiste warianty.</w:t>
      </w:r>
    </w:p>
    <w:p>
      <w:pPr>
        <w:pStyle w:val="BodyText"/>
      </w:pPr>
      <w:r>
        <w:t xml:space="preserve">Tendencję tę ilustruje seria</w:t>
      </w:r>
      <w:r>
        <w:t xml:space="preserve"> </w:t>
      </w:r>
      <w:r>
        <w:rPr>
          <w:iCs/>
          <w:i/>
        </w:rPr>
        <w:t xml:space="preserve">Editio Critica Maior</w:t>
      </w:r>
      <w:r>
        <w:t xml:space="preserve"> </w:t>
      </w:r>
      <w:r>
        <w:t xml:space="preserve">(</w:t>
      </w:r>
      <w:r>
        <w:rPr>
          <w:iCs/>
          <w:i/>
        </w:rPr>
        <w:t xml:space="preserve">ECM</w:t>
      </w:r>
      <w:r>
        <w:t xml:space="preserve">) dla Listów Ogólnych. Dla Listu Jakuba uwzględniono 182 manuskrypty spośród 522 kompletnych manuskryptów i większych fragmentów. Zgodnie z własną definicją uwzględniono 78 manuskryptów, które uznano za tak bizantyjskie, że zgrupowano je pod symbolem „</w:t>
      </w:r>
      <w:r>
        <w:rPr>
          <w:bCs/>
          <w:b/>
        </w:rPr>
        <w:t xml:space="preserve">Byz</w:t>
      </w:r>
      <w:r>
        <w:t xml:space="preserve">”. Jednak dla pozostałych sześciu ksiąg całkowitą liczbę manuskryptów zmniejszono średnio o 50, podczas gdy całkowitą liczbę manuskryptów „</w:t>
      </w:r>
      <w:r>
        <w:rPr>
          <w:bCs/>
          <w:b/>
        </w:rPr>
        <w:t xml:space="preserve">Byz</w:t>
      </w:r>
      <w:r>
        <w:t xml:space="preserve">” zmniejszono średnio o 35. Z mojego punktu widzenia</w:t>
      </w:r>
      <w:r>
        <w:t xml:space="preserve"> </w:t>
      </w:r>
      <w:r>
        <w:rPr>
          <w:iCs/>
          <w:i/>
        </w:rPr>
        <w:t xml:space="preserve">ECM</w:t>
      </w:r>
      <w:r>
        <w:t xml:space="preserve"> </w:t>
      </w:r>
      <w:r>
        <w:t xml:space="preserve">Listu Jakuba jest wyraźnie bardziej użyteczne niż pozostałych sześć ksiąg.</w:t>
      </w:r>
    </w:p>
    <w:p>
      <w:pPr>
        <w:pStyle w:val="BodyText"/>
      </w:pPr>
      <w:r>
        <w:t xml:space="preserve">W</w:t>
      </w:r>
      <w:r>
        <w:t xml:space="preserve"> </w:t>
      </w:r>
      <w:r>
        <w:rPr>
          <w:iCs/>
          <w:i/>
        </w:rPr>
        <w:t xml:space="preserve">ECM</w:t>
      </w:r>
      <w:r>
        <w:t xml:space="preserve"> </w:t>
      </w:r>
      <w:r>
        <w:t xml:space="preserve">Dziejów Apostolskich nadal nazywają tekst bizantyjski „starannie kontrolowaną formą” (s. 18</w:t>
      </w:r>
      <w:r>
        <w:rPr>
          <w:iCs/>
          <w:i/>
        </w:rPr>
        <w:t xml:space="preserve">), podobnie jak uczynili dwadzieścia lat wcześniej w</w:t>
      </w:r>
      <w:r>
        <w:rPr>
          <w:iCs/>
          <w:i/>
        </w:rPr>
        <w:t xml:space="preserve"> </w:t>
      </w:r>
      <w:r>
        <w:t xml:space="preserve">ECM* Listu Jakuba (s. 11*), nigdy jednak nie mówią, kto sprawował kontrolę. Powód jest prosty: nie mogą, ponieważ stwierdzenie to jest fałszywe. Powtarzają jedynie hołubioną kaczkę dziennikarską.</w:t>
      </w:r>
    </w:p>
    <w:bookmarkEnd w:id="533"/>
    <w:bookmarkStart w:id="567" w:name="X0bbc3bb85cb85f5389ff1a4bce576e42d5c9f7a"/>
    <w:p>
      <w:pPr>
        <w:pStyle w:val="Heading2"/>
      </w:pPr>
      <w:r>
        <w:t xml:space="preserve">Czy krytyka tekstu Nowego Testamentu jest nauką?</w:t>
      </w:r>
    </w:p>
    <w:p>
      <w:pPr>
        <w:pStyle w:val="FirstParagraph"/>
      </w:pPr>
      <w:r>
        <w:t xml:space="preserve">Czy kiedykolwiek słyszałeś albo czytałeś (lub wypowiedziałeś) wyrażenie „nauka krytyki tekstu Nowego Testamentu”? A co z wyrażeniem „krytyk tekstu”? Co zatem robi krytyk? Krytykuje. Co krytykuje? W tym przypadku jest to tekst Nowego Testamentu w języku greckim. Co jednak dokładnie krytykuje? Krytyk literacki przygląda się takim rzeczom jak styl i dobór słownictwa, komentator próbuje ustalić znaczenie zamierzone przez autora tekstu. Co zatem robi krytyk tekstu? Próbuje odtworzyć oryginalne sformułowania tekstu — zauważ, że zakłada, iż oryginalne sformułowania „zaginęły”, w tym sensie, że nikt nie wie na pewno, jakie są lub były. (Zauważ również, że stawia to krytyka ponad tekstem, do czego wrócę). Krytyka tekstu istnieje tylko w odniesieniu do tekstów, których oryginalne sformułowania uznaje się za „zaginione”. Nikt nie uprawia krytyki tekstu dzisiejszej gazety ani zeszłotygodniowego magazynu informacyjnego. Nikt nie uprawia nawet krytyki tekstu Biblii Króla Jakuba z 1611 roku, ponieważ nadal mamy jej drukowane egzemplarze. Wszelkie argumenty dotyczące KJV należą do innych kategorii, nie są krytyką tekstu.</w:t>
      </w:r>
    </w:p>
    <w:p>
      <w:pPr>
        <w:pStyle w:val="BodyText"/>
      </w:pPr>
      <w:r>
        <w:t xml:space="preserve">Każdy, kto zna ten teren, wie, że przez ostatnie 150 lat (co najmniej) świat akademicki był zdominowany przez pogląd, iż oryginalne sformułowania tekstu Nowego Testamentu rzeczywiście „zaginęły”. Tytułem ilustracji około 65 lat temu Robert M. Grant napisał: „powszechnie uznaje się, że oryginalnego tekstu Biblii nie można odzyskać”.</w:t>
      </w:r>
      <w:r>
        <w:rPr>
          <w:rStyle w:val="FootnoteReference"/>
        </w:rPr>
        <w:footnoteReference w:id="534"/>
      </w:r>
      <w:r>
        <w:t xml:space="preserve"> </w:t>
      </w:r>
      <w:r>
        <w:t xml:space="preserve">Kilka dalszych odniesień powtarzających tę opinię można znaleźć na stronach 3–4 mojego</w:t>
      </w:r>
      <w:r>
        <w:t xml:space="preserve"> </w:t>
      </w:r>
      <w:r>
        <w:rPr>
          <w:iCs/>
          <w:i/>
        </w:rPr>
        <w:t xml:space="preserve">Identity IV</w:t>
      </w:r>
      <w:r>
        <w:t xml:space="preserve">. Zanim spróbuję obalić tę — jak uważam — fikcję (kaczkę dziennikarską?), naszkicuję nieco istotnej historii.</w:t>
      </w:r>
    </w:p>
    <w:bookmarkStart w:id="543" w:name="nieco-istotnej-historii-1"/>
    <w:p>
      <w:pPr>
        <w:pStyle w:val="Heading3"/>
      </w:pPr>
      <w:r>
        <w:t xml:space="preserve">Nieco istotnej historii</w:t>
      </w:r>
    </w:p>
    <w:p>
      <w:pPr>
        <w:pStyle w:val="FirstParagraph"/>
      </w:pPr>
      <w:r>
        <w:t xml:space="preserve">Dyscyplina, jaką znamy, jest zasadniczo „dzieckiem” Europy Zachodniej i jej kolonii, Wschodnie Kościoły Prawosławne na ogół nie były w nią zaangażowane. (Zawsze wiedziały, że prawdziwy Tekst znajduje się w tradycji bizantyjskiej). W roku 1500 chrześcijaństwo Europy Zachodniej było zdominowane przez Kościół rzymskokatolicki, którego papież rościł sobie wyłączne prawo do interpretowania Pisma. Tym Pismem była łacińska Wulgata, której świeckim nie wolno było czytać. Dziewięćdziesiąt pięć tez Marcina Lutra ogłoszono w 1517 roku. Czy było zwykłym przypadkiem, że pierwszy drukowany grecki Tekst Nowego Testamentu opublikowano rok wcześniej? W miarę postępów reformacji protestanckiej ogłoszono, że autorytet Pisma przewyższa autorytet papieża oraz że każdy wierzący ma prawo czytać i interpretować Pismo. Zakwestionowano również autorytet łacińskiej Wulgaty, ponieważ Nowy Testament został napisany po grecku. Biblioteka Watykańska posiadała oczywiście wiele greckich manuskryptów, z których żadne dwa nie były identyczne (przynajmniej w Ewangeliach), Kościół rzymski zakwestionował więc autentyczność greckiego Tekstu. Krótko mówiąc, Kościół rzymski zmusił reformację do zmierzenia się ze zróżnicowaniem tekstowym wśród greckich manuskryptów. Reformatorzy nie wiedzieli jednak, jak się do tego zabrać, ponieważ była to nowa dziedzina badań i po prostu nie posiadali wystarczającej części istotnych dowodów.</w:t>
      </w:r>
      <w:r>
        <w:rPr>
          <w:rStyle w:val="FootnoteReference"/>
        </w:rPr>
        <w:footnoteReference w:id="535"/>
      </w:r>
      <w:r>
        <w:t xml:space="preserve"> </w:t>
      </w:r>
      <w:r>
        <w:t xml:space="preserve">(Prawdopodobnie nie wiedzieli nawet o istnieniu półwyspu góry Athos z jego dwudziestoma klasztorami).</w:t>
      </w:r>
    </w:p>
    <w:p>
      <w:pPr>
        <w:pStyle w:val="BodyText"/>
      </w:pPr>
      <w:r>
        <w:t xml:space="preserve">W roku 1500 rzymskokatolicki establishment był skorumpowany, moralnie zbankrutowany i skompromitowany w oczach myślących ludzi. Na pierwszy plan wysuwały się epoka rozumu i humanizm. Coraz więcej ludzi dochodziło do wniosku, że lepiej poradzą sobie bez boga rzymskiego establishmentu. Nowo wyobrażona wolność od nadprzyrodzonego nadzoru była upajająca, wielu nie było też zainteresowanych przyjęciem autorytetu Pisma (</w:t>
      </w:r>
      <w:r>
        <w:rPr>
          <w:iCs/>
          <w:i/>
        </w:rPr>
        <w:t xml:space="preserve">sola Scriptura</w:t>
      </w:r>
      <w:r>
        <w:t xml:space="preserve">). Ponadto wykluczenie ze swoich rozważań sfery nadprzyrodzonej i nieuwzględnienie szatańskiej działalności za kulisami byłoby skrajnie naiwne — List do Efezjan 2,2.</w:t>
      </w:r>
      <w:r>
        <w:rPr>
          <w:rStyle w:val="FootnoteReference"/>
        </w:rPr>
        <w:footnoteReference w:id="536"/>
      </w:r>
      <w:r>
        <w:t xml:space="preserve"> </w:t>
      </w:r>
      <w:r>
        <w:t xml:space="preserve">„Synowie nieposłuszeństwa” przyłączyli się do ataku na Pismo. Tak zwana „wyższa krytyka” całkowicie zaprzeczyła boskiemu natchnieniu. Inni wykorzystali zróżnicowanie tekstowe, by argumentować, że w każdym razie oryginalne sformułowania „zaginęły”, ponieważ nie istnieje żaden obiektywny sposób ustalenia, jakie mogły być (to znaczy w tamtym czasie nie potrafili dostrzec takiego sposobu).</w:t>
      </w:r>
    </w:p>
    <w:p>
      <w:pPr>
        <w:pStyle w:val="BodyText"/>
      </w:pPr>
      <w:r>
        <w:t xml:space="preserve">Ważnym czynnikiem było bezkrytyczne założenie, że „najstarsze znaczy najlepsze”, a w miarę odkrywania wcześniejszych uncjałów nabierało ono coraz większego znaczenia. Zarówno Kodeks Watykański, jak i Kodeks Bezy były dostępne od dawna, a tylko w Ewangeliach występują między nimi tysiące rozbieżności (w Dziejach Apostolskich Beza jest niepohamowany niemal ponad wszelką wiarę). Jeśli „najstarsze znaczy najlepsze”, a najstarsze manuskrypty nieustannie i masowo nie zgadzają się między sobą, wówczas odzyskanie zaginionego tekstu staje się beznadziejne. Czy to do ciebie dotarło? Beznadziejne, całkowicie beznadziejne! Argumentowałem jednak, że „najstarsze znaczy najgorsze”, a to radykalnie zmienia obraz.</w:t>
      </w:r>
      <w:r>
        <w:rPr>
          <w:rStyle w:val="FootnoteReference"/>
        </w:rPr>
        <w:footnoteReference w:id="537"/>
      </w:r>
    </w:p>
    <w:p>
      <w:pPr>
        <w:pStyle w:val="BodyText"/>
      </w:pPr>
      <w:r>
        <w:t xml:space="preserve">Ponieważ każdy pozostaje pod wpływem swojego środowiska (choć niekoniecznie pod jego kontrolą), dotyczyło to również reformatorów. Reformacja była przynajmniej częściowo „dzieckiem” renesansu, z jego naciskiem na rozum. Przypomnijmy, że podczas procesu Luter powiedział, iż może odwołać swoje poglądy tylko wtedy, gdy przekona go Pismo i rozum. Jak dotąd wszystko dobrze, lecz wielu nie chciało Pisma, pozostał im więc tylko rozum. Ponadto, ponieważ rozum nie potrafi wyjaśnić sfery nadprzyrodzonej ani sobie z nią poradzić, ci, którzy kładą nacisk na rozum, są na ogół nieprzychylni wobec sfery nadprzyrodzonej. (Do dziś tak zwane historyczne lub tradycyjne denominacje protestanckie mają trudności z radzeniem sobie ze sferą nadprzyrodzoną).</w:t>
      </w:r>
    </w:p>
    <w:p>
      <w:pPr>
        <w:pStyle w:val="BodyText"/>
      </w:pPr>
      <w:r>
        <w:t xml:space="preserve">Zanim Adolf Deissmann opublikował</w:t>
      </w:r>
      <w:r>
        <w:t xml:space="preserve"> </w:t>
      </w:r>
      <w:r>
        <w:rPr>
          <w:iCs/>
          <w:i/>
        </w:rPr>
        <w:t xml:space="preserve">Light from the Ancient East</w:t>
      </w:r>
      <w:r>
        <w:t xml:space="preserve"> </w:t>
      </w:r>
      <w:r>
        <w:t xml:space="preserve">(1910) (przekład</w:t>
      </w:r>
      <w:r>
        <w:t xml:space="preserve"> </w:t>
      </w:r>
      <w:r>
        <w:rPr>
          <w:iCs/>
          <w:i/>
        </w:rPr>
        <w:t xml:space="preserve">Licht vom Osten</w:t>
      </w:r>
      <w:r>
        <w:t xml:space="preserve">, 1908), gdzie wykazał, że greka koine była</w:t>
      </w:r>
      <w:r>
        <w:t xml:space="preserve"> </w:t>
      </w:r>
      <w:r>
        <w:rPr>
          <w:iCs/>
          <w:i/>
        </w:rPr>
        <w:t xml:space="preserve">lingua franca</w:t>
      </w:r>
      <w:r>
        <w:t xml:space="preserve"> </w:t>
      </w:r>
      <w:r>
        <w:t xml:space="preserve">w czasach Jezusa i istniała nawet opublikowana gramatyka wyjaśniająca jej reguły, na uniwersytetach nauczano wyłącznie greki klasycznej. Nowy Testament napisano jednak w koine. Przed wzorcowym dziełem Deissmanna istniały dwa stanowiska dotyczące greki Nowego Testamentu: 1) była ona zdegenerowaną formą greki klasycznej albo 2) była greką „Ducha Świętego”, wymyśloną dla Nowego Testamentu. Drugie stanowisko zajmowali głównie pietyści, świat akademicki preferował pierwsze, które rodziło naturalne pytanie: jeśli Bóg zamierzał natchnąć Nowy Testament, dlaczego nie uczynił tego w „przyzwoitej” grece?</w:t>
      </w:r>
    </w:p>
    <w:p>
      <w:pPr>
        <w:pStyle w:val="BodyText"/>
      </w:pPr>
      <w:r>
        <w:t xml:space="preserve">Wszystko to postawiło obrońców natchnionej greckiej Biblii w defensywie, przed bardzo realnym problemem ustalenia, gdzie najlepiej wyznaczyć obwód obronny. Przy panującej niewiedzy o istotnych dowodach ich najlepszym wyborem wydawało się odwołanie do Boskiej Opatrzności. Bóg opatrznościowo wybrał TR, a zatem to właśnie tego tekstu należało używać (tekstu „tradycyjnego”).</w:t>
      </w:r>
      <w:r>
        <w:rPr>
          <w:rStyle w:val="FootnoteReference"/>
        </w:rPr>
        <w:footnoteReference w:id="538"/>
      </w:r>
    </w:p>
    <w:p>
      <w:pPr>
        <w:pStyle w:val="BodyText"/>
      </w:pPr>
      <w:r>
        <w:t xml:space="preserve">Wszystko wskazywało na to, że Szatan wygrywa, lecz nadal miał problem: główne przekłady protestanckie (niemieckie, angielskie, hiszpańskie itd.) opierały się na</w:t>
      </w:r>
      <w:r>
        <w:t xml:space="preserve"> </w:t>
      </w:r>
      <w:r>
        <w:rPr>
          <w:iCs/>
          <w:i/>
        </w:rPr>
        <w:t xml:space="preserve">Textus Receptus</w:t>
      </w:r>
      <w:r>
        <w:t xml:space="preserve">, podobnie jak wyznania wiary i „modlitewniki”. Na scenę wchodzi F.J.A. Hort, typowy „syn nieposłuszeństwa”. Hort nie wierzył ani w boskie natchnienie Biblii, ani w boskość Jezusa Chrystusa. Ponieważ przyjął teorię darwinowską, gdy tylko się pojawiła, przypuszczalnie nie wierzył w Boga.</w:t>
      </w:r>
      <w:r>
        <w:rPr>
          <w:rStyle w:val="FootnoteReference"/>
        </w:rPr>
        <w:footnoteReference w:id="539"/>
      </w:r>
      <w:r>
        <w:t xml:space="preserve"> </w:t>
      </w:r>
      <w:r>
        <w:t xml:space="preserve">Jego teoria krytyki tekstu Nowego Testamentu, opublikowana w 1881 roku,</w:t>
      </w:r>
      <w:r>
        <w:rPr>
          <w:rStyle w:val="FootnoteReference"/>
        </w:rPr>
        <w:footnoteReference w:id="540"/>
      </w:r>
      <w:r>
        <w:t xml:space="preserve"> </w:t>
      </w:r>
      <w:r>
        <w:t xml:space="preserve">opierała się wprost na założeniach, że Nowy Testament nie był natchniony, że w pierwszych dziesięcioleciach nie otaczano go szczególną troską i że w konsekwencji oryginalne sformułowania zaginęły — przynajmniej niemożliwe było ich odzyskanie obiektywnymi środkami. Jego teoria zawładnęła światem akademickim i do dziś dominuje w tej dyscyplinie.</w:t>
      </w:r>
      <w:r>
        <w:rPr>
          <w:rStyle w:val="FootnoteReference"/>
        </w:rPr>
        <w:footnoteReference w:id="541"/>
      </w:r>
    </w:p>
    <w:p>
      <w:pPr>
        <w:pStyle w:val="BodyText"/>
      </w:pPr>
      <w:r>
        <w:t xml:space="preserve">Co więcej, Hort twierdził, że wskutek jego pracy tylko jedna tysięczna część tekstu Nowego Testamentu może być uznawana za wątpliwą, a zwykli ludzie przyjęli to z radością, ponieważ zdawało się zapewniać o wiarygodności tego tekstu — twierdzenie to dotyczyło jednak oczywiście tylko tekstu W-H (prawdopodobnie najgorszego opublikowanego Nowego Testamentu, jaki istnieje do dziś).</w:t>
      </w:r>
      <w:r>
        <w:rPr>
          <w:rStyle w:val="FootnoteReference"/>
        </w:rPr>
        <w:footnoteReference w:id="542"/>
      </w:r>
    </w:p>
    <w:bookmarkEnd w:id="543"/>
    <w:bookmarkStart w:id="553" w:name="charakter-przedsięwzięcia-naukowego"/>
    <w:p>
      <w:pPr>
        <w:pStyle w:val="Heading3"/>
      </w:pPr>
      <w:r>
        <w:t xml:space="preserve">Charakter przedsięwzięcia naukowego</w:t>
      </w:r>
    </w:p>
    <w:p>
      <w:pPr>
        <w:pStyle w:val="FirstParagraph"/>
      </w:pPr>
      <w:r>
        <w:t xml:space="preserve">Tyle mojego szkicu historii. Wrócę teraz do pytania zawartego w tytule. Na początek zauważam i obstaję przy tym, że w każdym przedsięwzięciu naukowym należy rygorystycznie rozróżniać dowody, interpretację i założenia wstępne. Przedstawianie własnych założeń wstępnych jako części dowodów jest nieuczciwe (opinia nie jest dowodem). Jeśli zatem krytyka tekstu Nowego Testamentu ma być „nauką”, założenia wstępne trzeba wykluczyć. Jeśli jednak wykluczymy założenie, że oryginalne sformułowania „zaginęły”, krytyka tekstu przestaje istnieć, a jak można mieć „naukę” o czymś, co nie istnieje? Nauka to jedno, teoria to co innego. Teoria z konieczności opiera się na założeniu wstępnym, dlatego uprawnione jest mówienie o hortowskiej teorii krytyki tekstu, ponieważ Hort uważał oryginalne sformułowania za zaginione. Moja własna teoria nie obejmuje krytyki tekstu, ponieważ uważam, że oryginalne sformułowania nie zaginęły. Bronię teorii Boskiego zachowania Tekstu Nowego Testamentu.</w:t>
      </w:r>
      <w:r>
        <w:rPr>
          <w:rStyle w:val="FootnoteReference"/>
        </w:rPr>
        <w:footnoteReference w:id="544"/>
      </w:r>
    </w:p>
    <w:p>
      <w:pPr>
        <w:pStyle w:val="BodyText"/>
      </w:pPr>
      <w:r>
        <w:t xml:space="preserve">Do tej pory dla czytelnika powinno stać się oczywiste, że kwestia „zaginionego” oryginału jest sednem, centralnym zagadnieniem każdej próby rozpoznania oryginalnych sformułowań Nowego Testamentu. Przechodzę więc teraz do tej kwestii. Dla uczciwości trzeba rozpoznać dwie definicje słowa „zaginiony”: 1) zaginiony bez możliwości odzyskania, przynajmniej środkami obiektywnymi, 2) utracony z pola widzenia, w tym sensie, że dostępne dowody nie zostały zbadane wystarczająco, aby pozwolić na empiryczny wybór między konkurującymi wariantami. Uważam, że moje</w:t>
      </w:r>
      <w:r>
        <w:t xml:space="preserve"> </w:t>
      </w:r>
      <w:r>
        <w:rPr>
          <w:iCs/>
          <w:i/>
        </w:rPr>
        <w:t xml:space="preserve">Identity IV</w:t>
      </w:r>
      <w:r>
        <w:t xml:space="preserve"> </w:t>
      </w:r>
      <w:r>
        <w:t xml:space="preserve">przedstawia więcej niż dostateczne dowody wykazujące, iż pierwsza definicja jest fałszywa. Teoria Horta i wszystkie jej pochodne, takie jak eklektyzm (dowolnego rodzaju), nie są nauką i nie można ich uczciwie nazywać nauką. Druga definicja pozwala na postępowanie naukowe. Sugeruję i zalecam, abyśmy zaczęli używać terminu „manuskryptologia” zamiast „krytyka tekstu” — manuskryptologia odnosi się do badania manuskryptów i jest neutralna względem założeń wstępnych. Każde przedsięwzięcie naukowe powinno rozpoczynać się od dowodów, jakie są zatem dowody?</w:t>
      </w:r>
    </w:p>
    <w:p>
      <w:pPr>
        <w:pStyle w:val="BodyText"/>
      </w:pPr>
      <w:r>
        <w:t xml:space="preserve">Dowodów pierwszorzędnych dostarczają greckie manuskrypty Nowego Testamentu o tekście ciągłym. Dowody dostarczane przez lekcjonarze są drugorzędne. Dowody dostarczane przez starożytne przekłady i cytaty patrystyczne są trzeciorzędne. Autentyczne dowody historyczne (w takim zakresie, w jakim można to ustalić) są pomocnicze. Gdy dowody pierwszorzędne są jednoznaczne, pozostałe rodzaje nie powinny wchodzić w grę. Na przykład w dowolnym miejscu czterech Ewangelii będzie około 1700 zachowanych manuskryptów o tekście ciągłym, reprezentujących wszystkie linie przekazu i wszystkie miejsca.</w:t>
      </w:r>
      <w:r>
        <w:rPr>
          <w:rStyle w:val="FootnoteReference"/>
        </w:rPr>
        <w:footnoteReference w:id="545"/>
      </w:r>
      <w:r>
        <w:t xml:space="preserve"> </w:t>
      </w:r>
      <w:r>
        <w:t xml:space="preserve">Gdy wszystkie są zgodne, nie może istnieć uprawniona wątpliwość co do oryginalnych sformułowań. Co jednak, jeśli ujawni się wczesny papirus zawierający wariant, czy zmienia to obraz? Sam fakt, że jest wczesny, sugeruje, iż jest zły, dlaczego nie został zużyty wskutek używania?</w:t>
      </w:r>
    </w:p>
    <w:p>
      <w:pPr>
        <w:pStyle w:val="BodyText"/>
      </w:pPr>
      <w:r>
        <w:t xml:space="preserve">Prawdopodobnie wszyscy słyszeliśmy albo czytaliśmy kaczkę dziennikarską: „manuskrypty należy ważyć, nie liczyć”. Podstawowe znaczenie czasownika „ważyć” odnosi się do obiektywnej procedury, dokonuje się tego przy użyciu fizycznie weryfikowalnych odważników. Czy jednak zwolennicy Horta (którzy przede wszystkim wciąż to powtarzają) „ważą” manuskrypty przy użyciu obiektywnych kryteriów? Nie, dlatego nazywam to „kaczką dziennikarską”. Mimo to poddaję pod rozwagę wszystkich zainteresowanych, że rzeczywiście możliwe jest ważenie manuskryptów przy użyciu obiektywnych kryteriów.</w:t>
      </w:r>
    </w:p>
    <w:p>
      <w:pPr>
        <w:pStyle w:val="BodyText"/>
      </w:pPr>
      <w:r>
        <w:t xml:space="preserve">Jak dokładnie należy ważyć manuskrypty? I kto mógłby mieć kwalifikacje do przeprowadzenia ważenia? Jak czytelnik jest już dobrze świadomy, Hort i większość późniejszych uczonych dokonywali swojego „ważenia” na podstawie tak zwanych „dowodów wewnętrznych” — dwa standardowe kryteria brzmią: „wybierz odczyt pasujący do kontekstu” oraz „wybierz odczyt wyjaśniający powstanie drugiego odczytu”.</w:t>
      </w:r>
    </w:p>
    <w:p>
      <w:pPr>
        <w:pStyle w:val="BodyText"/>
      </w:pPr>
      <w:r>
        <w:t xml:space="preserve">Jeden problem z takim postępowaniem dobrze wyraził E.C. Colwell: „W rzeczywistości te dwa standardowe kryteria oceny wewnętrznych dowodów odczytów mogą łatwo wzajemnie się znosić i pozostawiać uczonemu swobodę wyboru według jego własnych uprzednich sądów”.</w:t>
      </w:r>
      <w:r>
        <w:rPr>
          <w:rStyle w:val="FootnoteReference"/>
        </w:rPr>
        <w:footnoteReference w:id="546"/>
      </w:r>
      <w:r>
        <w:t xml:space="preserve"> </w:t>
      </w:r>
      <w:r>
        <w:t xml:space="preserve">Co więcej, „im większą wiedzę posiada uczony, tym łatwiej jest mu przedstawić rozsądną obronę obu odczytów…”.</w:t>
      </w:r>
      <w:r>
        <w:rPr>
          <w:rStyle w:val="FootnoteReference"/>
        </w:rPr>
        <w:footnoteReference w:id="547"/>
      </w:r>
      <w:r>
        <w:t xml:space="preserve"> </w:t>
      </w:r>
      <w:r>
        <w:t xml:space="preserve">Cały proces jest tak subiektywny, że czyni ze słowa „ważyć” kpinę. Podstawowe znaczenie tego terminu obejmuje ocenę dokonaną przez obiektywny przyrząd. Jeśli chcemy, by nasze ważenie manuskryptów miało obiektywną ważność, musimy znaleźć obiektywną procedurę.</w:t>
      </w:r>
    </w:p>
    <w:p>
      <w:pPr>
        <w:pStyle w:val="BodyText"/>
      </w:pPr>
      <w:r>
        <w:t xml:space="preserve">Jak w rzeczywistym życiu oceniamy wiarygodność świadka? Obserwujemy, jak się zachowuje, słuchamy, co mówi i jak to mówi, oraz słuchamy opinii jego sąsiadów i współpracowników. Jeśli potrafimy wykazać, że świadek jest nałogowym kłamcą albo że jego zdolności krytyczne są upośledzone, przyjmujemy jego świadectwo ze sceptycyzmem. W znacznym zakresie możliwe jest ocenianie manuskryptów w podobny sposób i trudno zrozumieć, dlaczego uczeni na ogół zaniedbywali takiego postępowania.</w:t>
      </w:r>
    </w:p>
    <w:p>
      <w:pPr>
        <w:pStyle w:val="BodyText"/>
      </w:pPr>
      <w:r>
        <w:t xml:space="preserve">Czy możemy obiektywnie „zważyć” P</w:t>
      </w:r>
      <w:r>
        <w:rPr>
          <w:vertAlign w:val="superscript"/>
        </w:rPr>
        <w:t xml:space="preserve">66</w:t>
      </w:r>
      <w:r>
        <w:t xml:space="preserve"> </w:t>
      </w:r>
      <w:r>
        <w:t xml:space="preserve">jako świadka? (Jest najstarszym spośród wszystkich o znacznej objętości). Otóż na przestrzeni Ewangelii Jana (niekompletnej) ma ponad 900 jasnych, niewątpliwych błędów — jako świadek tożsamości tekstu Ewangelii Jana wprowadził nas w błąd ponad 900 razy. Czy P</w:t>
      </w:r>
      <w:r>
        <w:rPr>
          <w:vertAlign w:val="superscript"/>
        </w:rPr>
        <w:t xml:space="preserve">66</w:t>
      </w:r>
      <w:r>
        <w:t xml:space="preserve"> </w:t>
      </w:r>
      <w:r>
        <w:t xml:space="preserve">jest wiarygodnym świadkiem? Argumentowałbym, że żaden ze skrybów P</w:t>
      </w:r>
      <w:r>
        <w:rPr>
          <w:vertAlign w:val="superscript"/>
        </w:rPr>
        <w:t xml:space="preserve">66</w:t>
      </w:r>
      <w:r>
        <w:t xml:space="preserve"> </w:t>
      </w:r>
      <w:r>
        <w:t xml:space="preserve">i P</w:t>
      </w:r>
      <w:r>
        <w:rPr>
          <w:vertAlign w:val="superscript"/>
        </w:rPr>
        <w:t xml:space="preserve">75</w:t>
      </w:r>
      <w:r>
        <w:t xml:space="preserve"> </w:t>
      </w:r>
      <w:r>
        <w:t xml:space="preserve">nie znał greki, czy nie powinniśmy powiedzieć, że jako świadkowie byli upośledzeni?</w:t>
      </w:r>
      <w:r>
        <w:rPr>
          <w:rStyle w:val="FootnoteReference"/>
        </w:rPr>
        <w:footnoteReference w:id="548"/>
      </w:r>
    </w:p>
    <w:p>
      <w:pPr>
        <w:pStyle w:val="BodyText"/>
      </w:pPr>
      <w:r>
        <w:t xml:space="preserve">P</w:t>
      </w:r>
      <w:r>
        <w:rPr>
          <w:vertAlign w:val="superscript"/>
        </w:rPr>
        <w:t xml:space="preserve">75</w:t>
      </w:r>
      <w:r>
        <w:t xml:space="preserve"> </w:t>
      </w:r>
      <w:r>
        <w:t xml:space="preserve">pod względem daty umieszcza się blisko P</w:t>
      </w:r>
      <w:r>
        <w:rPr>
          <w:vertAlign w:val="superscript"/>
        </w:rPr>
        <w:t xml:space="preserve">66</w:t>
      </w:r>
      <w:r>
        <w:t xml:space="preserve">. Chociaż nie jest tak zły jak P</w:t>
      </w:r>
      <w:r>
        <w:rPr>
          <w:vertAlign w:val="superscript"/>
        </w:rPr>
        <w:t xml:space="preserve">66</w:t>
      </w:r>
      <w:r>
        <w:t xml:space="preserve">, trudno uznać go za dobrą kopię. Colwell znalazł w P</w:t>
      </w:r>
      <w:r>
        <w:rPr>
          <w:vertAlign w:val="superscript"/>
        </w:rPr>
        <w:t xml:space="preserve">75</w:t>
      </w:r>
      <w:r>
        <w:t xml:space="preserve"> </w:t>
      </w:r>
      <w:r>
        <w:t xml:space="preserve">około 145 itacyzmów oraz 257 innych odczytów singularnych, z których 25% jest bezsensownych.</w:t>
      </w:r>
      <w:r>
        <w:rPr>
          <w:rStyle w:val="FootnoteReference"/>
        </w:rPr>
        <w:footnoteReference w:id="549"/>
      </w:r>
      <w:r>
        <w:t xml:space="preserve"> </w:t>
      </w:r>
      <w:r>
        <w:t xml:space="preserve">Chociaż Colwell przypisuje skrybie P</w:t>
      </w:r>
      <w:r>
        <w:rPr>
          <w:vertAlign w:val="superscript"/>
        </w:rPr>
        <w:t xml:space="preserve">75</w:t>
      </w:r>
      <w:r>
        <w:t xml:space="preserve"> </w:t>
      </w:r>
      <w:r>
        <w:t xml:space="preserve">zasługę podjęcia próby sporządzenia dobrej kopii, P</w:t>
      </w:r>
      <w:r>
        <w:rPr>
          <w:vertAlign w:val="superscript"/>
        </w:rPr>
        <w:t xml:space="preserve">75</w:t>
      </w:r>
      <w:r>
        <w:t xml:space="preserve"> </w:t>
      </w:r>
      <w:r>
        <w:t xml:space="preserve">wygląda dobrze tylko w porównaniu z P</w:t>
      </w:r>
      <w:r>
        <w:rPr>
          <w:vertAlign w:val="superscript"/>
        </w:rPr>
        <w:t xml:space="preserve">66</w:t>
      </w:r>
      <w:r>
        <w:t xml:space="preserve">. (Gdyby poproszono cię o ręczne przepisanie Ewangelii Jana, czy popełniłbyś ponad 400 błędów? Spróbuj i zobacz!). Należy pamiętać, że liczby podane przez Colwella dotyczą wyłącznie błędów będących wyłączną własnością poszczególnych manuskryptów. Bez wątpienia zawierają one wiele innych błędów, które przypadkiem znajdują się również w jakimś innym świadku lub świadkach. Innymi słowy, są w rzeczywistości jeszcze gorsze, niż wskazują liczby Colwella.</w:t>
      </w:r>
    </w:p>
    <w:p>
      <w:pPr>
        <w:pStyle w:val="BodyText"/>
      </w:pPr>
      <w:r>
        <w:t xml:space="preserve">Następnie rozważymy P</w:t>
      </w:r>
      <w:r>
        <w:rPr>
          <w:vertAlign w:val="superscript"/>
        </w:rPr>
        <w:t xml:space="preserve">45</w:t>
      </w:r>
      <w:r>
        <w:t xml:space="preserve">, choć jest datowany nieco później, ponieważ stanowi trzeciego członka badania Colwella. Znalazł w P</w:t>
      </w:r>
      <w:r>
        <w:rPr>
          <w:vertAlign w:val="superscript"/>
        </w:rPr>
        <w:t xml:space="preserve">45</w:t>
      </w:r>
      <w:r>
        <w:t xml:space="preserve"> </w:t>
      </w:r>
      <w:r>
        <w:t xml:space="preserve">około 90 itacyzmów oraz 275 innych odczytów singularnych, z których 10% jest bezsensownych (</w:t>
      </w:r>
      <w:r>
        <w:rPr>
          <w:iCs/>
          <w:i/>
        </w:rPr>
        <w:t xml:space="preserve">tamże</w:t>
      </w:r>
      <w:r>
        <w:t xml:space="preserve">). P</w:t>
      </w:r>
      <w:r>
        <w:rPr>
          <w:vertAlign w:val="superscript"/>
        </w:rPr>
        <w:t xml:space="preserve">45</w:t>
      </w:r>
      <w:r>
        <w:t xml:space="preserve"> </w:t>
      </w:r>
      <w:r>
        <w:t xml:space="preserve">jest jednak krótszy od P</w:t>
      </w:r>
      <w:r>
        <w:rPr>
          <w:vertAlign w:val="superscript"/>
        </w:rPr>
        <w:t xml:space="preserve">66</w:t>
      </w:r>
      <w:r>
        <w:t xml:space="preserve"> </w:t>
      </w:r>
      <w:r>
        <w:t xml:space="preserve">(P</w:t>
      </w:r>
      <w:r>
        <w:rPr>
          <w:vertAlign w:val="superscript"/>
        </w:rPr>
        <w:t xml:space="preserve">75</w:t>
      </w:r>
      <w:r>
        <w:t xml:space="preserve"> </w:t>
      </w:r>
      <w:r>
        <w:t xml:space="preserve">jest dłuższy), dlatego w ujęciu porównawczym nie jest o tyle lepszy, o ile liczby mogłyby sugerować na pierwszy rzut oka. Colwell komentuje P</w:t>
      </w:r>
      <w:r>
        <w:rPr>
          <w:vertAlign w:val="superscript"/>
        </w:rPr>
        <w:t xml:space="preserve">45</w:t>
      </w:r>
      <w:r>
        <w:t xml:space="preserve"> </w:t>
      </w:r>
      <w:r>
        <w:t xml:space="preserve">następująco:</w:t>
      </w:r>
    </w:p>
    <w:p>
      <w:pPr>
        <w:pStyle w:val="BlockText"/>
      </w:pPr>
      <w:r>
        <w:t xml:space="preserve">Innym sposobem powiedzenia tego jest to, że gdy skryba P</w:t>
      </w:r>
      <w:r>
        <w:rPr>
          <w:vertAlign w:val="superscript"/>
        </w:rPr>
        <w:t xml:space="preserve">45</w:t>
      </w:r>
      <w:r>
        <w:t xml:space="preserve"> </w:t>
      </w:r>
      <w:r>
        <w:t xml:space="preserve">tworzy odczyt singularny, niemal zawsze ma on sens, gdy skrybowie P</w:t>
      </w:r>
      <w:r>
        <w:rPr>
          <w:vertAlign w:val="superscript"/>
        </w:rPr>
        <w:t xml:space="preserve">66</w:t>
      </w:r>
      <w:r>
        <w:t xml:space="preserve"> </w:t>
      </w:r>
      <w:r>
        <w:t xml:space="preserve">i P</w:t>
      </w:r>
      <w:r>
        <w:rPr>
          <w:vertAlign w:val="superscript"/>
        </w:rPr>
        <w:t xml:space="preserve">75</w:t>
      </w:r>
      <w:r>
        <w:t xml:space="preserve"> </w:t>
      </w:r>
      <w:r>
        <w:t xml:space="preserve">tworzą odczyty singularne, często nie mają one sensu i są oczywistymi błędami. P</w:t>
      </w:r>
      <w:r>
        <w:rPr>
          <w:vertAlign w:val="superscript"/>
        </w:rPr>
        <w:t xml:space="preserve">45</w:t>
      </w:r>
      <w:r>
        <w:t xml:space="preserve"> </w:t>
      </w:r>
      <w:r>
        <w:t xml:space="preserve">trzeba zatem przypisać znacznie większe zagęszczenie celowych zmian niż pozostałym dwóm (</w:t>
      </w:r>
      <w:r>
        <w:rPr>
          <w:iCs/>
          <w:i/>
        </w:rPr>
        <w:t xml:space="preserve">tamże</w:t>
      </w:r>
      <w:r>
        <w:t xml:space="preserve">, s. 376).</w:t>
      </w:r>
    </w:p>
    <w:p>
      <w:pPr>
        <w:pStyle w:val="BlockText"/>
      </w:pPr>
      <w:r>
        <w:t xml:space="preserve">Jako redaktor skryba P</w:t>
      </w:r>
      <w:r>
        <w:rPr>
          <w:vertAlign w:val="superscript"/>
        </w:rPr>
        <w:t xml:space="preserve">45</w:t>
      </w:r>
      <w:r>
        <w:t xml:space="preserve"> </w:t>
      </w:r>
      <w:r>
        <w:t xml:space="preserve">posługiwał się ostrą siekierą. Najbardziej uderzającym aspektem jego stylu jest zwięzłość. Zbędne słowo zostaje usunięte. Pomija przysłówki, przymiotniki, rzeczowniki, imiesłowy, czasowniki, zaimki osobowe — bez jakiegokolwiek równoważącego zwyczaju dodawania. Często pomija wyrażenia i zdania. Preferuje słowo proste zamiast złożonego. Krótko mówiąc, sprzyja zwięzłości. Skraca tekst w co najmniej pięćdziesięciu miejscach w samych odczytach singularnych. Nie usuwa jednak sylab ani liter. Jego skrócony tekst jest czytelny (</w:t>
      </w:r>
      <w:r>
        <w:rPr>
          <w:iCs/>
          <w:i/>
        </w:rPr>
        <w:t xml:space="preserve">tamże</w:t>
      </w:r>
      <w:r>
        <w:t xml:space="preserve">, s. 383).</w:t>
      </w:r>
    </w:p>
    <w:p>
      <w:pPr>
        <w:pStyle w:val="FirstParagraph"/>
      </w:pPr>
      <w:r>
        <w:t xml:space="preserve">Niektórzy uważają P</w:t>
      </w:r>
      <w:r>
        <w:rPr>
          <w:vertAlign w:val="superscript"/>
        </w:rPr>
        <w:t xml:space="preserve">46</w:t>
      </w:r>
      <w:r>
        <w:t xml:space="preserve"> </w:t>
      </w:r>
      <w:r>
        <w:t xml:space="preserve">za równie wczesny jak P</w:t>
      </w:r>
      <w:r>
        <w:rPr>
          <w:vertAlign w:val="superscript"/>
        </w:rPr>
        <w:t xml:space="preserve">66</w:t>
      </w:r>
      <w:r>
        <w:t xml:space="preserve">. Badanie tego manuskryptu dokonane przez Zuntza jest dobrze znane. „Pomimo schludnego wyglądu (został napisany przez zawodowego skrybę i poprawiony — lecz bardzo niedoskonale — przez eksperta) P</w:t>
      </w:r>
      <w:r>
        <w:rPr>
          <w:vertAlign w:val="superscript"/>
        </w:rPr>
        <w:t xml:space="preserve">46</w:t>
      </w:r>
      <w:r>
        <w:t xml:space="preserve"> </w:t>
      </w:r>
      <w:r>
        <w:t xml:space="preserve">w żadnym razie nie jest dobrym manuskryptem. Skryba popełnił bardzo wiele gaf… Odnoszę wrażenie, że miewał napady wyczerpania”.</w:t>
      </w:r>
      <w:r>
        <w:rPr>
          <w:rStyle w:val="FootnoteReference"/>
        </w:rPr>
        <w:footnoteReference w:id="550"/>
      </w:r>
    </w:p>
    <w:p>
      <w:pPr>
        <w:pStyle w:val="BodyText"/>
      </w:pPr>
      <w:r>
        <w:t xml:space="preserve">Należy mimochodem zauważyć, że Kodeks B także jest znany ze „schludnego wyglądu”, nie należy jednak zakładać, że dlatego musi być dobrą kopią. Nawet Hort przyznał, że skryba B „w żadnym razie nie osiągnął wysokiego poziomu dokładności” (Westcott i Hort, s. 233). Ze wszystkich stron przyznaje się, że Alef jest pod każdym względem gorszy od B. Zuntz mówi dalej: „P</w:t>
      </w:r>
      <w:r>
        <w:rPr>
          <w:vertAlign w:val="superscript"/>
        </w:rPr>
        <w:t xml:space="preserve">46</w:t>
      </w:r>
      <w:r>
        <w:t xml:space="preserve"> </w:t>
      </w:r>
      <w:r>
        <w:t xml:space="preserve">obfituje w gafy skryby, pominięcia, a także dodatki” (</w:t>
      </w:r>
      <w:r>
        <w:rPr>
          <w:iCs/>
          <w:i/>
        </w:rPr>
        <w:t xml:space="preserve">Op. cit.</w:t>
      </w:r>
      <w:r>
        <w:t xml:space="preserve">, s. 212).</w:t>
      </w:r>
    </w:p>
    <w:p>
      <w:pPr>
        <w:pStyle w:val="BlockText"/>
      </w:pPr>
      <w:r>
        <w:t xml:space="preserve">…skryba, który napisał papirus, wykonał swoją pracę bardzo źle. Spośród jego niezliczonych uchybień poprawiono tylko część (mniej niż jedno na dziesięć), a nawet ta część — jak często zdarza się w manuskryptach — staje się coraz mniejsza ku końcowi księgi. Całe strony pozostawiono bez jakiejkolwiek poprawki, choć bardzo jej potrzebowały (</w:t>
      </w:r>
      <w:r>
        <w:rPr>
          <w:iCs/>
          <w:i/>
        </w:rPr>
        <w:t xml:space="preserve">tamże</w:t>
      </w:r>
      <w:r>
        <w:t xml:space="preserve">, s. 252).</w:t>
      </w:r>
    </w:p>
    <w:p>
      <w:pPr>
        <w:pStyle w:val="FirstParagraph"/>
      </w:pPr>
      <w:r>
        <w:t xml:space="preserve">Przypomnijmy z badania Colwella, że skryba P</w:t>
      </w:r>
      <w:r>
        <w:rPr>
          <w:vertAlign w:val="superscript"/>
        </w:rPr>
        <w:t xml:space="preserve">45</w:t>
      </w:r>
      <w:r>
        <w:t xml:space="preserve"> </w:t>
      </w:r>
      <w:r>
        <w:t xml:space="preserve">najwyraźniej dokonał w tekście licznych</w:t>
      </w:r>
      <w:r>
        <w:t xml:space="preserve"> </w:t>
      </w:r>
      <w:r>
        <w:rPr>
          <w:bCs/>
          <w:b/>
        </w:rPr>
        <w:t xml:space="preserve">celowych</w:t>
      </w:r>
      <w:r>
        <w:t xml:space="preserve"> </w:t>
      </w:r>
      <w:r>
        <w:t xml:space="preserve">zmian — czy nie powinniśmy powiedzieć, że był upośledzony moralnie? W każdym razie wielokrotnie udzielał nam fałszywych informacji. Czy nadal mamy mu ufać? Podobnie wykazano, że między Alefem i B występuje ponad 3000 błędów tylko w Ewangeliach. Alef jest wyraźnie gorszy od B, lecz prawdopodobnie nie dwa razy gorszy — co najmniej 1000 spośród tych błędów należy do B. Czy Alef i B odpowiadają twojemu wyobrażeniu dobrego świadka?</w:t>
      </w:r>
      <w:r>
        <w:rPr>
          <w:rStyle w:val="FootnoteReference"/>
        </w:rPr>
        <w:footnoteReference w:id="551"/>
      </w:r>
      <w:r>
        <w:t xml:space="preserve"> </w:t>
      </w:r>
      <w:r>
        <w:t xml:space="preserve">Ponownie mówię: najstarsze znaczy najgorsze!</w:t>
      </w:r>
    </w:p>
    <w:p>
      <w:pPr>
        <w:pStyle w:val="BodyText"/>
      </w:pPr>
      <w:r>
        <w:t xml:space="preserve">Naprawdę musimy zrozumieć, że wiek nie gwarantuje niczego w kwestii jakości. Każdego świadka trzeba oceniać osobno, zupełnie niezależnie od wieku. Co więcej, i być może bardziej istotne, musimy wiedzieć, jak dany manuskrypt odnosi się do innych. Gdy manuskrypt zostanie empirycznie rozpoznany jako należący do rodziny (linii przekazu), nie jest już niezależnym świadkiem oryginału — jest świadkiem archetypu rodziny. Jak trafnie ujął to Colwell: „Kluczowe pytanie zarówno w odniesieniu do wczesnych, jak i późnych świadków nadal brzmi: «GDZIE PASUJĄ DO WIARYGODNEGO ODTWORZENIA HISTORII TRADYCJI MANUSKRYPTÓW?»”.</w:t>
      </w:r>
      <w:r>
        <w:rPr>
          <w:rStyle w:val="FootnoteReference"/>
        </w:rPr>
        <w:footnoteReference w:id="552"/>
      </w:r>
    </w:p>
    <w:p>
      <w:pPr>
        <w:pStyle w:val="BodyText"/>
      </w:pPr>
      <w:r>
        <w:t xml:space="preserve">Niestety teoria Horta, sprzymierzona z fikcją, że „najstarsze znaczy najlepsze”, wywarła na dyscyplinę działanie usypiające, wskutek czego stosunkowo niewiele manuskryptów skolacjonowano w pełni, a w konsekwencji niewiele rodzin zdefiniowano empirycznie. Ogólne wyobrażenie oparte na wyrywkowym sprawdzaniu jest niewystarczające, występuje zbyt wiele mieszania.</w:t>
      </w:r>
    </w:p>
    <w:bookmarkEnd w:id="553"/>
    <w:bookmarkStart w:id="558" w:name="przekazywanie-tekstu"/>
    <w:p>
      <w:pPr>
        <w:pStyle w:val="Heading3"/>
      </w:pPr>
      <w:r>
        <w:t xml:space="preserve">Przekazywanie Tekstu</w:t>
      </w:r>
    </w:p>
    <w:p>
      <w:pPr>
        <w:pStyle w:val="FirstParagraph"/>
      </w:pPr>
      <w:r>
        <w:t xml:space="preserve">Wracając do 1700 zachowanych manuskryptów dla dowolnego miejsca w Ewangeliach, powinno być oczywiste, że wariant w jednym manuskrypcie, niezależnie od jego wieku, jest nieistotny — w tym miejscu jest on fałszywym świadkiem archetypu swojej rodziny, niczym więcej. Jeśli kilka manuskryptów dzieli wariant, lecz nie należy do tej samej rodziny, popełniły błąd niezależnie i są fałszywymi świadkami archetypów swoich rodzin — nie ma zależności. Tam, gdzie grupa manuskryptów wyraźnie poprawnie odzwierciedla archetypalną formę swojej rodziny, mamy do czynienia z rodziną (nie z pojedynczymi manuskryptami). Rodziny trzeba oceniać tak samo, jak oceniamy poszczególne manuskrypty.</w:t>
      </w:r>
      <w:r>
        <w:t xml:space="preserve"> </w:t>
      </w:r>
      <w:r>
        <w:rPr>
          <w:u w:val="single"/>
        </w:rPr>
        <w:t xml:space="preserve">Można przypisać rodzinie współczynnik wiarygodności oparty na obiektywnych kryteriach. Oczywiście jednak każda rodzina musi najpierw zostać empirycznie rozpoznana</w:t>
      </w:r>
      <w:r>
        <w:t xml:space="preserve"> </w:t>
      </w:r>
      <w:r>
        <w:t xml:space="preserve">i zdefiniowana, a takie rozpoznanie zależy od pełnego kolacjonowania manuskryptów.</w:t>
      </w:r>
    </w:p>
    <w:p>
      <w:pPr>
        <w:pStyle w:val="BodyText"/>
      </w:pPr>
      <w:r>
        <w:t xml:space="preserve">Chociaż dyscyplina ta (jak dotąd) zaniedbała odrobienia swojej pracy domowej (kolacjonowania manuskryptów), ogromna większość manuskryptów nadal powinna być przekonująca. Na przykład jeśli wariant ma 99% poświadczenia świadków pierwszorzędnych, oznacza to, że całkowicie dominuje w każdym „drzewie” genealogicznym, ponieważ zdominował globalny przekaz tekstu. Seria</w:t>
      </w:r>
      <w:r>
        <w:t xml:space="preserve"> </w:t>
      </w:r>
      <w:r>
        <w:rPr>
          <w:iCs/>
          <w:i/>
        </w:rPr>
        <w:t xml:space="preserve">Text und Textwert</w:t>
      </w:r>
      <w:r>
        <w:t xml:space="preserve"> </w:t>
      </w:r>
      <w:r>
        <w:t xml:space="preserve">INTF, praktycy metody profilu Claremont, H.C. Hoskier, von Soden, Burgon, Scrivener — krótko mówiąc, każdy, kto skolacjonował jakąkolwiek liczbę manuskryptów — wszyscy wykazali, że bizantyjska masa manuskryptów w żadnym razie nie jest monolityczna. Istnieje dowolna liczba strumieni i strumyczków. (Przypomnijmy, że Wisse postulował 34 grupy w masie bizantyjskiej, z 70 podgrupami). Jest jasne, że nie było „upychania urny wyborczej”, nie było „papieskiego” dekretu, nie było recenzji narzuconej przez władzę kościelną. Krótko mówiąc, przekaz był przeważająco normalny.</w:t>
      </w:r>
    </w:p>
    <w:p>
      <w:pPr>
        <w:pStyle w:val="BlockText"/>
      </w:pPr>
      <w:r>
        <w:t xml:space="preserve">W normalnych okolicznościach im dany tekst jest starszy od swoich rywali, tym większe są jego szanse na przetrwanie w wielości albo większości tekstów zachowanych w dowolnym późniejszym okresie. Jednak</w:t>
      </w:r>
      <w:r>
        <w:t xml:space="preserve"> </w:t>
      </w:r>
      <w:r>
        <w:rPr>
          <w:bCs/>
          <w:b/>
        </w:rPr>
        <w:t xml:space="preserve">najstarszym</w:t>
      </w:r>
      <w:r>
        <w:t xml:space="preserve"> </w:t>
      </w:r>
      <w:r>
        <w:t xml:space="preserve">tekstem ze wszystkich jest Autograf. Należy więc przyjąć jako rzecz oczywistą, że jeśli nie doszło do jakiegoś radykalnego zaburzenia w historii przekazu, większość tekstów będzie znacznie częściej poprawnie reprezentować charakter oryginału niż niewielka mniejszość tekstów. Jest to szczególnie prawdziwe, gdy stosunek wynosi przytłaczające 8:2. W jakichkolwiek rozsądnie normalnych warunkach przekazu byłoby… zupełnie niemożliwe, aby późniejsza forma tekstu zapewniła sobie tak jednostronną przewagę zachowanych świadków.</w:t>
      </w:r>
      <w:r>
        <w:rPr>
          <w:rStyle w:val="FootnoteReference"/>
        </w:rPr>
        <w:footnoteReference w:id="554"/>
      </w:r>
    </w:p>
    <w:p>
      <w:pPr>
        <w:pStyle w:val="FirstParagraph"/>
      </w:pPr>
      <w:r>
        <w:t xml:space="preserve">Obstaję przy tym, że przekaz Tekstu Nowego Testamentu rzeczywiście był przeważająco normalny, na podstawie dowodów historycznych. Część I powyżej wymienia i omawia te dowody, lecz oto szkic w miniaturze:</w:t>
      </w:r>
    </w:p>
    <w:p>
      <w:pPr>
        <w:numPr>
          <w:ilvl w:val="0"/>
          <w:numId w:val="1115"/>
        </w:numPr>
      </w:pPr>
      <w:r>
        <w:t xml:space="preserve">Autorzy ksiąg Nowego Testamentu wierzyli, że piszą Pismo.</w:t>
      </w:r>
    </w:p>
    <w:p>
      <w:pPr>
        <w:numPr>
          <w:ilvl w:val="0"/>
          <w:numId w:val="1115"/>
        </w:numPr>
      </w:pPr>
      <w:r>
        <w:t xml:space="preserve">Apostołowie uznawali, że ich współpracownicy piszą Pismo.</w:t>
      </w:r>
    </w:p>
    <w:p>
      <w:pPr>
        <w:numPr>
          <w:ilvl w:val="0"/>
          <w:numId w:val="1115"/>
        </w:numPr>
      </w:pPr>
      <w:r>
        <w:t xml:space="preserve">„Ojcowie Kościoła” z I i II wieku traktowali pisma Nowego Testamentu jako Pismo.</w:t>
      </w:r>
    </w:p>
    <w:p>
      <w:pPr>
        <w:numPr>
          <w:ilvl w:val="0"/>
          <w:numId w:val="1115"/>
        </w:numPr>
      </w:pPr>
      <w:r>
        <w:t xml:space="preserve">Pisma Nowego Testamentu od bardzo wczesnego okresu były używane przez zgromadzenia chrześcijańskie razem ze Starym Testamentem.</w:t>
      </w:r>
    </w:p>
    <w:p>
      <w:pPr>
        <w:numPr>
          <w:ilvl w:val="0"/>
          <w:numId w:val="1115"/>
        </w:numPr>
      </w:pPr>
      <w:r>
        <w:t xml:space="preserve">Pierwsi chrześcijanie troszczyli się o czystość Tekstu Nowego Testamentu.</w:t>
      </w:r>
    </w:p>
    <w:p>
      <w:pPr>
        <w:numPr>
          <w:ilvl w:val="0"/>
          <w:numId w:val="1115"/>
        </w:numPr>
      </w:pPr>
      <w:r>
        <w:t xml:space="preserve">Które regiony miały Autografy na początku? Obszar Morza Egejskiego (18–24), Rzym (2–7), Palestyna (0–3), Egipt (0).</w:t>
      </w:r>
    </w:p>
    <w:p>
      <w:pPr>
        <w:numPr>
          <w:ilvl w:val="0"/>
          <w:numId w:val="1115"/>
        </w:numPr>
      </w:pPr>
      <w:r>
        <w:t xml:space="preserve">Gdzie Kościół był najsilniejszy w II i III wieku? Azja Mniejsza i obszar Morza Egejskiego.</w:t>
      </w:r>
    </w:p>
    <w:p>
      <w:pPr>
        <w:numPr>
          <w:ilvl w:val="0"/>
          <w:numId w:val="1115"/>
        </w:numPr>
      </w:pPr>
      <w:r>
        <w:t xml:space="preserve">Gdzie najwięcej i najdłużej używano greki? Obszar Morza Egejskiego i Azja Mniejsza.</w:t>
      </w:r>
    </w:p>
    <w:p>
      <w:pPr>
        <w:numPr>
          <w:ilvl w:val="0"/>
          <w:numId w:val="1115"/>
        </w:numPr>
      </w:pPr>
      <w:r>
        <w:t xml:space="preserve">Jakie są konsekwencje kampanii Dioklecjana i ruchu donatystycznego?</w:t>
      </w:r>
    </w:p>
    <w:p>
      <w:pPr>
        <w:pStyle w:val="FirstParagraph"/>
      </w:pPr>
      <w:r>
        <w:t xml:space="preserve">Twierdzę, że dowody jasno wskazują, iż przekaz rzeczywiście był przeważająco normalny.</w:t>
      </w:r>
    </w:p>
    <w:p>
      <w:pPr>
        <w:pStyle w:val="BodyText"/>
      </w:pPr>
      <w:r>
        <w:t xml:space="preserve">Jakiego zatem obrazu możemy się spodziewać w zachowanych świadkach, jeśli rozumiemy, że historia przekazu Tekstu Nowego Testamentu była przeważająco normalna? Możemy spodziewać się szerokiego spektrum kopii, wykazujących drobne różnice wynikające z błędów kopiowania, lecz wszystkie odzwierciedlające jedną wspólną tradycję. Jednoczesne istnienie nienormalnego przekazu w najwcześniejszych stuleciach skutkowałoby rozproszeniem tu i ówdzie kopii poza tym głównym nurtem. Obraz wyglądałby mniej więcej jak na poniższym rysunku.</w:t>
      </w:r>
      <w:r>
        <w:rPr>
          <w:rStyle w:val="FootnoteReference"/>
        </w:rPr>
        <w:footnoteReference w:id="555"/>
      </w:r>
    </w:p>
    <w:p>
      <w:pPr>
        <w:pStyle w:val="CaptionedFigure"/>
      </w:pPr>
      <w:r>
        <w:drawing>
          <wp:inline>
            <wp:extent cx="5334000" cy="3390972"/>
            <wp:effectExtent b="0" l="0" r="0" t="0"/>
            <wp:docPr descr="Rysunek A" title="" id="556" name="Picture"/>
            <a:graphic>
              <a:graphicData uri="http://schemas.openxmlformats.org/drawingml/2006/picture">
                <pic:pic>
                  <pic:nvPicPr>
                    <pic:cNvPr descr="images/Rysunek_A.jpg" id="55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p>
    <w:p>
      <w:pPr>
        <w:pStyle w:val="ImageCaption"/>
      </w:pPr>
      <w:r>
        <w:t xml:space="preserve">Rysunek A</w:t>
      </w:r>
    </w:p>
    <w:p>
      <w:pPr>
        <w:pStyle w:val="BodyText"/>
      </w:pPr>
      <w:r>
        <w:t xml:space="preserve">Manuskrypty w obrębie stożków reprezentują „normalny” przekaz. Po lewej umieściłem kilku możliwych przedstawicieli tego, co moglibyśmy nazwać „nieodpowiedzialnym” przekazem tekstu — kopiści sporządzali kiepskie kopie z powodu niekompetencji albo niestaranności, lecz nie dokonywali celowych zmian. Po prawej umieściłem kilku możliwych przedstawicieli tego, co moglibyśmy nazwać „sfabrykowanym” przekazem tekstu — skrybowie dokonywali celowych zmian w tekście (z dowolnych powodów), wytwarzając sfabrykowane kopie, a nie prawdziwe kopie. Dobrze wiem, że manuskrypty umieszczone na powyższym rysunku zawierają zarówno błędy wynikające z niestaranności, jak i celowe, w różnych proporcjach (7Q5, 4, 8 oraz P</w:t>
      </w:r>
      <w:r>
        <w:rPr>
          <w:vertAlign w:val="superscript"/>
        </w:rPr>
        <w:t xml:space="preserve">52,64,67</w:t>
      </w:r>
      <w:r>
        <w:t xml:space="preserve"> </w:t>
      </w:r>
      <w:r>
        <w:t xml:space="preserve">są zbyt fragmentaryczne, aby pozwolić na zaklasyfikowanie ich błędów jako celowych, a nie wynikających z niestaranności), dlatego każda klasyfikacja, jakiej tutaj próbuję, musi być względna i daje zniekształcony obraz. Mimo to ośmielam się obstawać przy tym, że niewiedza, niestaranność, wścibstwo i złośliwość pozostawiły ślad na przekazie tekstu Nowego Testamentu, a w każdej próbie odtworzenia historii tego przekazu musimy wziąć je pod uwagę.</w:t>
      </w:r>
    </w:p>
    <w:p>
      <w:pPr>
        <w:pStyle w:val="BodyText"/>
      </w:pPr>
      <w:r>
        <w:t xml:space="preserve">Jak sugeruje rysunek, argumentuję, że kampania Dioklecjana wywarła oczyszczający wpływ na strumień przekazu. Aby znosić tortury zamiast oddać swój manuskrypt lub manuskrypty, trzeba było być prawdziwie zaangażowanym wierzącym, osobą, która pragnęłaby dobrych kopii Pism. Prawdopodobnie więc w większości zniszczono bardziej skażone manuskrypty, pozostawiając czystsze manuskrypty, by ponownie napełniły ziemię (proszę zobaczyć część „Imperial repression of the N.T.” w rozdziale 6 mojego</w:t>
      </w:r>
      <w:r>
        <w:t xml:space="preserve"> </w:t>
      </w:r>
      <w:r>
        <w:rPr>
          <w:iCs/>
          <w:i/>
        </w:rPr>
        <w:t xml:space="preserve">Identity IV</w:t>
      </w:r>
      <w:r>
        <w:t xml:space="preserve">). Strzałka wewnątrz stożków reprezentuje Rodzinę 35 (zob. Część II).</w:t>
      </w:r>
    </w:p>
    <w:p>
      <w:pPr>
        <w:pStyle w:val="BodyText"/>
      </w:pPr>
      <w:r>
        <w:t xml:space="preserve">Nasuwa się jeszcze jedno rozważanie — jeśli, jak podają, kampania Dioklecjana była najbardziej zaciekła i skuteczna na obszarze bizantyjskim, przewaga liczebna „bizantyjskiego” typu tekstu nad „zachodnim” i „aleksandryjskim” zostałaby zmniejszona, dając tym ostatnim szansę wysunąć się naprzód. Tak się jednak nie stało. Kościół w większości odmówił rozpowszechniania tych form tekstu greckiego. Kodeksy B, ℵ, D i tak dalej nie mają „dzieci”. Skoro na podstawie dowodów z manuskryptów nie można przedstawić formy archetypalnej ani dla tak zwanego „zachodniego”, ani „aleksandryjskiego” typu tekstu, czy w ogóle istnieją?</w:t>
      </w:r>
    </w:p>
    <w:bookmarkEnd w:id="558"/>
    <w:bookmarkStart w:id="566" w:name="sedno-zaginionego-oryginału-1"/>
    <w:p>
      <w:pPr>
        <w:pStyle w:val="Heading3"/>
      </w:pPr>
      <w:r>
        <w:t xml:space="preserve">„Sedno” „zaginionego” Oryginału</w:t>
      </w:r>
    </w:p>
    <w:p>
      <w:pPr>
        <w:pStyle w:val="FirstParagraph"/>
      </w:pPr>
      <w:r>
        <w:t xml:space="preserve">Wracając do „sedna”, czy oryginalne sformułowania zaginęły? Odpowiadam stanowczo: „</w:t>
      </w:r>
      <w:r>
        <w:rPr>
          <w:bCs/>
          <w:b/>
        </w:rPr>
        <w:t xml:space="preserve">Nie</w:t>
      </w:r>
      <w:r>
        <w:t xml:space="preserve">”. Z pewnością istnieją w masie bizantyjskiej, lecz co robimy, jeśli w obrębie tej masy występuje pomieszanie? (Obstawanie przy tym, że musi to być jeden z istniejących wariantów, jest, jak przypuszczam, lepsze niż nic, lecz przynajmniej ja chcę rozpoznać oryginalne sformułowania). W moim rozumieniu za każdym razem, gdy zgadza się co najmniej 90% świadków pierwszorzędnych, nie może istnieć rozsądna wątpliwość,</w:t>
      </w:r>
      <w:r>
        <w:t xml:space="preserve"> </w:t>
      </w:r>
      <w:r>
        <w:rPr>
          <w:u w:val="single"/>
        </w:rPr>
        <w:t xml:space="preserve">statystycznie niemożliwe jest, by nieoryginalny odczyt osiągnął tak wysoki wynik</w:t>
      </w:r>
      <w:r>
        <w:t xml:space="preserve">.</w:t>
      </w:r>
      <w:r>
        <w:rPr>
          <w:rStyle w:val="FootnoteReference"/>
        </w:rPr>
        <w:footnoteReference w:id="559"/>
      </w:r>
      <w:r>
        <w:t xml:space="preserve"> </w:t>
      </w:r>
      <w:r>
        <w:t xml:space="preserve">Za każdym razem, gdy odczyt zdobywa poświadczenie wynoszące co najmniej 80%, jego prawdopodobieństwo jest bardzo wysokie. Jednak w przypadku być może 2% słów Nowego Testamentu poświadczenie spada poniżej 80% (nieproporcjonalnie wiele z nich znajduje się w Objawieniu Jana), w tym miejscu musimy więc przenieść uwagę z manuskryptów na rodziny.</w:t>
      </w:r>
      <w:r>
        <w:rPr>
          <w:rStyle w:val="FootnoteReference"/>
        </w:rPr>
        <w:footnoteReference w:id="560"/>
      </w:r>
      <w:r>
        <w:t xml:space="preserve"> </w:t>
      </w:r>
      <w:r>
        <w:t xml:space="preserve">Wspomniałem już o przypisaniu każdej rodzinie współczynnika wiarygodności opartego na obiektywnych kryteriach i trzeba tego dokonać. Niestety w tej dziedzinie czeka do odrobienia mnóstwo „pracy domowej” (o ile mi wiadomo, tylko Rodzina 35 ma empirycznie zdefiniowany profil),</w:t>
      </w:r>
      <w:r>
        <w:rPr>
          <w:rStyle w:val="FootnoteReference"/>
        </w:rPr>
        <w:footnoteReference w:id="561"/>
      </w:r>
      <w:r>
        <w:t xml:space="preserve"> </w:t>
      </w:r>
      <w:r>
        <w:t xml:space="preserve">wykonano jednak dostatecznie wiele pracy, aby pozwolić na pewne przybliżone wyobrażenia.</w:t>
      </w:r>
    </w:p>
    <w:p>
      <w:pPr>
        <w:pStyle w:val="BodyText"/>
      </w:pPr>
      <w:r>
        <w:t xml:space="preserve">Jesteśmy wdzięczni</w:t>
      </w:r>
      <w:r>
        <w:t xml:space="preserve"> </w:t>
      </w:r>
      <w:r>
        <w:rPr>
          <w:iCs/>
          <w:i/>
        </w:rPr>
        <w:t xml:space="preserve">Institut für Neutestamentliche Textforschung</w:t>
      </w:r>
      <w:r>
        <w:t xml:space="preserve"> </w:t>
      </w:r>
      <w:r>
        <w:t xml:space="preserve">za serię</w:t>
      </w:r>
      <w:r>
        <w:t xml:space="preserve"> </w:t>
      </w:r>
      <w:r>
        <w:rPr>
          <w:iCs/>
          <w:i/>
        </w:rPr>
        <w:t xml:space="preserve">Text und Textwert</w:t>
      </w:r>
      <w:r>
        <w:t xml:space="preserve">. Uważne spojrzenie na ich kolacjonowania wskazuje, że prawdopodobnie nigdzie nie istnieje</w:t>
      </w:r>
      <w:r>
        <w:t xml:space="preserve"> </w:t>
      </w:r>
      <w:r>
        <w:rPr>
          <w:bCs/>
          <w:b/>
        </w:rPr>
        <w:t xml:space="preserve">K</w:t>
      </w:r>
      <w:r>
        <w:rPr>
          <w:vertAlign w:val="superscript"/>
          <w:bCs/>
          <w:b/>
        </w:rPr>
        <w:t xml:space="preserve">x</w:t>
      </w:r>
      <w:r>
        <w:t xml:space="preserve"> </w:t>
      </w:r>
      <w:r>
        <w:t xml:space="preserve">(i przypomnijmy sobie Wissego). Weźmy na przykład tomy</w:t>
      </w:r>
      <w:r>
        <w:t xml:space="preserve"> </w:t>
      </w:r>
      <w:r>
        <w:rPr>
          <w:iCs/>
          <w:i/>
        </w:rPr>
        <w:t xml:space="preserve">TuT</w:t>
      </w:r>
      <w:r>
        <w:t xml:space="preserve"> </w:t>
      </w:r>
      <w:r>
        <w:t xml:space="preserve">dotyczące rozdziałów 1–10 Ewangelii Jana. Zbadano łącznie 1763 manuskrypty (dla 153 zestawów wariantów), a wyniki umieszczono w dwóch tomach. Strony 54–90 (tom 1) zawierają „Grupowania według stopni zgodności”, „częściej zgadzające się ze sobą niż z tekstem większościowym”. Użyto tylko jednego symbolu grupy,</w:t>
      </w:r>
      <w:r>
        <w:t xml:space="preserve"> </w:t>
      </w:r>
      <w:r>
        <w:rPr>
          <w:bCs/>
          <w:b/>
        </w:rPr>
        <w:t xml:space="preserve">K</w:t>
      </w:r>
      <w:r>
        <w:rPr>
          <w:vertAlign w:val="superscript"/>
          <w:bCs/>
          <w:b/>
        </w:rPr>
        <w:t xml:space="preserve">r</w:t>
      </w:r>
      <w:r>
        <w:t xml:space="preserve"> </w:t>
      </w:r>
      <w:r>
        <w:t xml:space="preserve">— pierwszy przedstawiciel rodziny, manuskrypt 18, stoi na czele grupy około 120 manuskryptów, lecz wszyscy późniejsi przedstawiciele mają tylko</w:t>
      </w:r>
      <w:r>
        <w:t xml:space="preserve"> </w:t>
      </w:r>
      <w:r>
        <w:rPr>
          <w:bCs/>
          <w:b/>
        </w:rPr>
        <w:t xml:space="preserve">K</w:t>
      </w:r>
      <w:r>
        <w:rPr>
          <w:vertAlign w:val="superscript"/>
          <w:bCs/>
          <w:b/>
        </w:rPr>
        <w:t xml:space="preserve">r</w:t>
      </w:r>
      <w:r>
        <w:t xml:space="preserve"> </w:t>
      </w:r>
      <w:r>
        <w:t xml:space="preserve">(którą nazywam</w:t>
      </w:r>
      <w:r>
        <w:t xml:space="preserve"> </w:t>
      </w:r>
      <w:r>
        <w:rPr>
          <w:bCs/>
          <w:b/>
        </w:rPr>
        <w:t xml:space="preserve">f</w:t>
      </w:r>
      <w:r>
        <w:rPr>
          <w:vertAlign w:val="superscript"/>
          <w:bCs/>
          <w:b/>
        </w:rPr>
        <w:t xml:space="preserve">35</w:t>
      </w:r>
      <w:r>
        <w:t xml:space="preserve">). Po</w:t>
      </w:r>
      <w:r>
        <w:t xml:space="preserve"> </w:t>
      </w:r>
      <w:r>
        <w:rPr>
          <w:bCs/>
          <w:b/>
        </w:rPr>
        <w:t xml:space="preserve">K</w:t>
      </w:r>
      <w:r>
        <w:rPr>
          <w:vertAlign w:val="superscript"/>
          <w:bCs/>
          <w:b/>
        </w:rPr>
        <w:t xml:space="preserve">r</w:t>
      </w:r>
      <w:r>
        <w:t xml:space="preserve"> </w:t>
      </w:r>
      <w:r>
        <w:t xml:space="preserve">następują 22 grupy zawierające od 52 do 25 manuskryptów, z których wszystkie oprócz czterech są w rzeczywistości</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to samo dotyczy pewnej liczby mniejszych grup, dlatego ich</w:t>
      </w:r>
      <w:r>
        <w:t xml:space="preserve"> </w:t>
      </w:r>
      <w:r>
        <w:rPr>
          <w:bCs/>
          <w:b/>
        </w:rPr>
        <w:t xml:space="preserve">K</w:t>
      </w:r>
      <w:r>
        <w:rPr>
          <w:vertAlign w:val="superscript"/>
          <w:bCs/>
          <w:b/>
        </w:rPr>
        <w:t xml:space="preserve">r</w:t>
      </w:r>
      <w:r>
        <w:t xml:space="preserve"> </w:t>
      </w:r>
      <w:r>
        <w:t xml:space="preserve">powinna prawdopodobnie liczyć ponad 200 (powiedziałbym, że Rodzina 35 w Ewangeliach ma ponad 250 przedstawicieli, lecz ich ranking opiera się tutaj tylko na 153 zestawach wariantów w połowie Ewangelii Jana).</w:t>
      </w:r>
    </w:p>
    <w:p>
      <w:pPr>
        <w:pStyle w:val="BodyText"/>
      </w:pPr>
      <w:r>
        <w:t xml:space="preserve">Rozważmy największą grupę poza</w:t>
      </w:r>
      <w:r>
        <w:t xml:space="preserve"> </w:t>
      </w:r>
      <w:r>
        <w:rPr>
          <w:bCs/>
          <w:b/>
        </w:rPr>
        <w:t xml:space="preserve">K</w:t>
      </w:r>
      <w:r>
        <w:rPr>
          <w:vertAlign w:val="superscript"/>
          <w:bCs/>
          <w:b/>
        </w:rPr>
        <w:t xml:space="preserve">r</w:t>
      </w:r>
      <w:r>
        <w:t xml:space="preserve">, 2103. Spośród jej 52 członków 15 wykazuje tylko 95% zgodności z manuskryptem 2103. Jeśli te 52 manuskrypty zostaną kiedyś skolacjonowane w całych Ewangeliach, można z całkowitą pewnością przewidzieć, że „grupa” znacznie się skurczy, może nawet zniknąć.</w:t>
      </w:r>
    </w:p>
    <w:p>
      <w:pPr>
        <w:pStyle w:val="BodyText"/>
      </w:pPr>
      <w:r>
        <w:t xml:space="preserve">Kilka lat temu Maurice Robinson dokonał pełnego kolacjonowania 1389 manuskryptów zawierających</w:t>
      </w:r>
      <w:r>
        <w:t xml:space="preserve"> </w:t>
      </w:r>
      <w:r>
        <w:rPr>
          <w:iCs/>
          <w:i/>
        </w:rPr>
        <w:t xml:space="preserve">PA</w:t>
      </w:r>
      <w:r>
        <w:t xml:space="preserve">,</w:t>
      </w:r>
      <w:r>
        <w:rPr>
          <w:rStyle w:val="FootnoteReference"/>
        </w:rPr>
        <w:footnoteReference w:id="562"/>
      </w:r>
      <w:r>
        <w:t xml:space="preserve"> </w:t>
      </w:r>
      <w:r>
        <w:t xml:space="preserve">a ja przez dwa miesiące miałem w swoim posiadaniu fotokopię tych kolacjonowań należącą do Williama Pierponta i większość tego czasu spędziłem na ich badaniu. W miarę badania stało się dla mnie oczywiste, że von Soden „uregularnił” swoje dane, arbitralnie „tworząc” rzekomą formę archetypalną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mają wyraźne profile wystarczające do wykazania, że są odmienne, są jednak nieco „rozmyte”, z dostatecznie dużym wewnętrznym pomieszaniem, by wybór formy archetypalnej był arbitralny. W istocie podejrzewam, że trzeba będzie je podzielić. Dla kontrastu jego</w:t>
      </w:r>
      <w:r>
        <w:t xml:space="preserve"> </w:t>
      </w:r>
      <w:r>
        <w:rPr>
          <w:bCs/>
          <w:b/>
        </w:rPr>
        <w:t xml:space="preserve">M</w:t>
      </w:r>
      <w:r>
        <w:rPr>
          <w:vertAlign w:val="superscript"/>
          <w:bCs/>
          <w:b/>
        </w:rPr>
        <w:t xml:space="preserve">7</w:t>
      </w:r>
      <w:r>
        <w:t xml:space="preserve"> </w:t>
      </w:r>
      <w:r>
        <w:t xml:space="preserve">(którą nazywam Rodziną 35) ma solidny, jednoznaczny profil — formę archetypalną można wykazać, została ustalona empirycznie.</w:t>
      </w:r>
    </w:p>
    <w:p>
      <w:pPr>
        <w:pStyle w:val="BodyText"/>
      </w:pPr>
      <w:r>
        <w:t xml:space="preserve">Jeśli chodzi o Objawienie Jana, spośród dziewięciu grup rozpoznanych przez Hoskiera jednorodna jest tylko jego kompluteńska (którą nazywam Rodziną 35). Spośród pozostałych wszystkie główne mają podziały, które będą wymagały własnego profilu.</w:t>
      </w:r>
    </w:p>
    <w:p>
      <w:pPr>
        <w:pStyle w:val="BodyText"/>
      </w:pPr>
      <w:r>
        <w:t xml:space="preserve">Przy moich założeniach wstępnych uważam, że mam wystarczający powód, by ogłosić boskie zachowanie do dziś precyzyjnych oryginalnych sformułowań kompletnego Tekstu Nowego Testamentu. Sformułowania te zostały odtworzone w moim wydaniu greckiego Nowego Testamentu, dostępnym na www.prunch.org. LECZ PROSZĘ ZAUWAŻYĆ: niezależnie od tego, czy archetyp</w:t>
      </w:r>
      <w:r>
        <w:t xml:space="preserve"> </w:t>
      </w:r>
      <w:r>
        <w:rPr>
          <w:bCs/>
          <w:b/>
        </w:rPr>
        <w:t xml:space="preserve">f</w:t>
      </w:r>
      <w:r>
        <w:rPr>
          <w:vertAlign w:val="superscript"/>
          <w:bCs/>
          <w:b/>
        </w:rPr>
        <w:t xml:space="preserve">35</w:t>
      </w:r>
      <w:r>
        <w:t xml:space="preserve"> </w:t>
      </w:r>
      <w:r>
        <w:t xml:space="preserve">jest Autografem (jak twierdzę), faktem pozostaje, że manuskrypty skolacjonowane do tego badania odzwierciedlają</w:t>
      </w:r>
      <w:r>
        <w:t xml:space="preserve"> </w:t>
      </w:r>
      <w:r>
        <w:rPr>
          <w:u w:val="single"/>
        </w:rPr>
        <w:t xml:space="preserve">niewiarygodnie staranny przekaz ich źródła, i to przez całe średniowiecze</w:t>
      </w:r>
      <w:r>
        <w:t xml:space="preserve">. Moje założenia wstępne obejmują: Bóg istnieje, natchnął Tekst biblijny, obiecał zachować go przez tysiąc pokoleń (1 Księga Kronik 16,15), musi więc czynnie i nieustannie interesować się tym zachowaniem (od Adama minęło mniej niż 300 pokoleń, ma więc jeszcze trochę do zrobienia!).</w:t>
      </w:r>
      <w:r>
        <w:t xml:space="preserve"> </w:t>
      </w:r>
      <w:r>
        <w:rPr>
          <w:bCs/>
          <w:b/>
        </w:rPr>
        <w:t xml:space="preserve">Gdyby zachowywał oryginalne sformułowania w jakiejś innej linii przekazu niż</w:t>
      </w:r>
      <w:r>
        <w:t xml:space="preserve"> </w:t>
      </w:r>
      <w:r>
        <w:rPr>
          <w:bCs/>
          <w:b/>
        </w:rPr>
        <w:t xml:space="preserve">f</w:t>
      </w:r>
      <w:r>
        <w:rPr>
          <w:vertAlign w:val="superscript"/>
          <w:bCs/>
          <w:b/>
        </w:rPr>
        <w:t xml:space="preserve">35</w:t>
      </w:r>
      <w:r>
        <w:t xml:space="preserve">,</w:t>
      </w:r>
      <w:r>
        <w:t xml:space="preserve"> </w:t>
      </w:r>
      <w:r>
        <w:rPr>
          <w:bCs/>
          <w:b/>
        </w:rPr>
        <w:t xml:space="preserve">czy przekaz ten byłby mniej staranny niż ten, który wykazałem dla</w:t>
      </w:r>
      <w:r>
        <w:t xml:space="preserve"> </w:t>
      </w:r>
      <w:r>
        <w:rPr>
          <w:bCs/>
          <w:b/>
        </w:rPr>
        <w:t xml:space="preserve">f</w:t>
      </w:r>
      <w:r>
        <w:rPr>
          <w:vertAlign w:val="superscript"/>
          <w:bCs/>
          <w:b/>
        </w:rPr>
        <w:t xml:space="preserve">35</w:t>
      </w:r>
      <w:r>
        <w:rPr>
          <w:bCs/>
          <w:b/>
        </w:rPr>
        <w:t xml:space="preserve">?</w:t>
      </w:r>
      <w:r>
        <w:t xml:space="preserve"> </w:t>
      </w:r>
      <w:r>
        <w:t xml:space="preserve">Nie sądzę. Każda linia przekazu charakteryzująca się wewnętrznym pomieszaniem zostaje więc zdyskwalifikowana — obejmuje to</w:t>
      </w:r>
      <w:r>
        <w:t xml:space="preserve"> </w:t>
      </w:r>
      <w:r>
        <w:rPr>
          <w:bCs/>
          <w:b/>
          <w:u w:val="single"/>
        </w:rPr>
        <w:t xml:space="preserve">wszystkie</w:t>
      </w:r>
      <w:r>
        <w:t xml:space="preserve"> </w:t>
      </w:r>
      <w:r>
        <w:t xml:space="preserve">inne linie przekazu, jakie dotąd widziałem!</w:t>
      </w:r>
      <w:r>
        <w:rPr>
          <w:rStyle w:val="FootnoteReference"/>
        </w:rPr>
        <w:footnoteReference w:id="563"/>
      </w:r>
    </w:p>
    <w:p>
      <w:pPr>
        <w:pStyle w:val="BodyText"/>
      </w:pPr>
      <w:r>
        <w:t xml:space="preserve">Na podstawie dostępnych dotąd dowodów twierdzę, co następuje:</w:t>
      </w:r>
    </w:p>
    <w:p>
      <w:pPr>
        <w:numPr>
          <w:ilvl w:val="0"/>
          <w:numId w:val="1116"/>
        </w:numPr>
      </w:pPr>
      <w:r>
        <w:t xml:space="preserve">Oryginalne sformułowania nigdy nie „zaginęły”, a ich przekaz na przestrzeni lat był zasadniczo normalny, ponieważ od początku uznawano je za materiał natchniony.</w:t>
      </w:r>
    </w:p>
    <w:p>
      <w:pPr>
        <w:numPr>
          <w:ilvl w:val="0"/>
          <w:numId w:val="1116"/>
        </w:numPr>
      </w:pPr>
      <w:r>
        <w:t xml:space="preserve">Ten normalny proces doprowadził do powstania linii przekazu.</w:t>
      </w:r>
    </w:p>
    <w:p>
      <w:pPr>
        <w:numPr>
          <w:ilvl w:val="0"/>
          <w:numId w:val="1116"/>
        </w:numPr>
      </w:pPr>
      <w:r>
        <w:t xml:space="preserve">Aby wyznaczyć takie linie, manuskrypty trzeba empirycznie grupować na podstawie wspólnej mozaiki odczytów.</w:t>
      </w:r>
    </w:p>
    <w:p>
      <w:pPr>
        <w:numPr>
          <w:ilvl w:val="0"/>
          <w:numId w:val="1116"/>
        </w:numPr>
      </w:pPr>
      <w:r>
        <w:t xml:space="preserve">Takie grupy lub rodziny trzeba ocenić pod względem niezależności i wiarygodności.</w:t>
      </w:r>
    </w:p>
    <w:p>
      <w:pPr>
        <w:numPr>
          <w:ilvl w:val="0"/>
          <w:numId w:val="1116"/>
        </w:numPr>
      </w:pPr>
      <w:r>
        <w:t xml:space="preserve">Największą jasno zdefiniowaną grupą jest Rodzina 35.</w:t>
      </w:r>
    </w:p>
    <w:p>
      <w:pPr>
        <w:numPr>
          <w:ilvl w:val="0"/>
          <w:numId w:val="1116"/>
        </w:numPr>
      </w:pPr>
      <w:r>
        <w:t xml:space="preserve">Rodzina 35 jest w sposób możliwy do wykazania niezależna od wszystkich innych linii przekazu w całym Nowym Testamencie.</w:t>
      </w:r>
    </w:p>
    <w:p>
      <w:pPr>
        <w:numPr>
          <w:ilvl w:val="0"/>
          <w:numId w:val="1116"/>
        </w:numPr>
      </w:pPr>
      <w:r>
        <w:t xml:space="preserve">Rodzina 35 jest w sposób możliwy do wykazania starożytna, sięga co najmniej III wieku.</w:t>
      </w:r>
    </w:p>
    <w:p>
      <w:pPr>
        <w:numPr>
          <w:ilvl w:val="0"/>
          <w:numId w:val="1116"/>
        </w:numPr>
      </w:pPr>
      <w:r>
        <w:t xml:space="preserve">Przedstawiciele Rodziny 35 pochodzą z całego obszaru śródziemnomorskiego, rozmieszczenie geograficzne jest niemal całkowite.</w:t>
      </w:r>
    </w:p>
    <w:p>
      <w:pPr>
        <w:numPr>
          <w:ilvl w:val="0"/>
          <w:numId w:val="1116"/>
        </w:numPr>
      </w:pPr>
      <w:r>
        <w:t xml:space="preserve">Rodzina 35 nie jest recenzją, nie powstała w żadnym momencie późniejszym od Autografów.</w:t>
      </w:r>
    </w:p>
    <w:p>
      <w:pPr>
        <w:numPr>
          <w:ilvl w:val="0"/>
          <w:numId w:val="1116"/>
        </w:numPr>
      </w:pPr>
      <w:r>
        <w:t xml:space="preserve">Rodzina 35 jest obiektywnie/empirycznie zdefiniowaną jednostką w całym Nowym Testamencie, ma możliwy do wykazania, diagnostyczny profil od Ewangelii Mateusza 1,1 do Objawienia Jana 22,21.</w:t>
      </w:r>
    </w:p>
    <w:p>
      <w:pPr>
        <w:numPr>
          <w:ilvl w:val="0"/>
          <w:numId w:val="1116"/>
        </w:numPr>
      </w:pPr>
      <w:r>
        <w:t xml:space="preserve">Archetypalną formę Rodziny 35 można wykazać — została wykazana (zob. Część II).</w:t>
      </w:r>
    </w:p>
    <w:p>
      <w:pPr>
        <w:numPr>
          <w:ilvl w:val="0"/>
          <w:numId w:val="1116"/>
        </w:numPr>
      </w:pPr>
      <w:r>
        <w:t xml:space="preserve">Tekst Oryginalny jest ostatecznym archetypem, każdy kandydat musi być również archetypem — rzeczywistym, najzupełniej prawdziwym, obiektywnie weryfikowalnym archetypem — istnieje tylko jeden, Rodzina 35.</w:t>
      </w:r>
      <w:r>
        <w:rPr>
          <w:rStyle w:val="FootnoteReference"/>
        </w:rPr>
        <w:footnoteReference w:id="564"/>
      </w:r>
    </w:p>
    <w:p>
      <w:pPr>
        <w:numPr>
          <w:ilvl w:val="0"/>
          <w:numId w:val="1116"/>
        </w:numPr>
      </w:pPr>
      <w:r>
        <w:t xml:space="preserve">Troska Boga o zachowanie Tekstu biblijnego jest oczywista, uważam, że fragmenty takie jak 1 Księga Kronik 16,15, Księga Psalmów 119,89, Księga Izajasza 40,8, Ewangelia Mateusza 5,18, Ewangelia Łukasza 16,17 i 21,33, Ewangelia Jana 10,35 i 16,12–13, 1 List Piotra 1,23–25 oraz Ewangelia Łukasza 4,4 można rozsądnie uznać za implikujące obietnicę, że Pismo zostanie zachowane (co do joty) do użytku człowieka (mamy żyć „każdym</w:t>
      </w:r>
      <w:r>
        <w:t xml:space="preserve"> </w:t>
      </w:r>
      <w:r>
        <w:rPr>
          <w:iCs/>
          <w:i/>
        </w:rPr>
        <w:t xml:space="preserve">słowem</w:t>
      </w:r>
      <w:r>
        <w:t xml:space="preserve"> </w:t>
      </w:r>
      <w:r>
        <w:t xml:space="preserve">Boga”) i aż do końca świata („przez tysiąc pokoleń”), nie podano jednak żadnej wskazówki, w jaki sposób Bóg zamierzał tego dokonać. Musimy wywnioskować odpowiedź z tego, co rzeczywiście uczynił — odkrywamy, że</w:t>
      </w:r>
      <w:r>
        <w:t xml:space="preserve"> </w:t>
      </w:r>
      <w:r>
        <w:rPr>
          <w:bCs/>
          <w:b/>
        </w:rPr>
        <w:t xml:space="preserve">to uczynił</w:t>
      </w:r>
      <w:r>
        <w:t xml:space="preserve">!</w:t>
      </w:r>
    </w:p>
    <w:p>
      <w:pPr>
        <w:numPr>
          <w:ilvl w:val="0"/>
          <w:numId w:val="1116"/>
        </w:numPr>
      </w:pPr>
      <w:r>
        <w:t xml:space="preserve">Troska ta znajduje odzwierciedlenie w Rodzinie 35, charakteryzuje ją niewiarygodnie staranny przekaz (w przeciwieństwie do innych linii). (Mam doskonałą kopię archetypalnego tekstu Rodziny 35 dla większości ksiąg Nowego Testamentu (22), mam kopie sporządzone z doskonałego egzemplarza (przypuszczalnie) dla kolejnych czterech (4), w miarę dalszego kolacjonowania manuskryptów mam nadzieję dodać ostatnią (Dzieje Apostolskie), lecz nawet dla niej formę archetypalną można wykazać).</w:t>
      </w:r>
    </w:p>
    <w:p>
      <w:pPr>
        <w:numPr>
          <w:ilvl w:val="0"/>
          <w:numId w:val="1116"/>
        </w:numPr>
      </w:pPr>
      <w:r>
        <w:t xml:space="preserve">Gdyby Bóg zachowywał oryginalne sformułowania w jakiejś innej linii przekazu niż Rodzina 35, czy linia ta byłaby mniej staranna? Nie sądzę. Każda linia przekazu charakteryzująca się wewnętrznym pomieszaniem zostaje więc zdyskwalifikowana — obejmuje to</w:t>
      </w:r>
      <w:r>
        <w:t xml:space="preserve"> </w:t>
      </w:r>
      <w:r>
        <w:rPr>
          <w:bCs/>
          <w:b/>
        </w:rPr>
        <w:t xml:space="preserve">wszystkie</w:t>
      </w:r>
      <w:r>
        <w:t xml:space="preserve"> </w:t>
      </w:r>
      <w:r>
        <w:t xml:space="preserve">inne linie przekazu, jakie dotąd widziałem.</w:t>
      </w:r>
    </w:p>
    <w:p>
      <w:pPr>
        <w:numPr>
          <w:ilvl w:val="0"/>
          <w:numId w:val="1116"/>
        </w:numPr>
      </w:pPr>
      <w:r>
        <w:t xml:space="preserve">Twierdzę, że Bóg posłużył się Rodziną 35, by zachować precyzyjne oryginalne sformułowania Tekstu Nowego Testamentu, zostały one odtworzone w moim wydaniu greckiego Tekstu.</w:t>
      </w:r>
      <w:r>
        <w:rPr>
          <w:rStyle w:val="FootnoteReference"/>
        </w:rPr>
        <w:footnoteReference w:id="565"/>
      </w:r>
    </w:p>
    <w:p>
      <w:pPr>
        <w:pStyle w:val="FirstParagraph"/>
      </w:pPr>
      <w:r>
        <w:t xml:space="preserve">Uczciwość niegdyś stanowiła część definicji prawdziwego uczonego. Każdy, kto chce nim być, powinien bezwzględnie przestać przedstawiać swoje założenia wstępne jako część dowodów. Ponieważ oryginał nigdy nie zaginął, nie istnieje uprawniona krytyka tekstu Nowego Testamentu, a zatem nie istnieje jej nauka. Ponieważ krytyka tekstu Nowego Testamentu (w formie praktykowanej przez społeczność akademicką przez ostatnich 130 lat) opiera się na fałszywym założeniu wstępnym, nie może być nauką. Ci, którzy odrzucają dowody pierwszorzędne, mogą i prawdopodobnie będą nadal głosić teorię krytyki tekstu. Przypuszczam, że mają prawo do swojej teorii, lecz nie mogę życzyć im powodzenia.</w:t>
      </w:r>
    </w:p>
    <w:bookmarkEnd w:id="566"/>
    <w:bookmarkEnd w:id="567"/>
    <w:bookmarkStart w:id="582" w:name="przedstawienie-dowodów-przez-alanda"/>
    <w:p>
      <w:pPr>
        <w:pStyle w:val="Heading2"/>
      </w:pPr>
      <w:r>
        <w:t xml:space="preserve">Przedstawienie dowodów przez Alanda</w:t>
      </w:r>
    </w:p>
    <w:p>
      <w:pPr>
        <w:pStyle w:val="FirstParagraph"/>
      </w:pPr>
      <w:r>
        <w:t xml:space="preserve">W tym omówieniu wykorzystam statystyki przedstawione przez Kurta Alanda i jego Instytut Badań Tekstu Nowego Testamentu. Ponieważ pogardzał Tekstem bizantyjskim i był oddanym orędownikiem swojego tekstu egipskiego, możemy być całkowicie pewni, że dowody nie zostaną przedstawione w sposób faworyzujący Tekst bizantyjski pod jakimkolwiek względem.</w:t>
      </w:r>
    </w:p>
    <w:bookmarkStart w:id="574" w:name="uncjały"/>
    <w:p>
      <w:pPr>
        <w:pStyle w:val="Heading3"/>
      </w:pPr>
      <w:r>
        <w:t xml:space="preserve">Uncjały</w:t>
      </w:r>
    </w:p>
    <w:p>
      <w:pPr>
        <w:pStyle w:val="FirstParagraph"/>
      </w:pPr>
      <w:r>
        <w:t xml:space="preserve">W</w:t>
      </w:r>
      <w:r>
        <w:t xml:space="preserve"> </w:t>
      </w:r>
      <w:r>
        <w:rPr>
          <w:iCs/>
          <w:i/>
        </w:rPr>
        <w:t xml:space="preserve">The Text of the New Testament</w:t>
      </w:r>
      <w:r>
        <w:rPr>
          <w:rStyle w:val="FootnoteReference"/>
        </w:rPr>
        <w:footnoteReference w:id="568"/>
      </w:r>
      <w:r>
        <w:t xml:space="preserve"> </w:t>
      </w:r>
      <w:r>
        <w:t xml:space="preserve">K. Aland przedstawia podsumowanie wyników „systematycznego kolacjonowania testowego” ważniejszych uncjałów z wieków IV–IX. Używa czterech nagłówków: odczyty „bizantyjskie”, „oryginalne”, „zgodności” między pierwszymi dwoma oraz „niezależne albo charakterystyczne”. Ponieważ przez „oryginalne” zdaje się rozumieć zasadniczo „egipskie” (albo „aleksandryjskie”), użyję następujących nagłówków: egipskie, większościowe („bizantyjskie”), oba („zgodności”) oraz inne („niezależne”). Przedstawiam w tabeli każdy manuskrypt z wieków od IV do IX, dla którego Aland podaje podsumowanie.</w:t>
      </w:r>
    </w:p>
    <w:p>
      <w:pPr>
        <w:pStyle w:val="BodyText"/>
      </w:pPr>
      <w:r>
        <w:t xml:space="preserve">Tytułem wyjaśnienia: „zaw.” oznacza zawartość,</w:t>
      </w:r>
      <w:r>
        <w:t xml:space="preserve"> </w:t>
      </w:r>
      <w:r>
        <w:rPr>
          <w:bCs/>
          <w:b/>
        </w:rPr>
        <w:t xml:space="preserve">e</w:t>
      </w:r>
      <w:r>
        <w:t xml:space="preserve"> </w:t>
      </w:r>
      <w:r>
        <w:t xml:space="preserve">= Ewangelie (lecz liczby Alanda obejmują tylko Ewangelie synoptyczne),</w:t>
      </w:r>
      <w:r>
        <w:t xml:space="preserve"> </w:t>
      </w:r>
      <w:r>
        <w:rPr>
          <w:bCs/>
          <w:b/>
        </w:rPr>
        <w:t xml:space="preserve">a</w:t>
      </w:r>
      <w:r>
        <w:t xml:space="preserve"> </w:t>
      </w:r>
      <w:r>
        <w:t xml:space="preserve">= Dzieje Apostolskie,</w:t>
      </w:r>
      <w:r>
        <w:t xml:space="preserve"> </w:t>
      </w:r>
      <w:r>
        <w:rPr>
          <w:bCs/>
          <w:b/>
        </w:rPr>
        <w:t xml:space="preserve">p</w:t>
      </w:r>
      <w:r>
        <w:t xml:space="preserve"> </w:t>
      </w:r>
      <w:r>
        <w:t xml:space="preserve">= Listy Pawła (łącznie z Listem do Hebrajczyków), a</w:t>
      </w:r>
      <w:r>
        <w:t xml:space="preserve"> </w:t>
      </w:r>
      <w:r>
        <w:rPr>
          <w:bCs/>
          <w:b/>
        </w:rPr>
        <w:t xml:space="preserve">c</w:t>
      </w:r>
      <w:r>
        <w:t xml:space="preserve"> </w:t>
      </w:r>
      <w:r>
        <w:t xml:space="preserve">= Listy Ogólne, „Kat.” odnosi się do pięciu kategorii Alanda (</w:t>
      </w:r>
      <w:r>
        <w:rPr>
          <w:iCs/>
          <w:i/>
        </w:rPr>
        <w:t xml:space="preserve">The Text</w:t>
      </w:r>
      <w:r>
        <w:t xml:space="preserve">, s. 105–106), a „klasa” oznacza klasyfikację opracowaną przeze mnie, w której</w:t>
      </w:r>
      <w:r>
        <w:t xml:space="preserve"> </w:t>
      </w:r>
      <w:r>
        <w:rPr>
          <w:bCs/>
          <w:b/>
        </w:rPr>
        <w:t xml:space="preserve">E</w:t>
      </w:r>
      <w:r>
        <w:t xml:space="preserve"> </w:t>
      </w:r>
      <w:r>
        <w:t xml:space="preserve">= egipski,</w:t>
      </w:r>
      <w:r>
        <w:t xml:space="preserve"> </w:t>
      </w:r>
      <w:r>
        <w:rPr>
          <w:bCs/>
          <w:b/>
        </w:rPr>
        <w:t xml:space="preserve">M</w:t>
      </w:r>
      <w:r>
        <w:t xml:space="preserve"> </w:t>
      </w:r>
      <w:r>
        <w:t xml:space="preserve">= większościowy, a</w:t>
      </w:r>
      <w:r>
        <w:t xml:space="preserve"> </w:t>
      </w:r>
      <w:r>
        <w:rPr>
          <w:bCs/>
          <w:b/>
        </w:rPr>
        <w:t xml:space="preserve">O</w:t>
      </w:r>
      <w:r>
        <w:t xml:space="preserve"> </w:t>
      </w:r>
      <w:r>
        <w:t xml:space="preserve">= inny. Ma ona następujące wartości, zilustrowane przy użyciu 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Klasyfikacja</w:t>
            </w:r>
          </w:p>
        </w:tc>
        <w:tc>
          <w:tcPr/>
          <w:p>
            <w:pPr>
              <w:pStyle w:val="Compact"/>
              <w:jc w:val="right"/>
            </w:pPr>
            <w:r>
              <w:t xml:space="preserve">Wartość</w:t>
            </w:r>
          </w:p>
        </w:tc>
        <w:tc>
          <w:tcPr/>
          <w:p>
            <w:pPr>
              <w:pStyle w:val="Compact"/>
              <w:jc w:val="right"/>
            </w:pPr>
            <w:r>
              <w:t xml:space="preserve">Stosunek</w:t>
            </w:r>
          </w:p>
        </w:tc>
        <w:tc>
          <w:tcPr/>
          <w:p>
            <w:pPr>
              <w:pStyle w:val="Compact"/>
              <w:jc w:val="left"/>
            </w:pPr>
            <w:r>
              <w:t xml:space="preserve">Opis</w:t>
            </w:r>
          </w:p>
        </w:tc>
      </w:tr>
      <w:tr>
        <w:tc>
          <w:tcPr/>
          <w:p>
            <w:pPr>
              <w:pStyle w:val="Compact"/>
              <w:jc w:val="left"/>
            </w:pPr>
            <w:r>
              <w:t xml:space="preserve">M+++++</w:t>
            </w:r>
          </w:p>
        </w:tc>
        <w:tc>
          <w:tcPr/>
          <w:p>
            <w:pPr>
              <w:pStyle w:val="Compact"/>
              <w:jc w:val="right"/>
            </w:pPr>
            <w:r>
              <w:t xml:space="preserve">100%</w:t>
            </w:r>
          </w:p>
        </w:tc>
        <w:tc>
          <w:tcPr/>
          <w:p>
            <w:pPr>
              <w:pStyle w:val="Compact"/>
            </w:pPr>
          </w:p>
        </w:tc>
        <w:tc>
          <w:tcPr/>
          <w:p>
            <w:pPr>
              <w:pStyle w:val="Compact"/>
            </w:pPr>
          </w:p>
        </w:tc>
      </w:tr>
      <w:tr>
        <w:tc>
          <w:tcPr/>
          <w:p>
            <w:pPr>
              <w:pStyle w:val="Compact"/>
              <w:jc w:val="left"/>
            </w:pPr>
            <w:r>
              <w:t xml:space="preserve">M++++</w:t>
            </w:r>
          </w:p>
        </w:tc>
        <w:tc>
          <w:tcPr/>
          <w:p>
            <w:pPr>
              <w:pStyle w:val="Compact"/>
              <w:jc w:val="right"/>
            </w:pPr>
            <w:r>
              <w:t xml:space="preserve">ponad 95%</w:t>
            </w:r>
          </w:p>
        </w:tc>
        <w:tc>
          <w:tcPr/>
          <w:p>
            <w:pPr>
              <w:pStyle w:val="Compact"/>
              <w:jc w:val="right"/>
            </w:pPr>
            <w:r>
              <w:t xml:space="preserve">19:1</w:t>
            </w:r>
          </w:p>
        </w:tc>
        <w:tc>
          <w:tcPr/>
          <w:p>
            <w:pPr>
              <w:pStyle w:val="Compact"/>
              <w:jc w:val="left"/>
            </w:pPr>
            <w:r>
              <w:t xml:space="preserve">bardzo silny</w:t>
            </w:r>
          </w:p>
        </w:tc>
      </w:tr>
      <w:tr>
        <w:tc>
          <w:tcPr/>
          <w:p>
            <w:pPr>
              <w:pStyle w:val="Compact"/>
              <w:jc w:val="left"/>
            </w:pPr>
            <w:r>
              <w:t xml:space="preserve">M+++</w:t>
            </w:r>
          </w:p>
        </w:tc>
        <w:tc>
          <w:tcPr/>
          <w:p>
            <w:pPr>
              <w:pStyle w:val="Compact"/>
              <w:jc w:val="right"/>
            </w:pPr>
            <w:r>
              <w:t xml:space="preserve">ponad 90%</w:t>
            </w:r>
          </w:p>
        </w:tc>
        <w:tc>
          <w:tcPr/>
          <w:p>
            <w:pPr>
              <w:pStyle w:val="Compact"/>
              <w:jc w:val="right"/>
            </w:pPr>
            <w:r>
              <w:t xml:space="preserve">9:1</w:t>
            </w:r>
          </w:p>
        </w:tc>
        <w:tc>
          <w:tcPr/>
          <w:p>
            <w:pPr>
              <w:pStyle w:val="Compact"/>
              <w:jc w:val="left"/>
            </w:pPr>
            <w:r>
              <w:t xml:space="preserve">silny</w:t>
            </w:r>
          </w:p>
        </w:tc>
      </w:tr>
      <w:tr>
        <w:tc>
          <w:tcPr/>
          <w:p>
            <w:pPr>
              <w:pStyle w:val="Compact"/>
              <w:jc w:val="left"/>
            </w:pPr>
            <w:r>
              <w:t xml:space="preserve">M++</w:t>
            </w:r>
          </w:p>
        </w:tc>
        <w:tc>
          <w:tcPr/>
          <w:p>
            <w:pPr>
              <w:pStyle w:val="Compact"/>
              <w:jc w:val="right"/>
            </w:pPr>
            <w:r>
              <w:t xml:space="preserve">ponad 80%</w:t>
            </w:r>
          </w:p>
        </w:tc>
        <w:tc>
          <w:tcPr/>
          <w:p>
            <w:pPr>
              <w:pStyle w:val="Compact"/>
              <w:jc w:val="right"/>
            </w:pPr>
            <w:r>
              <w:t xml:space="preserve">4:1</w:t>
            </w:r>
          </w:p>
        </w:tc>
        <w:tc>
          <w:tcPr/>
          <w:p>
            <w:pPr>
              <w:pStyle w:val="Compact"/>
              <w:jc w:val="left"/>
            </w:pPr>
            <w:r>
              <w:t xml:space="preserve">dobry</w:t>
            </w:r>
          </w:p>
        </w:tc>
      </w:tr>
      <w:tr>
        <w:tc>
          <w:tcPr/>
          <w:p>
            <w:pPr>
              <w:pStyle w:val="Compact"/>
              <w:jc w:val="left"/>
            </w:pPr>
            <w:r>
              <w:t xml:space="preserve">M+</w:t>
            </w:r>
          </w:p>
        </w:tc>
        <w:tc>
          <w:tcPr/>
          <w:p>
            <w:pPr>
              <w:pStyle w:val="Compact"/>
              <w:jc w:val="right"/>
            </w:pPr>
            <w:r>
              <w:t xml:space="preserve">ponad 66%</w:t>
            </w:r>
          </w:p>
        </w:tc>
        <w:tc>
          <w:tcPr/>
          <w:p>
            <w:pPr>
              <w:pStyle w:val="Compact"/>
              <w:jc w:val="right"/>
            </w:pPr>
            <w:r>
              <w:t xml:space="preserve">2:1</w:t>
            </w:r>
          </w:p>
        </w:tc>
        <w:tc>
          <w:tcPr/>
          <w:p>
            <w:pPr>
              <w:pStyle w:val="Compact"/>
              <w:jc w:val="left"/>
            </w:pPr>
            <w:r>
              <w:t xml:space="preserve">dostateczny</w:t>
            </w:r>
          </w:p>
        </w:tc>
      </w:tr>
      <w:tr>
        <w:tc>
          <w:tcPr/>
          <w:p>
            <w:pPr>
              <w:pStyle w:val="Compact"/>
              <w:jc w:val="left"/>
            </w:pPr>
            <w:r>
              <w:t xml:space="preserve">M</w:t>
            </w:r>
          </w:p>
        </w:tc>
        <w:tc>
          <w:tcPr/>
          <w:p>
            <w:pPr>
              <w:pStyle w:val="Compact"/>
              <w:jc w:val="right"/>
            </w:pPr>
            <w:r>
              <w:t xml:space="preserve">ponad 50%</w:t>
            </w:r>
          </w:p>
        </w:tc>
        <w:tc>
          <w:tcPr/>
          <w:p>
            <w:pPr>
              <w:pStyle w:val="Compact"/>
              <w:jc w:val="right"/>
            </w:pPr>
            <w:r>
              <w:t xml:space="preserve">1:1</w:t>
            </w:r>
          </w:p>
        </w:tc>
        <w:tc>
          <w:tcPr/>
          <w:p>
            <w:pPr>
              <w:pStyle w:val="Compact"/>
              <w:jc w:val="left"/>
            </w:pPr>
            <w:r>
              <w:t xml:space="preserve">słaby</w:t>
            </w:r>
          </w:p>
        </w:tc>
      </w:tr>
      <w:tr>
        <w:tc>
          <w:tcPr/>
          <w:p>
            <w:pPr>
              <w:pStyle w:val="Compact"/>
              <w:jc w:val="left"/>
            </w:pPr>
            <w:r>
              <w:t xml:space="preserve">M-</w:t>
            </w:r>
          </w:p>
        </w:tc>
        <w:tc>
          <w:tcPr/>
          <w:p>
            <w:pPr>
              <w:pStyle w:val="Compact"/>
              <w:jc w:val="right"/>
            </w:pPr>
            <w:r>
              <w:t xml:space="preserve">przewaga względna</w:t>
            </w:r>
          </w:p>
        </w:tc>
        <w:tc>
          <w:tcPr/>
          <w:p>
            <w:pPr>
              <w:pStyle w:val="Compact"/>
            </w:pPr>
          </w:p>
        </w:tc>
        <w:tc>
          <w:tcPr/>
          <w:p>
            <w:pPr>
              <w:pStyle w:val="Compact"/>
              <w:jc w:val="left"/>
            </w:pPr>
            <w:r>
              <w:t xml:space="preserve">marginalny</w:t>
            </w:r>
          </w:p>
        </w:tc>
      </w:tr>
      <w:tr>
        <w:tc>
          <w:tcPr/>
          <w:p>
            <w:pPr>
              <w:pStyle w:val="Compact"/>
              <w:jc w:val="left"/>
            </w:pPr>
            <w:r>
              <w:t xml:space="preserve">M/E</w:t>
            </w:r>
          </w:p>
        </w:tc>
        <w:tc>
          <w:tcPr/>
          <w:p>
            <w:pPr>
              <w:pStyle w:val="Compact"/>
              <w:jc w:val="right"/>
            </w:pPr>
            <w:r>
              <w:t xml:space="preserve">remis</w:t>
            </w:r>
          </w:p>
        </w:tc>
        <w:tc>
          <w:tcPr/>
          <w:p>
            <w:pPr>
              <w:pStyle w:val="Compact"/>
            </w:pPr>
          </w:p>
        </w:tc>
        <w:tc>
          <w:tcPr/>
          <w:p>
            <w:pPr>
              <w:pStyle w:val="Compact"/>
            </w:pPr>
          </w:p>
        </w:tc>
      </w:tr>
    </w:tbl>
    <w:p>
      <w:pPr>
        <w:pStyle w:val="BodyText"/>
      </w:pPr>
      <w:r>
        <w:t xml:space="preserve">Zakładam, że Aland zgodzi się ze mną, iż E + M jest z pewnością oryginalne, dlatego kolumnę „oba” trzeba pominąć przy próbie oceny tendencji poszczególnych manuskryptów. W związku z tym przy obliczaniu odsetków uwzględniłem wyłącznie kolumny „egipskie”, „większościowe” i „inne”.</w:t>
      </w:r>
    </w:p>
    <w:tbl>
      <w:tblPr>
        <w:tblStyle w:val="Table"/>
        <w:tblW w:type="pct" w:w="5000"/>
        <w:tblLook w:firstRow="1" w:lastRow="0" w:firstColumn="0" w:lastColumn="0" w:noHBand="0" w:noVBand="0" w:val="0020"/>
        <w:jc w:val="start"/>
      </w:tblPr>
      <w:tblGrid>
        <w:gridCol w:w="678"/>
        <w:gridCol w:w="678"/>
        <w:gridCol w:w="678"/>
        <w:gridCol w:w="905"/>
        <w:gridCol w:w="905"/>
        <w:gridCol w:w="905"/>
        <w:gridCol w:w="905"/>
        <w:gridCol w:w="905"/>
        <w:gridCol w:w="678"/>
        <w:gridCol w:w="678"/>
      </w:tblGrid>
      <w:tr>
        <w:trPr>
          <w:tblHeader w:val="true"/>
        </w:trPr>
        <w:tc>
          <w:tcPr/>
          <w:p>
            <w:pPr>
              <w:pStyle w:val="Compact"/>
              <w:jc w:val="left"/>
            </w:pPr>
            <w:r>
              <w:t xml:space="preserve">Kodeks</w:t>
            </w:r>
          </w:p>
        </w:tc>
        <w:tc>
          <w:tcPr/>
          <w:p>
            <w:pPr>
              <w:pStyle w:val="Compact"/>
              <w:jc w:val="left"/>
            </w:pPr>
            <w:r>
              <w:t xml:space="preserve">Data</w:t>
            </w:r>
          </w:p>
        </w:tc>
        <w:tc>
          <w:tcPr/>
          <w:p>
            <w:pPr>
              <w:pStyle w:val="Compact"/>
              <w:jc w:val="left"/>
            </w:pPr>
            <w:r>
              <w:t xml:space="preserve">Zaw.</w:t>
            </w:r>
          </w:p>
        </w:tc>
        <w:tc>
          <w:tcPr/>
          <w:p>
            <w:pPr>
              <w:pStyle w:val="Compact"/>
              <w:jc w:val="right"/>
            </w:pPr>
            <w:r>
              <w:t xml:space="preserve">Egip.</w:t>
            </w:r>
          </w:p>
        </w:tc>
        <w:tc>
          <w:tcPr/>
          <w:p>
            <w:pPr>
              <w:pStyle w:val="Compact"/>
              <w:jc w:val="right"/>
            </w:pPr>
            <w:r>
              <w:t xml:space="preserve">Oba</w:t>
            </w:r>
          </w:p>
        </w:tc>
        <w:tc>
          <w:tcPr/>
          <w:p>
            <w:pPr>
              <w:pStyle w:val="Compact"/>
              <w:jc w:val="right"/>
            </w:pPr>
            <w:r>
              <w:t xml:space="preserve">Większ.</w:t>
            </w:r>
          </w:p>
        </w:tc>
        <w:tc>
          <w:tcPr/>
          <w:p>
            <w:pPr>
              <w:pStyle w:val="Compact"/>
              <w:jc w:val="right"/>
            </w:pPr>
            <w:r>
              <w:t xml:space="preserve">Inne</w:t>
            </w:r>
          </w:p>
        </w:tc>
        <w:tc>
          <w:tcPr/>
          <w:p>
            <w:pPr>
              <w:pStyle w:val="Compact"/>
              <w:jc w:val="right"/>
            </w:pPr>
            <w:r>
              <w:t xml:space="preserve">Suma</w:t>
            </w:r>
          </w:p>
        </w:tc>
        <w:tc>
          <w:tcPr/>
          <w:p>
            <w:pPr>
              <w:pStyle w:val="Compact"/>
              <w:jc w:val="left"/>
            </w:pPr>
            <w:r>
              <w:t xml:space="preserve">Klasa</w:t>
            </w:r>
          </w:p>
        </w:tc>
        <w:tc>
          <w:tcPr/>
          <w:p>
            <w:pPr>
              <w:pStyle w:val="Compact"/>
              <w:jc w:val="left"/>
            </w:pPr>
            <w:r>
              <w:t xml:space="preserve">Kat.</w:t>
            </w:r>
          </w:p>
        </w:tc>
      </w:tr>
      <w:tr>
        <w:tc>
          <w:tcPr/>
          <w:p>
            <w:pPr>
              <w:pStyle w:val="Compact"/>
              <w:jc w:val="left"/>
            </w:pPr>
            <w:r>
              <w:t xml:space="preserve">01</w:t>
            </w:r>
          </w:p>
        </w:tc>
        <w:tc>
          <w:tcPr/>
          <w:p>
            <w:pPr>
              <w:pStyle w:val="Compact"/>
              <w:jc w:val="left"/>
            </w:pPr>
            <w:r>
              <w:t xml:space="preserve">IV</w:t>
            </w:r>
          </w:p>
        </w:tc>
        <w:tc>
          <w:tcPr/>
          <w:p>
            <w:pPr>
              <w:pStyle w:val="Compact"/>
              <w:jc w:val="left"/>
            </w:pPr>
            <w:r>
              <w:t xml:space="preserve">e</w:t>
            </w:r>
          </w:p>
        </w:tc>
        <w:tc>
          <w:tcPr/>
          <w:p>
            <w:pPr>
              <w:pStyle w:val="Compact"/>
              <w:jc w:val="right"/>
            </w:pPr>
            <w:r>
              <w:t xml:space="preserve">170</w:t>
            </w:r>
          </w:p>
        </w:tc>
        <w:tc>
          <w:tcPr/>
          <w:p>
            <w:pPr>
              <w:pStyle w:val="Compact"/>
              <w:jc w:val="right"/>
            </w:pPr>
            <w:r>
              <w:t xml:space="preserve">80</w:t>
            </w:r>
          </w:p>
        </w:tc>
        <w:tc>
          <w:tcPr/>
          <w:p>
            <w:pPr>
              <w:pStyle w:val="Compact"/>
              <w:jc w:val="right"/>
            </w:pPr>
            <w:r>
              <w:t xml:space="preserve">23</w:t>
            </w:r>
          </w:p>
        </w:tc>
        <w:tc>
          <w:tcPr/>
          <w:p>
            <w:pPr>
              <w:pStyle w:val="Compact"/>
              <w:jc w:val="right"/>
            </w:pPr>
            <w:r>
              <w:t xml:space="preserve">95</w:t>
            </w:r>
          </w:p>
        </w:tc>
        <w:tc>
          <w:tcPr/>
          <w:p>
            <w:pPr>
              <w:pStyle w:val="Compact"/>
              <w:jc w:val="right"/>
            </w:pPr>
            <w:r>
              <w:t xml:space="preserve">368</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67</w:t>
            </w:r>
          </w:p>
        </w:tc>
        <w:tc>
          <w:tcPr/>
          <w:p>
            <w:pPr>
              <w:pStyle w:val="Compact"/>
              <w:jc w:val="right"/>
            </w:pPr>
            <w:r>
              <w:t xml:space="preserve">24</w:t>
            </w:r>
          </w:p>
        </w:tc>
        <w:tc>
          <w:tcPr/>
          <w:p>
            <w:pPr>
              <w:pStyle w:val="Compact"/>
              <w:jc w:val="right"/>
            </w:pPr>
            <w:r>
              <w:t xml:space="preserve">9</w:t>
            </w:r>
          </w:p>
        </w:tc>
        <w:tc>
          <w:tcPr/>
          <w:p>
            <w:pPr>
              <w:pStyle w:val="Compact"/>
              <w:jc w:val="right"/>
            </w:pPr>
            <w:r>
              <w:t xml:space="preserve">17</w:t>
            </w:r>
          </w:p>
        </w:tc>
        <w:tc>
          <w:tcPr/>
          <w:p>
            <w:pPr>
              <w:pStyle w:val="Compact"/>
              <w:jc w:val="right"/>
            </w:pPr>
            <w:r>
              <w:t xml:space="preserve">117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174</w:t>
            </w:r>
          </w:p>
        </w:tc>
        <w:tc>
          <w:tcPr/>
          <w:p>
            <w:pPr>
              <w:pStyle w:val="Compact"/>
              <w:jc w:val="right"/>
            </w:pPr>
            <w:r>
              <w:t xml:space="preserve">38</w:t>
            </w:r>
          </w:p>
        </w:tc>
        <w:tc>
          <w:tcPr/>
          <w:p>
            <w:pPr>
              <w:pStyle w:val="Compact"/>
              <w:jc w:val="right"/>
            </w:pPr>
            <w:r>
              <w:t xml:space="preserve">76</w:t>
            </w:r>
          </w:p>
        </w:tc>
        <w:tc>
          <w:tcPr/>
          <w:p>
            <w:pPr>
              <w:pStyle w:val="Compact"/>
              <w:jc w:val="right"/>
            </w:pPr>
            <w:r>
              <w:t xml:space="preserve">52</w:t>
            </w:r>
          </w:p>
        </w:tc>
        <w:tc>
          <w:tcPr/>
          <w:p>
            <w:pPr>
              <w:pStyle w:val="Compact"/>
              <w:jc w:val="right"/>
            </w:pPr>
            <w:r>
              <w:t xml:space="preserve">340</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73</w:t>
            </w:r>
          </w:p>
        </w:tc>
        <w:tc>
          <w:tcPr/>
          <w:p>
            <w:pPr>
              <w:pStyle w:val="Compact"/>
              <w:jc w:val="right"/>
            </w:pPr>
            <w:r>
              <w:t xml:space="preserve">5</w:t>
            </w:r>
          </w:p>
        </w:tc>
        <w:tc>
          <w:tcPr/>
          <w:p>
            <w:pPr>
              <w:pStyle w:val="Compact"/>
              <w:jc w:val="right"/>
            </w:pPr>
            <w:r>
              <w:t xml:space="preserve">21</w:t>
            </w:r>
          </w:p>
        </w:tc>
        <w:tc>
          <w:tcPr/>
          <w:p>
            <w:pPr>
              <w:pStyle w:val="Compact"/>
              <w:jc w:val="right"/>
            </w:pPr>
            <w:r>
              <w:t xml:space="preserve">16</w:t>
            </w:r>
          </w:p>
        </w:tc>
        <w:tc>
          <w:tcPr/>
          <w:p>
            <w:pPr>
              <w:pStyle w:val="Compact"/>
              <w:jc w:val="right"/>
            </w:pPr>
            <w:r>
              <w:t xml:space="preserve">115</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03</w:t>
            </w:r>
          </w:p>
        </w:tc>
        <w:tc>
          <w:tcPr/>
          <w:p>
            <w:pPr>
              <w:pStyle w:val="Compact"/>
              <w:jc w:val="left"/>
            </w:pPr>
            <w:r>
              <w:t xml:space="preserve">IV</w:t>
            </w:r>
          </w:p>
        </w:tc>
        <w:tc>
          <w:tcPr/>
          <w:p>
            <w:pPr>
              <w:pStyle w:val="Compact"/>
              <w:jc w:val="left"/>
            </w:pPr>
            <w:r>
              <w:t xml:space="preserve">e</w:t>
            </w:r>
          </w:p>
        </w:tc>
        <w:tc>
          <w:tcPr/>
          <w:p>
            <w:pPr>
              <w:pStyle w:val="Compact"/>
              <w:jc w:val="right"/>
            </w:pPr>
            <w:r>
              <w:t xml:space="preserve">196</w:t>
            </w:r>
          </w:p>
        </w:tc>
        <w:tc>
          <w:tcPr/>
          <w:p>
            <w:pPr>
              <w:pStyle w:val="Compact"/>
              <w:jc w:val="right"/>
            </w:pPr>
            <w:r>
              <w:t xml:space="preserve">54</w:t>
            </w:r>
          </w:p>
        </w:tc>
        <w:tc>
          <w:tcPr/>
          <w:p>
            <w:pPr>
              <w:pStyle w:val="Compact"/>
              <w:jc w:val="right"/>
            </w:pPr>
            <w:r>
              <w:t xml:space="preserve">9</w:t>
            </w:r>
          </w:p>
        </w:tc>
        <w:tc>
          <w:tcPr/>
          <w:p>
            <w:pPr>
              <w:pStyle w:val="Compact"/>
              <w:jc w:val="right"/>
            </w:pPr>
            <w:r>
              <w:t xml:space="preserve">72</w:t>
            </w:r>
          </w:p>
        </w:tc>
        <w:tc>
          <w:tcPr/>
          <w:p>
            <w:pPr>
              <w:pStyle w:val="Compact"/>
              <w:jc w:val="right"/>
            </w:pPr>
            <w:r>
              <w:t xml:space="preserve">331</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72</w:t>
            </w:r>
          </w:p>
        </w:tc>
        <w:tc>
          <w:tcPr/>
          <w:p>
            <w:pPr>
              <w:pStyle w:val="Compact"/>
              <w:jc w:val="right"/>
            </w:pPr>
            <w:r>
              <w:t xml:space="preserve">22</w:t>
            </w:r>
          </w:p>
        </w:tc>
        <w:tc>
          <w:tcPr/>
          <w:p>
            <w:pPr>
              <w:pStyle w:val="Compact"/>
              <w:jc w:val="right"/>
            </w:pPr>
            <w:r>
              <w:t xml:space="preserve">2</w:t>
            </w:r>
          </w:p>
        </w:tc>
        <w:tc>
          <w:tcPr/>
          <w:p>
            <w:pPr>
              <w:pStyle w:val="Compact"/>
              <w:jc w:val="right"/>
            </w:pPr>
            <w:r>
              <w:t xml:space="preserve">11</w:t>
            </w:r>
          </w:p>
        </w:tc>
        <w:tc>
          <w:tcPr/>
          <w:p>
            <w:pPr>
              <w:pStyle w:val="Compact"/>
              <w:jc w:val="right"/>
            </w:pPr>
            <w:r>
              <w:t xml:space="preserve">107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144</w:t>
            </w:r>
          </w:p>
        </w:tc>
        <w:tc>
          <w:tcPr/>
          <w:p>
            <w:pPr>
              <w:pStyle w:val="Compact"/>
              <w:jc w:val="right"/>
            </w:pPr>
            <w:r>
              <w:t xml:space="preserve">31</w:t>
            </w:r>
          </w:p>
        </w:tc>
        <w:tc>
          <w:tcPr/>
          <w:p>
            <w:pPr>
              <w:pStyle w:val="Compact"/>
              <w:jc w:val="right"/>
            </w:pPr>
            <w:r>
              <w:t xml:space="preserve">8</w:t>
            </w:r>
          </w:p>
        </w:tc>
        <w:tc>
          <w:tcPr/>
          <w:p>
            <w:pPr>
              <w:pStyle w:val="Compact"/>
              <w:jc w:val="right"/>
            </w:pPr>
            <w:r>
              <w:t xml:space="preserve">27</w:t>
            </w:r>
          </w:p>
        </w:tc>
        <w:tc>
          <w:tcPr/>
          <w:p>
            <w:pPr>
              <w:pStyle w:val="Compact"/>
              <w:jc w:val="right"/>
            </w:pPr>
            <w:r>
              <w:t xml:space="preserve">210</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80</w:t>
            </w:r>
          </w:p>
        </w:tc>
        <w:tc>
          <w:tcPr/>
          <w:p>
            <w:pPr>
              <w:pStyle w:val="Compact"/>
              <w:jc w:val="right"/>
            </w:pPr>
            <w:r>
              <w:t xml:space="preserve">8</w:t>
            </w:r>
          </w:p>
        </w:tc>
        <w:tc>
          <w:tcPr/>
          <w:p>
            <w:pPr>
              <w:pStyle w:val="Compact"/>
              <w:jc w:val="right"/>
            </w:pPr>
            <w:r>
              <w:t xml:space="preserve">2</w:t>
            </w:r>
          </w:p>
        </w:tc>
        <w:tc>
          <w:tcPr/>
          <w:p>
            <w:pPr>
              <w:pStyle w:val="Compact"/>
              <w:jc w:val="right"/>
            </w:pPr>
            <w:r>
              <w:t xml:space="preserve">9</w:t>
            </w:r>
          </w:p>
        </w:tc>
        <w:tc>
          <w:tcPr/>
          <w:p>
            <w:pPr>
              <w:pStyle w:val="Compact"/>
              <w:jc w:val="right"/>
            </w:pPr>
            <w:r>
              <w:t xml:space="preserve">99</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032</w:t>
            </w:r>
            <w:r>
              <w:rPr>
                <w:rStyle w:val="FootnoteReference"/>
              </w:rPr>
              <w:footnoteReference w:id="569"/>
            </w:r>
          </w:p>
        </w:tc>
        <w:tc>
          <w:tcPr/>
          <w:p>
            <w:pPr>
              <w:pStyle w:val="Compact"/>
              <w:jc w:val="left"/>
            </w:pPr>
            <w:r>
              <w:t xml:space="preserve">IV</w:t>
            </w:r>
          </w:p>
        </w:tc>
        <w:tc>
          <w:tcPr/>
          <w:p>
            <w:pPr>
              <w:pStyle w:val="Compact"/>
              <w:jc w:val="left"/>
            </w:pPr>
            <w:r>
              <w:t xml:space="preserve">e</w:t>
            </w:r>
          </w:p>
        </w:tc>
        <w:tc>
          <w:tcPr/>
          <w:p>
            <w:pPr>
              <w:pStyle w:val="Compact"/>
              <w:jc w:val="right"/>
            </w:pPr>
            <w:r>
              <w:t xml:space="preserve">54</w:t>
            </w:r>
          </w:p>
        </w:tc>
        <w:tc>
          <w:tcPr/>
          <w:p>
            <w:pPr>
              <w:pStyle w:val="Compact"/>
              <w:jc w:val="right"/>
            </w:pPr>
            <w:r>
              <w:t xml:space="preserve">70</w:t>
            </w:r>
          </w:p>
        </w:tc>
        <w:tc>
          <w:tcPr/>
          <w:p>
            <w:pPr>
              <w:pStyle w:val="Compact"/>
              <w:jc w:val="right"/>
            </w:pPr>
            <w:r>
              <w:t xml:space="preserve">118</w:t>
            </w:r>
          </w:p>
        </w:tc>
        <w:tc>
          <w:tcPr/>
          <w:p>
            <w:pPr>
              <w:pStyle w:val="Compact"/>
              <w:jc w:val="right"/>
            </w:pPr>
            <w:r>
              <w:t xml:space="preserve">88</w:t>
            </w:r>
          </w:p>
        </w:tc>
        <w:tc>
          <w:tcPr/>
          <w:p>
            <w:pPr>
              <w:pStyle w:val="Compact"/>
              <w:jc w:val="right"/>
            </w:pPr>
            <w:r>
              <w:t xml:space="preserve">330</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02</w:t>
            </w:r>
          </w:p>
        </w:tc>
        <w:tc>
          <w:tcPr/>
          <w:p>
            <w:pPr>
              <w:pStyle w:val="Compact"/>
              <w:jc w:val="left"/>
            </w:pPr>
            <w:r>
              <w:t xml:space="preserve">V</w:t>
            </w:r>
          </w:p>
        </w:tc>
        <w:tc>
          <w:tcPr/>
          <w:p>
            <w:pPr>
              <w:pStyle w:val="Compact"/>
              <w:jc w:val="left"/>
            </w:pPr>
            <w:r>
              <w:t xml:space="preserve">e</w:t>
            </w:r>
          </w:p>
        </w:tc>
        <w:tc>
          <w:tcPr/>
          <w:p>
            <w:pPr>
              <w:pStyle w:val="Compact"/>
              <w:jc w:val="right"/>
            </w:pPr>
            <w:r>
              <w:t xml:space="preserve">18</w:t>
            </w:r>
          </w:p>
        </w:tc>
        <w:tc>
          <w:tcPr/>
          <w:p>
            <w:pPr>
              <w:pStyle w:val="Compact"/>
              <w:jc w:val="right"/>
            </w:pPr>
            <w:r>
              <w:t xml:space="preserve">84</w:t>
            </w:r>
          </w:p>
        </w:tc>
        <w:tc>
          <w:tcPr/>
          <w:p>
            <w:pPr>
              <w:pStyle w:val="Compact"/>
              <w:jc w:val="right"/>
            </w:pPr>
            <w:r>
              <w:t xml:space="preserve">151</w:t>
            </w:r>
          </w:p>
        </w:tc>
        <w:tc>
          <w:tcPr/>
          <w:p>
            <w:pPr>
              <w:pStyle w:val="Compact"/>
              <w:jc w:val="right"/>
            </w:pPr>
            <w:r>
              <w:t xml:space="preserve">15</w:t>
            </w:r>
          </w:p>
        </w:tc>
        <w:tc>
          <w:tcPr/>
          <w:p>
            <w:pPr>
              <w:pStyle w:val="Compact"/>
              <w:jc w:val="right"/>
            </w:pPr>
            <w:r>
              <w:t xml:space="preserve">268</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65</w:t>
            </w:r>
          </w:p>
        </w:tc>
        <w:tc>
          <w:tcPr/>
          <w:p>
            <w:pPr>
              <w:pStyle w:val="Compact"/>
              <w:jc w:val="right"/>
            </w:pPr>
            <w:r>
              <w:t xml:space="preserve">22</w:t>
            </w:r>
          </w:p>
        </w:tc>
        <w:tc>
          <w:tcPr/>
          <w:p>
            <w:pPr>
              <w:pStyle w:val="Compact"/>
              <w:jc w:val="right"/>
            </w:pPr>
            <w:r>
              <w:t xml:space="preserve">9</w:t>
            </w:r>
          </w:p>
        </w:tc>
        <w:tc>
          <w:tcPr/>
          <w:p>
            <w:pPr>
              <w:pStyle w:val="Compact"/>
              <w:jc w:val="right"/>
            </w:pPr>
            <w:r>
              <w:t xml:space="preserve">12</w:t>
            </w:r>
          </w:p>
        </w:tc>
        <w:tc>
          <w:tcPr/>
          <w:p>
            <w:pPr>
              <w:pStyle w:val="Compact"/>
              <w:jc w:val="right"/>
            </w:pPr>
            <w:r>
              <w:t xml:space="preserve">108</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149</w:t>
            </w:r>
          </w:p>
        </w:tc>
        <w:tc>
          <w:tcPr/>
          <w:p>
            <w:pPr>
              <w:pStyle w:val="Compact"/>
              <w:jc w:val="right"/>
            </w:pPr>
            <w:r>
              <w:t xml:space="preserve">28</w:t>
            </w:r>
          </w:p>
        </w:tc>
        <w:tc>
          <w:tcPr/>
          <w:p>
            <w:pPr>
              <w:pStyle w:val="Compact"/>
              <w:jc w:val="right"/>
            </w:pPr>
            <w:r>
              <w:t xml:space="preserve">31</w:t>
            </w:r>
          </w:p>
        </w:tc>
        <w:tc>
          <w:tcPr/>
          <w:p>
            <w:pPr>
              <w:pStyle w:val="Compact"/>
              <w:jc w:val="right"/>
            </w:pPr>
            <w:r>
              <w:t xml:space="preserve">37</w:t>
            </w:r>
          </w:p>
        </w:tc>
        <w:tc>
          <w:tcPr/>
          <w:p>
            <w:pPr>
              <w:pStyle w:val="Compact"/>
              <w:jc w:val="right"/>
            </w:pPr>
            <w:r>
              <w:t xml:space="preserve">245</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62</w:t>
            </w:r>
          </w:p>
        </w:tc>
        <w:tc>
          <w:tcPr/>
          <w:p>
            <w:pPr>
              <w:pStyle w:val="Compact"/>
              <w:jc w:val="right"/>
            </w:pPr>
            <w:r>
              <w:t xml:space="preserve">5</w:t>
            </w:r>
          </w:p>
        </w:tc>
        <w:tc>
          <w:tcPr/>
          <w:p>
            <w:pPr>
              <w:pStyle w:val="Compact"/>
              <w:jc w:val="right"/>
            </w:pPr>
            <w:r>
              <w:t xml:space="preserve">18</w:t>
            </w:r>
          </w:p>
        </w:tc>
        <w:tc>
          <w:tcPr/>
          <w:p>
            <w:pPr>
              <w:pStyle w:val="Compact"/>
              <w:jc w:val="right"/>
            </w:pPr>
            <w:r>
              <w:t xml:space="preserve">12</w:t>
            </w:r>
          </w:p>
        </w:tc>
        <w:tc>
          <w:tcPr/>
          <w:p>
            <w:pPr>
              <w:pStyle w:val="Compact"/>
              <w:jc w:val="right"/>
            </w:pPr>
            <w:r>
              <w:t xml:space="preserve">97</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04</w:t>
            </w:r>
          </w:p>
        </w:tc>
        <w:tc>
          <w:tcPr/>
          <w:p>
            <w:pPr>
              <w:pStyle w:val="Compact"/>
              <w:jc w:val="left"/>
            </w:pPr>
            <w:r>
              <w:t xml:space="preserve">V</w:t>
            </w:r>
          </w:p>
        </w:tc>
        <w:tc>
          <w:tcPr/>
          <w:p>
            <w:pPr>
              <w:pStyle w:val="Compact"/>
              <w:jc w:val="left"/>
            </w:pPr>
            <w:r>
              <w:t xml:space="preserve">e</w:t>
            </w:r>
          </w:p>
        </w:tc>
        <w:tc>
          <w:tcPr/>
          <w:p>
            <w:pPr>
              <w:pStyle w:val="Compact"/>
              <w:jc w:val="right"/>
            </w:pPr>
            <w:r>
              <w:t xml:space="preserve">66</w:t>
            </w:r>
          </w:p>
        </w:tc>
        <w:tc>
          <w:tcPr/>
          <w:p>
            <w:pPr>
              <w:pStyle w:val="Compact"/>
              <w:jc w:val="right"/>
            </w:pPr>
            <w:r>
              <w:t xml:space="preserve">66</w:t>
            </w:r>
          </w:p>
        </w:tc>
        <w:tc>
          <w:tcPr/>
          <w:p>
            <w:pPr>
              <w:pStyle w:val="Compact"/>
              <w:jc w:val="right"/>
            </w:pPr>
            <w:r>
              <w:t xml:space="preserve">87</w:t>
            </w:r>
          </w:p>
        </w:tc>
        <w:tc>
          <w:tcPr/>
          <w:p>
            <w:pPr>
              <w:pStyle w:val="Compact"/>
              <w:jc w:val="right"/>
            </w:pPr>
            <w:r>
              <w:t xml:space="preserve">50</w:t>
            </w:r>
          </w:p>
        </w:tc>
        <w:tc>
          <w:tcPr/>
          <w:p>
            <w:pPr>
              <w:pStyle w:val="Compact"/>
              <w:jc w:val="right"/>
            </w:pPr>
            <w:r>
              <w:t xml:space="preserve">269</w:t>
            </w:r>
          </w:p>
        </w:tc>
        <w:tc>
          <w:tcPr/>
          <w:p>
            <w:pPr>
              <w:pStyle w:val="Compact"/>
              <w:jc w:val="left"/>
            </w:pPr>
            <w:r>
              <w:t xml:space="preserve">M-</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37</w:t>
            </w:r>
          </w:p>
        </w:tc>
        <w:tc>
          <w:tcPr/>
          <w:p>
            <w:pPr>
              <w:pStyle w:val="Compact"/>
              <w:jc w:val="right"/>
            </w:pPr>
            <w:r>
              <w:t xml:space="preserve">12</w:t>
            </w:r>
          </w:p>
        </w:tc>
        <w:tc>
          <w:tcPr/>
          <w:p>
            <w:pPr>
              <w:pStyle w:val="Compact"/>
              <w:jc w:val="right"/>
            </w:pPr>
            <w:r>
              <w:t xml:space="preserve">12</w:t>
            </w:r>
          </w:p>
        </w:tc>
        <w:tc>
          <w:tcPr/>
          <w:p>
            <w:pPr>
              <w:pStyle w:val="Compact"/>
              <w:jc w:val="right"/>
            </w:pPr>
            <w:r>
              <w:t xml:space="preserve">11</w:t>
            </w:r>
          </w:p>
        </w:tc>
        <w:tc>
          <w:tcPr/>
          <w:p>
            <w:pPr>
              <w:pStyle w:val="Compact"/>
              <w:jc w:val="right"/>
            </w:pPr>
            <w:r>
              <w:t xml:space="preserve">72</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104</w:t>
            </w:r>
          </w:p>
        </w:tc>
        <w:tc>
          <w:tcPr/>
          <w:p>
            <w:pPr>
              <w:pStyle w:val="Compact"/>
              <w:jc w:val="right"/>
            </w:pPr>
            <w:r>
              <w:t xml:space="preserve">23</w:t>
            </w:r>
          </w:p>
        </w:tc>
        <w:tc>
          <w:tcPr/>
          <w:p>
            <w:pPr>
              <w:pStyle w:val="Compact"/>
              <w:jc w:val="right"/>
            </w:pPr>
            <w:r>
              <w:t xml:space="preserve">31</w:t>
            </w:r>
          </w:p>
        </w:tc>
        <w:tc>
          <w:tcPr/>
          <w:p>
            <w:pPr>
              <w:pStyle w:val="Compact"/>
              <w:jc w:val="right"/>
            </w:pPr>
            <w:r>
              <w:t xml:space="preserve">15</w:t>
            </w:r>
          </w:p>
        </w:tc>
        <w:tc>
          <w:tcPr/>
          <w:p>
            <w:pPr>
              <w:pStyle w:val="Compact"/>
              <w:jc w:val="right"/>
            </w:pPr>
            <w:r>
              <w:t xml:space="preserve">173</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41</w:t>
            </w:r>
          </w:p>
        </w:tc>
        <w:tc>
          <w:tcPr/>
          <w:p>
            <w:pPr>
              <w:pStyle w:val="Compact"/>
              <w:jc w:val="right"/>
            </w:pPr>
            <w:r>
              <w:t xml:space="preserve">3</w:t>
            </w:r>
          </w:p>
        </w:tc>
        <w:tc>
          <w:tcPr/>
          <w:p>
            <w:pPr>
              <w:pStyle w:val="Compact"/>
              <w:jc w:val="right"/>
            </w:pPr>
            <w:r>
              <w:t xml:space="preserve">15</w:t>
            </w:r>
          </w:p>
        </w:tc>
        <w:tc>
          <w:tcPr/>
          <w:p>
            <w:pPr>
              <w:pStyle w:val="Compact"/>
              <w:jc w:val="right"/>
            </w:pPr>
            <w:r>
              <w:t xml:space="preserve">12</w:t>
            </w:r>
          </w:p>
        </w:tc>
        <w:tc>
          <w:tcPr/>
          <w:p>
            <w:pPr>
              <w:pStyle w:val="Compact"/>
              <w:jc w:val="right"/>
            </w:pPr>
            <w:r>
              <w:t xml:space="preserve">71</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05</w:t>
            </w:r>
          </w:p>
        </w:tc>
        <w:tc>
          <w:tcPr/>
          <w:p>
            <w:pPr>
              <w:pStyle w:val="Compact"/>
              <w:jc w:val="left"/>
            </w:pPr>
            <w:r>
              <w:t xml:space="preserve">V</w:t>
            </w:r>
          </w:p>
        </w:tc>
        <w:tc>
          <w:tcPr/>
          <w:p>
            <w:pPr>
              <w:pStyle w:val="Compact"/>
              <w:jc w:val="left"/>
            </w:pPr>
            <w:r>
              <w:t xml:space="preserve">e</w:t>
            </w:r>
          </w:p>
        </w:tc>
        <w:tc>
          <w:tcPr/>
          <w:p>
            <w:pPr>
              <w:pStyle w:val="Compact"/>
              <w:jc w:val="right"/>
            </w:pPr>
            <w:r>
              <w:t xml:space="preserve">77</w:t>
            </w:r>
          </w:p>
        </w:tc>
        <w:tc>
          <w:tcPr/>
          <w:p>
            <w:pPr>
              <w:pStyle w:val="Compact"/>
              <w:jc w:val="right"/>
            </w:pPr>
            <w:r>
              <w:t xml:space="preserve">48</w:t>
            </w:r>
          </w:p>
        </w:tc>
        <w:tc>
          <w:tcPr/>
          <w:p>
            <w:pPr>
              <w:pStyle w:val="Compact"/>
              <w:jc w:val="right"/>
            </w:pPr>
            <w:r>
              <w:t xml:space="preserve">65</w:t>
            </w:r>
          </w:p>
        </w:tc>
        <w:tc>
          <w:tcPr/>
          <w:p>
            <w:pPr>
              <w:pStyle w:val="Compact"/>
              <w:jc w:val="right"/>
            </w:pPr>
            <w:r>
              <w:t xml:space="preserve">134</w:t>
            </w:r>
          </w:p>
        </w:tc>
        <w:tc>
          <w:tcPr/>
          <w:p>
            <w:pPr>
              <w:pStyle w:val="Compact"/>
              <w:jc w:val="right"/>
            </w:pPr>
            <w:r>
              <w:t xml:space="preserve">324</w:t>
            </w:r>
          </w:p>
        </w:tc>
        <w:tc>
          <w:tcPr/>
          <w:p>
            <w:pPr>
              <w:pStyle w:val="Compact"/>
              <w:jc w:val="left"/>
            </w:pPr>
            <w:r>
              <w:t xml:space="preserve">O-</w:t>
            </w:r>
          </w:p>
        </w:tc>
        <w:tc>
          <w:tcPr/>
          <w:p>
            <w:pPr>
              <w:pStyle w:val="Compact"/>
              <w:jc w:val="left"/>
            </w:pPr>
            <w:r>
              <w:t xml:space="preserve">IV</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16</w:t>
            </w:r>
          </w:p>
        </w:tc>
        <w:tc>
          <w:tcPr/>
          <w:p>
            <w:pPr>
              <w:pStyle w:val="Compact"/>
              <w:jc w:val="right"/>
            </w:pPr>
            <w:r>
              <w:t xml:space="preserve">7</w:t>
            </w:r>
          </w:p>
        </w:tc>
        <w:tc>
          <w:tcPr/>
          <w:p>
            <w:pPr>
              <w:pStyle w:val="Compact"/>
              <w:jc w:val="right"/>
            </w:pPr>
            <w:r>
              <w:t xml:space="preserve">21</w:t>
            </w:r>
          </w:p>
        </w:tc>
        <w:tc>
          <w:tcPr/>
          <w:p>
            <w:pPr>
              <w:pStyle w:val="Compact"/>
              <w:jc w:val="right"/>
            </w:pPr>
            <w:r>
              <w:t xml:space="preserve">33</w:t>
            </w:r>
          </w:p>
        </w:tc>
        <w:tc>
          <w:tcPr/>
          <w:p>
            <w:pPr>
              <w:pStyle w:val="Compact"/>
              <w:jc w:val="right"/>
            </w:pPr>
            <w:r>
              <w:t xml:space="preserve">77</w:t>
            </w:r>
          </w:p>
        </w:tc>
        <w:tc>
          <w:tcPr/>
          <w:p>
            <w:pPr>
              <w:pStyle w:val="Compact"/>
              <w:jc w:val="left"/>
            </w:pPr>
            <w:r>
              <w:t xml:space="preserve">O-</w:t>
            </w:r>
          </w:p>
        </w:tc>
        <w:tc>
          <w:tcPr/>
          <w:p>
            <w:pPr>
              <w:pStyle w:val="Compact"/>
              <w:jc w:val="left"/>
            </w:pPr>
            <w:r>
              <w:t xml:space="preserve">IV</w:t>
            </w:r>
          </w:p>
        </w:tc>
      </w:tr>
      <w:tr>
        <w:tc>
          <w:tcPr/>
          <w:p>
            <w:pPr>
              <w:pStyle w:val="Compact"/>
              <w:jc w:val="left"/>
            </w:pPr>
            <w:r>
              <w:t xml:space="preserve">016</w:t>
            </w:r>
          </w:p>
        </w:tc>
        <w:tc>
          <w:tcPr/>
          <w:p>
            <w:pPr>
              <w:pStyle w:val="Compact"/>
              <w:jc w:val="left"/>
            </w:pPr>
            <w:r>
              <w:t xml:space="preserve">V</w:t>
            </w:r>
          </w:p>
        </w:tc>
        <w:tc>
          <w:tcPr/>
          <w:p>
            <w:pPr>
              <w:pStyle w:val="Compact"/>
              <w:jc w:val="left"/>
            </w:pPr>
            <w:r>
              <w:t xml:space="preserve">p</w:t>
            </w:r>
          </w:p>
        </w:tc>
        <w:tc>
          <w:tcPr/>
          <w:p>
            <w:pPr>
              <w:pStyle w:val="Compact"/>
              <w:jc w:val="right"/>
            </w:pPr>
            <w:r>
              <w:t xml:space="preserve">15</w:t>
            </w:r>
          </w:p>
        </w:tc>
        <w:tc>
          <w:tcPr/>
          <w:p>
            <w:pPr>
              <w:pStyle w:val="Compact"/>
              <w:jc w:val="right"/>
            </w:pPr>
            <w:r>
              <w:t xml:space="preserve">1</w:t>
            </w:r>
          </w:p>
        </w:tc>
        <w:tc>
          <w:tcPr/>
          <w:p>
            <w:pPr>
              <w:pStyle w:val="Compact"/>
              <w:jc w:val="right"/>
            </w:pPr>
            <w:r>
              <w:t xml:space="preserve">2</w:t>
            </w:r>
          </w:p>
        </w:tc>
        <w:tc>
          <w:tcPr/>
          <w:p>
            <w:pPr>
              <w:pStyle w:val="Compact"/>
              <w:jc w:val="right"/>
            </w:pPr>
            <w:r>
              <w:t xml:space="preserve">6</w:t>
            </w:r>
          </w:p>
        </w:tc>
        <w:tc>
          <w:tcPr/>
          <w:p>
            <w:pPr>
              <w:pStyle w:val="Compact"/>
              <w:jc w:val="right"/>
            </w:pPr>
            <w:r>
              <w:t xml:space="preserve">24</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026</w:t>
            </w:r>
          </w:p>
        </w:tc>
        <w:tc>
          <w:tcPr/>
          <w:p>
            <w:pPr>
              <w:pStyle w:val="Compact"/>
              <w:jc w:val="left"/>
            </w:pPr>
            <w:r>
              <w:t xml:space="preserve">V</w:t>
            </w:r>
          </w:p>
        </w:tc>
        <w:tc>
          <w:tcPr/>
          <w:p>
            <w:pPr>
              <w:pStyle w:val="Compact"/>
              <w:jc w:val="left"/>
            </w:pPr>
            <w:r>
              <w:t xml:space="preserve">e</w:t>
            </w:r>
          </w:p>
        </w:tc>
        <w:tc>
          <w:tcPr/>
          <w:p>
            <w:pPr>
              <w:pStyle w:val="Compact"/>
              <w:jc w:val="right"/>
            </w:pPr>
            <w:r>
              <w:t xml:space="preserve">0</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right"/>
            </w:pPr>
            <w:r>
              <w:t xml:space="preserve">12</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048</w:t>
            </w:r>
          </w:p>
        </w:tc>
        <w:tc>
          <w:tcPr/>
          <w:p>
            <w:pPr>
              <w:pStyle w:val="Compact"/>
              <w:jc w:val="left"/>
            </w:pPr>
            <w:r>
              <w:t xml:space="preserve">V</w:t>
            </w:r>
          </w:p>
        </w:tc>
        <w:tc>
          <w:tcPr/>
          <w:p>
            <w:pPr>
              <w:pStyle w:val="Compact"/>
              <w:jc w:val="left"/>
            </w:pPr>
            <w:r>
              <w:t xml:space="preserve">p*</w:t>
            </w:r>
          </w:p>
        </w:tc>
        <w:tc>
          <w:tcPr/>
          <w:p>
            <w:pPr>
              <w:pStyle w:val="Compact"/>
              <w:jc w:val="right"/>
            </w:pPr>
            <w:r>
              <w:t xml:space="preserve">26</w:t>
            </w:r>
          </w:p>
        </w:tc>
        <w:tc>
          <w:tcPr/>
          <w:p>
            <w:pPr>
              <w:pStyle w:val="Compact"/>
              <w:jc w:val="right"/>
            </w:pPr>
            <w:r>
              <w:t xml:space="preserve">7</w:t>
            </w:r>
          </w:p>
        </w:tc>
        <w:tc>
          <w:tcPr/>
          <w:p>
            <w:pPr>
              <w:pStyle w:val="Compact"/>
              <w:jc w:val="right"/>
            </w:pPr>
            <w:r>
              <w:t xml:space="preserve">3</w:t>
            </w:r>
          </w:p>
        </w:tc>
        <w:tc>
          <w:tcPr/>
          <w:p>
            <w:pPr>
              <w:pStyle w:val="Compact"/>
              <w:jc w:val="right"/>
            </w:pPr>
            <w:r>
              <w:t xml:space="preserve">4</w:t>
            </w:r>
          </w:p>
        </w:tc>
        <w:tc>
          <w:tcPr/>
          <w:p>
            <w:pPr>
              <w:pStyle w:val="Compact"/>
              <w:jc w:val="right"/>
            </w:pPr>
            <w:r>
              <w:t xml:space="preserve">40</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0274</w:t>
            </w:r>
          </w:p>
        </w:tc>
        <w:tc>
          <w:tcPr/>
          <w:p>
            <w:pPr>
              <w:pStyle w:val="Compact"/>
              <w:jc w:val="left"/>
            </w:pPr>
            <w:r>
              <w:t xml:space="preserve">V</w:t>
            </w:r>
          </w:p>
        </w:tc>
        <w:tc>
          <w:tcPr/>
          <w:p>
            <w:pPr>
              <w:pStyle w:val="Compact"/>
              <w:jc w:val="left"/>
            </w:pPr>
            <w:r>
              <w:t xml:space="preserve">e</w:t>
            </w:r>
          </w:p>
        </w:tc>
        <w:tc>
          <w:tcPr/>
          <w:p>
            <w:pPr>
              <w:pStyle w:val="Compact"/>
              <w:jc w:val="right"/>
            </w:pPr>
            <w:r>
              <w:t xml:space="preserve">19</w:t>
            </w:r>
          </w:p>
        </w:tc>
        <w:tc>
          <w:tcPr/>
          <w:p>
            <w:pPr>
              <w:pStyle w:val="Compact"/>
              <w:jc w:val="right"/>
            </w:pPr>
            <w:r>
              <w:t xml:space="preserve">6</w:t>
            </w:r>
          </w:p>
        </w:tc>
        <w:tc>
          <w:tcPr/>
          <w:p>
            <w:pPr>
              <w:pStyle w:val="Compact"/>
              <w:jc w:val="right"/>
            </w:pPr>
            <w:r>
              <w:t xml:space="preserve">0</w:t>
            </w:r>
          </w:p>
        </w:tc>
        <w:tc>
          <w:tcPr/>
          <w:p>
            <w:pPr>
              <w:pStyle w:val="Compact"/>
              <w:jc w:val="right"/>
            </w:pPr>
            <w:r>
              <w:t xml:space="preserve">2</w:t>
            </w:r>
          </w:p>
        </w:tc>
        <w:tc>
          <w:tcPr/>
          <w:p>
            <w:pPr>
              <w:pStyle w:val="Compact"/>
              <w:jc w:val="right"/>
            </w:pPr>
            <w:r>
              <w:t xml:space="preserve">27</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06</w:t>
            </w:r>
          </w:p>
        </w:tc>
        <w:tc>
          <w:tcPr/>
          <w:p>
            <w:pPr>
              <w:pStyle w:val="Compact"/>
              <w:jc w:val="left"/>
            </w:pPr>
            <w:r>
              <w:t xml:space="preserve">VI</w:t>
            </w:r>
          </w:p>
        </w:tc>
        <w:tc>
          <w:tcPr/>
          <w:p>
            <w:pPr>
              <w:pStyle w:val="Compact"/>
              <w:jc w:val="left"/>
            </w:pPr>
            <w:r>
              <w:t xml:space="preserve">p</w:t>
            </w:r>
          </w:p>
        </w:tc>
        <w:tc>
          <w:tcPr/>
          <w:p>
            <w:pPr>
              <w:pStyle w:val="Compact"/>
              <w:jc w:val="right"/>
            </w:pPr>
            <w:r>
              <w:t xml:space="preserve">112</w:t>
            </w:r>
          </w:p>
        </w:tc>
        <w:tc>
          <w:tcPr/>
          <w:p>
            <w:pPr>
              <w:pStyle w:val="Compact"/>
              <w:jc w:val="right"/>
            </w:pPr>
            <w:r>
              <w:t xml:space="preserve">29</w:t>
            </w:r>
          </w:p>
        </w:tc>
        <w:tc>
          <w:tcPr/>
          <w:p>
            <w:pPr>
              <w:pStyle w:val="Compact"/>
              <w:jc w:val="right"/>
            </w:pPr>
            <w:r>
              <w:t xml:space="preserve">137</w:t>
            </w:r>
          </w:p>
        </w:tc>
        <w:tc>
          <w:tcPr/>
          <w:p>
            <w:pPr>
              <w:pStyle w:val="Compact"/>
              <w:jc w:val="right"/>
            </w:pPr>
            <w:r>
              <w:t xml:space="preserve">83</w:t>
            </w:r>
          </w:p>
        </w:tc>
        <w:tc>
          <w:tcPr/>
          <w:p>
            <w:pPr>
              <w:pStyle w:val="Compact"/>
              <w:jc w:val="right"/>
            </w:pPr>
            <w:r>
              <w:t xml:space="preserve">361</w:t>
            </w:r>
          </w:p>
        </w:tc>
        <w:tc>
          <w:tcPr/>
          <w:p>
            <w:pPr>
              <w:pStyle w:val="Compact"/>
              <w:jc w:val="left"/>
            </w:pPr>
            <w:r>
              <w:t xml:space="preserve">M-</w:t>
            </w:r>
          </w:p>
        </w:tc>
        <w:tc>
          <w:tcPr/>
          <w:p>
            <w:pPr>
              <w:pStyle w:val="Compact"/>
              <w:jc w:val="left"/>
            </w:pPr>
            <w:r>
              <w:t xml:space="preserve">II</w:t>
            </w:r>
          </w:p>
        </w:tc>
      </w:tr>
      <w:tr>
        <w:tc>
          <w:tcPr/>
          <w:p>
            <w:pPr>
              <w:pStyle w:val="Compact"/>
              <w:jc w:val="left"/>
            </w:pPr>
            <w:r>
              <w:t xml:space="preserve">08</w:t>
            </w:r>
          </w:p>
        </w:tc>
        <w:tc>
          <w:tcPr/>
          <w:p>
            <w:pPr>
              <w:pStyle w:val="Compact"/>
              <w:jc w:val="left"/>
            </w:pPr>
            <w:r>
              <w:t xml:space="preserve">VI</w:t>
            </w:r>
          </w:p>
        </w:tc>
        <w:tc>
          <w:tcPr/>
          <w:p>
            <w:pPr>
              <w:pStyle w:val="Compact"/>
              <w:jc w:val="left"/>
            </w:pPr>
            <w:r>
              <w:t xml:space="preserve">a</w:t>
            </w:r>
          </w:p>
        </w:tc>
        <w:tc>
          <w:tcPr/>
          <w:p>
            <w:pPr>
              <w:pStyle w:val="Compact"/>
              <w:jc w:val="right"/>
            </w:pPr>
            <w:r>
              <w:t xml:space="preserve">23</w:t>
            </w:r>
          </w:p>
        </w:tc>
        <w:tc>
          <w:tcPr/>
          <w:p>
            <w:pPr>
              <w:pStyle w:val="Compact"/>
              <w:jc w:val="right"/>
            </w:pPr>
            <w:r>
              <w:t xml:space="preserve">21</w:t>
            </w:r>
          </w:p>
        </w:tc>
        <w:tc>
          <w:tcPr/>
          <w:p>
            <w:pPr>
              <w:pStyle w:val="Compact"/>
              <w:jc w:val="right"/>
            </w:pPr>
            <w:r>
              <w:t xml:space="preserve">36</w:t>
            </w:r>
          </w:p>
        </w:tc>
        <w:tc>
          <w:tcPr/>
          <w:p>
            <w:pPr>
              <w:pStyle w:val="Compact"/>
              <w:jc w:val="right"/>
            </w:pPr>
            <w:r>
              <w:t xml:space="preserve">22</w:t>
            </w:r>
          </w:p>
        </w:tc>
        <w:tc>
          <w:tcPr/>
          <w:p>
            <w:pPr>
              <w:pStyle w:val="Compact"/>
              <w:jc w:val="right"/>
            </w:pPr>
            <w:r>
              <w:t xml:space="preserve">102</w:t>
            </w:r>
          </w:p>
        </w:tc>
        <w:tc>
          <w:tcPr/>
          <w:p>
            <w:pPr>
              <w:pStyle w:val="Compact"/>
              <w:jc w:val="left"/>
            </w:pPr>
            <w:r>
              <w:t xml:space="preserve">M-</w:t>
            </w:r>
          </w:p>
        </w:tc>
        <w:tc>
          <w:tcPr/>
          <w:p>
            <w:pPr>
              <w:pStyle w:val="Compact"/>
              <w:jc w:val="left"/>
            </w:pPr>
            <w:r>
              <w:t xml:space="preserve">II</w:t>
            </w:r>
          </w:p>
        </w:tc>
      </w:tr>
      <w:tr>
        <w:tc>
          <w:tcPr/>
          <w:p>
            <w:pPr>
              <w:pStyle w:val="Compact"/>
              <w:jc w:val="left"/>
            </w:pPr>
            <w:r>
              <w:t xml:space="preserve">015</w:t>
            </w:r>
          </w:p>
        </w:tc>
        <w:tc>
          <w:tcPr/>
          <w:p>
            <w:pPr>
              <w:pStyle w:val="Compact"/>
              <w:jc w:val="left"/>
            </w:pPr>
            <w:r>
              <w:t xml:space="preserve">VI</w:t>
            </w:r>
          </w:p>
        </w:tc>
        <w:tc>
          <w:tcPr/>
          <w:p>
            <w:pPr>
              <w:pStyle w:val="Compact"/>
              <w:jc w:val="left"/>
            </w:pPr>
            <w:r>
              <w:t xml:space="preserve">p</w:t>
            </w:r>
          </w:p>
        </w:tc>
        <w:tc>
          <w:tcPr/>
          <w:p>
            <w:pPr>
              <w:pStyle w:val="Compact"/>
              <w:jc w:val="right"/>
            </w:pPr>
            <w:r>
              <w:t xml:space="preserve">11</w:t>
            </w:r>
          </w:p>
        </w:tc>
        <w:tc>
          <w:tcPr/>
          <w:p>
            <w:pPr>
              <w:pStyle w:val="Compact"/>
              <w:jc w:val="right"/>
            </w:pPr>
            <w:r>
              <w:t xml:space="preserve">0</w:t>
            </w:r>
          </w:p>
        </w:tc>
        <w:tc>
          <w:tcPr/>
          <w:p>
            <w:pPr>
              <w:pStyle w:val="Compact"/>
              <w:jc w:val="right"/>
            </w:pPr>
            <w:r>
              <w:t xml:space="preserve">5</w:t>
            </w:r>
          </w:p>
        </w:tc>
        <w:tc>
          <w:tcPr/>
          <w:p>
            <w:pPr>
              <w:pStyle w:val="Compact"/>
              <w:jc w:val="right"/>
            </w:pPr>
            <w:r>
              <w:t xml:space="preserve">1</w:t>
            </w:r>
          </w:p>
        </w:tc>
        <w:tc>
          <w:tcPr/>
          <w:p>
            <w:pPr>
              <w:pStyle w:val="Compact"/>
              <w:jc w:val="right"/>
            </w:pPr>
            <w:r>
              <w:t xml:space="preserve">17</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022</w:t>
            </w:r>
          </w:p>
        </w:tc>
        <w:tc>
          <w:tcPr/>
          <w:p>
            <w:pPr>
              <w:pStyle w:val="Compact"/>
              <w:jc w:val="left"/>
            </w:pPr>
            <w:r>
              <w:t xml:space="preserve">VI</w:t>
            </w:r>
          </w:p>
        </w:tc>
        <w:tc>
          <w:tcPr/>
          <w:p>
            <w:pPr>
              <w:pStyle w:val="Compact"/>
              <w:jc w:val="left"/>
            </w:pPr>
            <w:r>
              <w:t xml:space="preserve">e</w:t>
            </w:r>
          </w:p>
        </w:tc>
        <w:tc>
          <w:tcPr/>
          <w:p>
            <w:pPr>
              <w:pStyle w:val="Compact"/>
              <w:jc w:val="right"/>
            </w:pPr>
            <w:r>
              <w:t xml:space="preserve">8</w:t>
            </w:r>
          </w:p>
        </w:tc>
        <w:tc>
          <w:tcPr/>
          <w:p>
            <w:pPr>
              <w:pStyle w:val="Compact"/>
              <w:jc w:val="right"/>
            </w:pPr>
            <w:r>
              <w:t xml:space="preserve">48</w:t>
            </w:r>
          </w:p>
        </w:tc>
        <w:tc>
          <w:tcPr/>
          <w:p>
            <w:pPr>
              <w:pStyle w:val="Compact"/>
              <w:jc w:val="right"/>
            </w:pPr>
            <w:r>
              <w:t xml:space="preserve">89</w:t>
            </w:r>
          </w:p>
        </w:tc>
        <w:tc>
          <w:tcPr/>
          <w:p>
            <w:pPr>
              <w:pStyle w:val="Compact"/>
              <w:jc w:val="right"/>
            </w:pPr>
            <w:r>
              <w:t xml:space="preserve">15</w:t>
            </w:r>
          </w:p>
        </w:tc>
        <w:tc>
          <w:tcPr/>
          <w:p>
            <w:pPr>
              <w:pStyle w:val="Compact"/>
              <w:jc w:val="right"/>
            </w:pPr>
            <w:r>
              <w:t xml:space="preserve">160</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023</w:t>
            </w:r>
          </w:p>
        </w:tc>
        <w:tc>
          <w:tcPr/>
          <w:p>
            <w:pPr>
              <w:pStyle w:val="Compact"/>
              <w:jc w:val="left"/>
            </w:pPr>
            <w:r>
              <w:t xml:space="preserve">VI</w:t>
            </w:r>
          </w:p>
        </w:tc>
        <w:tc>
          <w:tcPr/>
          <w:p>
            <w:pPr>
              <w:pStyle w:val="Compact"/>
              <w:jc w:val="left"/>
            </w:pPr>
            <w:r>
              <w:t xml:space="preserve">e</w:t>
            </w:r>
          </w:p>
        </w:tc>
        <w:tc>
          <w:tcPr/>
          <w:p>
            <w:pPr>
              <w:pStyle w:val="Compact"/>
              <w:jc w:val="right"/>
            </w:pPr>
            <w:r>
              <w:t xml:space="preserve">0</w:t>
            </w:r>
          </w:p>
        </w:tc>
        <w:tc>
          <w:tcPr/>
          <w:p>
            <w:pPr>
              <w:pStyle w:val="Compact"/>
              <w:jc w:val="right"/>
            </w:pPr>
            <w:r>
              <w:t xml:space="preserve">4</w:t>
            </w:r>
          </w:p>
        </w:tc>
        <w:tc>
          <w:tcPr/>
          <w:p>
            <w:pPr>
              <w:pStyle w:val="Compact"/>
              <w:jc w:val="right"/>
            </w:pPr>
            <w:r>
              <w:t xml:space="preserve">9</w:t>
            </w:r>
          </w:p>
        </w:tc>
        <w:tc>
          <w:tcPr/>
          <w:p>
            <w:pPr>
              <w:pStyle w:val="Compact"/>
              <w:jc w:val="right"/>
            </w:pPr>
            <w:r>
              <w:t xml:space="preserve">3</w:t>
            </w:r>
          </w:p>
        </w:tc>
        <w:tc>
          <w:tcPr/>
          <w:p>
            <w:pPr>
              <w:pStyle w:val="Compact"/>
              <w:jc w:val="right"/>
            </w:pPr>
            <w:r>
              <w:t xml:space="preserve">16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024</w:t>
            </w:r>
          </w:p>
        </w:tc>
        <w:tc>
          <w:tcPr/>
          <w:p>
            <w:pPr>
              <w:pStyle w:val="Compact"/>
              <w:jc w:val="left"/>
            </w:pPr>
            <w:r>
              <w:t xml:space="preserve">VI</w:t>
            </w:r>
          </w:p>
        </w:tc>
        <w:tc>
          <w:tcPr/>
          <w:p>
            <w:pPr>
              <w:pStyle w:val="Compact"/>
              <w:jc w:val="left"/>
            </w:pPr>
            <w:r>
              <w:t xml:space="preserve">e</w:t>
            </w:r>
          </w:p>
        </w:tc>
        <w:tc>
          <w:tcPr/>
          <w:p>
            <w:pPr>
              <w:pStyle w:val="Compact"/>
              <w:jc w:val="right"/>
            </w:pPr>
            <w:r>
              <w:t xml:space="preserve">3</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43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027</w:t>
            </w:r>
          </w:p>
        </w:tc>
        <w:tc>
          <w:tcPr/>
          <w:p>
            <w:pPr>
              <w:pStyle w:val="Compact"/>
              <w:jc w:val="left"/>
            </w:pPr>
            <w:r>
              <w:t xml:space="preserve">VI</w:t>
            </w:r>
          </w:p>
        </w:tc>
        <w:tc>
          <w:tcPr/>
          <w:p>
            <w:pPr>
              <w:pStyle w:val="Compact"/>
              <w:jc w:val="left"/>
            </w:pPr>
            <w:r>
              <w:t xml:space="preserve">e</w:t>
            </w:r>
          </w:p>
        </w:tc>
        <w:tc>
          <w:tcPr/>
          <w:p>
            <w:pPr>
              <w:pStyle w:val="Compact"/>
              <w:jc w:val="right"/>
            </w:pPr>
            <w:r>
              <w:t xml:space="preserve">0</w:t>
            </w:r>
          </w:p>
        </w:tc>
        <w:tc>
          <w:tcPr/>
          <w:p>
            <w:pPr>
              <w:pStyle w:val="Compact"/>
              <w:jc w:val="right"/>
            </w:pPr>
            <w:r>
              <w:t xml:space="preserve">4</w:t>
            </w:r>
          </w:p>
        </w:tc>
        <w:tc>
          <w:tcPr/>
          <w:p>
            <w:pPr>
              <w:pStyle w:val="Compact"/>
              <w:jc w:val="right"/>
            </w:pPr>
            <w:r>
              <w:t xml:space="preserve">11</w:t>
            </w:r>
          </w:p>
        </w:tc>
        <w:tc>
          <w:tcPr/>
          <w:p>
            <w:pPr>
              <w:pStyle w:val="Compact"/>
              <w:jc w:val="right"/>
            </w:pPr>
            <w:r>
              <w:t xml:space="preserve">5</w:t>
            </w:r>
          </w:p>
        </w:tc>
        <w:tc>
          <w:tcPr/>
          <w:p>
            <w:pPr>
              <w:pStyle w:val="Compact"/>
              <w:jc w:val="right"/>
            </w:pPr>
            <w:r>
              <w:t xml:space="preserve">20</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035</w:t>
            </w:r>
          </w:p>
        </w:tc>
        <w:tc>
          <w:tcPr/>
          <w:p>
            <w:pPr>
              <w:pStyle w:val="Compact"/>
              <w:jc w:val="left"/>
            </w:pPr>
            <w:r>
              <w:t xml:space="preserve">VI</w:t>
            </w:r>
          </w:p>
        </w:tc>
        <w:tc>
          <w:tcPr/>
          <w:p>
            <w:pPr>
              <w:pStyle w:val="Compact"/>
              <w:jc w:val="left"/>
            </w:pPr>
            <w:r>
              <w:t xml:space="preserve">e</w:t>
            </w:r>
          </w:p>
        </w:tc>
        <w:tc>
          <w:tcPr/>
          <w:p>
            <w:pPr>
              <w:pStyle w:val="Compact"/>
              <w:jc w:val="right"/>
            </w:pPr>
            <w:r>
              <w:t xml:space="preserve">11</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right"/>
            </w:pPr>
            <w:r>
              <w:t xml:space="preserve">21</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040</w:t>
            </w:r>
          </w:p>
        </w:tc>
        <w:tc>
          <w:tcPr/>
          <w:p>
            <w:pPr>
              <w:pStyle w:val="Compact"/>
              <w:jc w:val="left"/>
            </w:pPr>
            <w:r>
              <w:t xml:space="preserve">VI</w:t>
            </w:r>
          </w:p>
        </w:tc>
        <w:tc>
          <w:tcPr/>
          <w:p>
            <w:pPr>
              <w:pStyle w:val="Compact"/>
              <w:jc w:val="left"/>
            </w:pPr>
            <w:r>
              <w:t xml:space="preserve">e</w:t>
            </w:r>
          </w:p>
        </w:tc>
        <w:tc>
          <w:tcPr/>
          <w:p>
            <w:pPr>
              <w:pStyle w:val="Compact"/>
              <w:jc w:val="right"/>
            </w:pPr>
            <w:r>
              <w:t xml:space="preserve">8</w:t>
            </w:r>
          </w:p>
        </w:tc>
        <w:tc>
          <w:tcPr/>
          <w:p>
            <w:pPr>
              <w:pStyle w:val="Compact"/>
              <w:jc w:val="right"/>
            </w:pPr>
            <w:r>
              <w:t xml:space="preserve">2</w:t>
            </w:r>
          </w:p>
        </w:tc>
        <w:tc>
          <w:tcPr/>
          <w:p>
            <w:pPr>
              <w:pStyle w:val="Compact"/>
              <w:jc w:val="right"/>
            </w:pPr>
            <w:r>
              <w:t xml:space="preserve">2</w:t>
            </w:r>
          </w:p>
        </w:tc>
        <w:tc>
          <w:tcPr/>
          <w:p>
            <w:pPr>
              <w:pStyle w:val="Compact"/>
              <w:jc w:val="right"/>
            </w:pPr>
            <w:r>
              <w:t xml:space="preserve">3</w:t>
            </w:r>
          </w:p>
        </w:tc>
        <w:tc>
          <w:tcPr/>
          <w:p>
            <w:pPr>
              <w:pStyle w:val="Compact"/>
              <w:jc w:val="right"/>
            </w:pPr>
            <w:r>
              <w:t xml:space="preserve">15</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042</w:t>
            </w:r>
          </w:p>
        </w:tc>
        <w:tc>
          <w:tcPr/>
          <w:p>
            <w:pPr>
              <w:pStyle w:val="Compact"/>
              <w:jc w:val="left"/>
            </w:pPr>
            <w:r>
              <w:t xml:space="preserve">VI</w:t>
            </w:r>
          </w:p>
        </w:tc>
        <w:tc>
          <w:tcPr/>
          <w:p>
            <w:pPr>
              <w:pStyle w:val="Compact"/>
              <w:jc w:val="left"/>
            </w:pPr>
            <w:r>
              <w:t xml:space="preserve">e</w:t>
            </w:r>
          </w:p>
        </w:tc>
        <w:tc>
          <w:tcPr/>
          <w:p>
            <w:pPr>
              <w:pStyle w:val="Compact"/>
              <w:jc w:val="right"/>
            </w:pPr>
            <w:r>
              <w:t xml:space="preserve">15</w:t>
            </w:r>
          </w:p>
        </w:tc>
        <w:tc>
          <w:tcPr/>
          <w:p>
            <w:pPr>
              <w:pStyle w:val="Compact"/>
              <w:jc w:val="right"/>
            </w:pPr>
            <w:r>
              <w:t xml:space="preserve">83</w:t>
            </w:r>
          </w:p>
        </w:tc>
        <w:tc>
          <w:tcPr/>
          <w:p>
            <w:pPr>
              <w:pStyle w:val="Compact"/>
              <w:jc w:val="right"/>
            </w:pPr>
            <w:r>
              <w:t xml:space="preserve">140</w:t>
            </w:r>
          </w:p>
        </w:tc>
        <w:tc>
          <w:tcPr/>
          <w:p>
            <w:pPr>
              <w:pStyle w:val="Compact"/>
              <w:jc w:val="right"/>
            </w:pPr>
            <w:r>
              <w:t xml:space="preserve">25</w:t>
            </w:r>
          </w:p>
        </w:tc>
        <w:tc>
          <w:tcPr/>
          <w:p>
            <w:pPr>
              <w:pStyle w:val="Compact"/>
              <w:jc w:val="right"/>
            </w:pPr>
            <w:r>
              <w:t xml:space="preserve">263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043</w:t>
            </w:r>
          </w:p>
        </w:tc>
        <w:tc>
          <w:tcPr/>
          <w:p>
            <w:pPr>
              <w:pStyle w:val="Compact"/>
              <w:jc w:val="left"/>
            </w:pPr>
            <w:r>
              <w:t xml:space="preserve">VI</w:t>
            </w:r>
          </w:p>
        </w:tc>
        <w:tc>
          <w:tcPr/>
          <w:p>
            <w:pPr>
              <w:pStyle w:val="Compact"/>
              <w:jc w:val="left"/>
            </w:pPr>
            <w:r>
              <w:t xml:space="preserve">e</w:t>
            </w:r>
          </w:p>
        </w:tc>
        <w:tc>
          <w:tcPr/>
          <w:p>
            <w:pPr>
              <w:pStyle w:val="Compact"/>
              <w:jc w:val="right"/>
            </w:pPr>
            <w:r>
              <w:t xml:space="preserve">11</w:t>
            </w:r>
          </w:p>
        </w:tc>
        <w:tc>
          <w:tcPr/>
          <w:p>
            <w:pPr>
              <w:pStyle w:val="Compact"/>
              <w:jc w:val="right"/>
            </w:pPr>
            <w:r>
              <w:t xml:space="preserve">83</w:t>
            </w:r>
          </w:p>
        </w:tc>
        <w:tc>
          <w:tcPr/>
          <w:p>
            <w:pPr>
              <w:pStyle w:val="Compact"/>
              <w:jc w:val="right"/>
            </w:pPr>
            <w:r>
              <w:t xml:space="preserve">131</w:t>
            </w:r>
          </w:p>
        </w:tc>
        <w:tc>
          <w:tcPr/>
          <w:p>
            <w:pPr>
              <w:pStyle w:val="Compact"/>
              <w:jc w:val="right"/>
            </w:pPr>
            <w:r>
              <w:t xml:space="preserve">18</w:t>
            </w:r>
          </w:p>
        </w:tc>
        <w:tc>
          <w:tcPr/>
          <w:p>
            <w:pPr>
              <w:pStyle w:val="Compact"/>
              <w:jc w:val="right"/>
            </w:pPr>
            <w:r>
              <w:t xml:space="preserve">243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0211</w:t>
            </w:r>
          </w:p>
        </w:tc>
        <w:tc>
          <w:tcPr/>
          <w:p>
            <w:pPr>
              <w:pStyle w:val="Compact"/>
              <w:jc w:val="left"/>
            </w:pPr>
            <w:r>
              <w:t xml:space="preserve">VII</w:t>
            </w:r>
          </w:p>
        </w:tc>
        <w:tc>
          <w:tcPr/>
          <w:p>
            <w:pPr>
              <w:pStyle w:val="Compact"/>
              <w:jc w:val="left"/>
            </w:pPr>
            <w:r>
              <w:t xml:space="preserve">e</w:t>
            </w:r>
          </w:p>
        </w:tc>
        <w:tc>
          <w:tcPr/>
          <w:p>
            <w:pPr>
              <w:pStyle w:val="Compact"/>
              <w:jc w:val="right"/>
            </w:pPr>
            <w:r>
              <w:t xml:space="preserve">10</w:t>
            </w:r>
          </w:p>
        </w:tc>
        <w:tc>
          <w:tcPr/>
          <w:p>
            <w:pPr>
              <w:pStyle w:val="Compact"/>
              <w:jc w:val="right"/>
            </w:pPr>
            <w:r>
              <w:t xml:space="preserve">101</w:t>
            </w:r>
          </w:p>
        </w:tc>
        <w:tc>
          <w:tcPr/>
          <w:p>
            <w:pPr>
              <w:pStyle w:val="Compact"/>
              <w:jc w:val="right"/>
            </w:pPr>
            <w:r>
              <w:t xml:space="preserve">189</w:t>
            </w:r>
          </w:p>
        </w:tc>
        <w:tc>
          <w:tcPr/>
          <w:p>
            <w:pPr>
              <w:pStyle w:val="Compact"/>
              <w:jc w:val="right"/>
            </w:pPr>
            <w:r>
              <w:t xml:space="preserve">23</w:t>
            </w:r>
          </w:p>
        </w:tc>
        <w:tc>
          <w:tcPr/>
          <w:p>
            <w:pPr>
              <w:pStyle w:val="Compact"/>
              <w:jc w:val="right"/>
            </w:pPr>
            <w:r>
              <w:t xml:space="preserve">323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07</w:t>
            </w:r>
          </w:p>
        </w:tc>
        <w:tc>
          <w:tcPr/>
          <w:p>
            <w:pPr>
              <w:pStyle w:val="Compact"/>
              <w:jc w:val="left"/>
            </w:pPr>
            <w:r>
              <w:t xml:space="preserve">VIII</w:t>
            </w:r>
          </w:p>
        </w:tc>
        <w:tc>
          <w:tcPr/>
          <w:p>
            <w:pPr>
              <w:pStyle w:val="Compact"/>
              <w:jc w:val="left"/>
            </w:pPr>
            <w:r>
              <w:t xml:space="preserve">e</w:t>
            </w:r>
          </w:p>
        </w:tc>
        <w:tc>
          <w:tcPr/>
          <w:p>
            <w:pPr>
              <w:pStyle w:val="Compact"/>
              <w:jc w:val="right"/>
            </w:pPr>
            <w:r>
              <w:t xml:space="preserve">1</w:t>
            </w:r>
          </w:p>
        </w:tc>
        <w:tc>
          <w:tcPr/>
          <w:p>
            <w:pPr>
              <w:pStyle w:val="Compact"/>
              <w:jc w:val="right"/>
            </w:pPr>
            <w:r>
              <w:t xml:space="preserve">107</w:t>
            </w:r>
          </w:p>
        </w:tc>
        <w:tc>
          <w:tcPr/>
          <w:p>
            <w:pPr>
              <w:pStyle w:val="Compact"/>
              <w:jc w:val="right"/>
            </w:pPr>
            <w:r>
              <w:t xml:space="preserve">209</w:t>
            </w:r>
          </w:p>
        </w:tc>
        <w:tc>
          <w:tcPr/>
          <w:p>
            <w:pPr>
              <w:pStyle w:val="Compact"/>
              <w:jc w:val="right"/>
            </w:pPr>
            <w:r>
              <w:t xml:space="preserve">9</w:t>
            </w:r>
          </w:p>
        </w:tc>
        <w:tc>
          <w:tcPr/>
          <w:p>
            <w:pPr>
              <w:pStyle w:val="Compact"/>
              <w:jc w:val="right"/>
            </w:pPr>
            <w:r>
              <w:t xml:space="preserve">326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019</w:t>
            </w:r>
          </w:p>
        </w:tc>
        <w:tc>
          <w:tcPr/>
          <w:p>
            <w:pPr>
              <w:pStyle w:val="Compact"/>
              <w:jc w:val="left"/>
            </w:pPr>
            <w:r>
              <w:t xml:space="preserve">VIII</w:t>
            </w:r>
          </w:p>
        </w:tc>
        <w:tc>
          <w:tcPr/>
          <w:p>
            <w:pPr>
              <w:pStyle w:val="Compact"/>
              <w:jc w:val="left"/>
            </w:pPr>
            <w:r>
              <w:t xml:space="preserve">e</w:t>
            </w:r>
          </w:p>
        </w:tc>
        <w:tc>
          <w:tcPr/>
          <w:p>
            <w:pPr>
              <w:pStyle w:val="Compact"/>
              <w:jc w:val="right"/>
            </w:pPr>
            <w:r>
              <w:t xml:space="preserve">125</w:t>
            </w:r>
          </w:p>
        </w:tc>
        <w:tc>
          <w:tcPr/>
          <w:p>
            <w:pPr>
              <w:pStyle w:val="Compact"/>
              <w:jc w:val="right"/>
            </w:pPr>
            <w:r>
              <w:t xml:space="preserve">75</w:t>
            </w:r>
          </w:p>
        </w:tc>
        <w:tc>
          <w:tcPr/>
          <w:p>
            <w:pPr>
              <w:pStyle w:val="Compact"/>
              <w:jc w:val="right"/>
            </w:pPr>
            <w:r>
              <w:t xml:space="preserve">52</w:t>
            </w:r>
          </w:p>
        </w:tc>
        <w:tc>
          <w:tcPr/>
          <w:p>
            <w:pPr>
              <w:pStyle w:val="Compact"/>
              <w:jc w:val="right"/>
            </w:pPr>
            <w:r>
              <w:t xml:space="preserve">64</w:t>
            </w:r>
          </w:p>
        </w:tc>
        <w:tc>
          <w:tcPr/>
          <w:p>
            <w:pPr>
              <w:pStyle w:val="Compact"/>
              <w:jc w:val="right"/>
            </w:pPr>
            <w:r>
              <w:t xml:space="preserve">316</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044</w:t>
            </w:r>
          </w:p>
        </w:tc>
        <w:tc>
          <w:tcPr/>
          <w:p>
            <w:pPr>
              <w:pStyle w:val="Compact"/>
              <w:jc w:val="left"/>
            </w:pPr>
            <w:r>
              <w:t xml:space="preserve">VIII</w:t>
            </w:r>
          </w:p>
        </w:tc>
        <w:tc>
          <w:tcPr/>
          <w:p>
            <w:pPr>
              <w:pStyle w:val="Compact"/>
              <w:jc w:val="left"/>
            </w:pPr>
            <w:r>
              <w:t xml:space="preserve">e</w:t>
            </w:r>
          </w:p>
        </w:tc>
        <w:tc>
          <w:tcPr/>
          <w:p>
            <w:pPr>
              <w:pStyle w:val="Compact"/>
              <w:jc w:val="right"/>
            </w:pPr>
            <w:r>
              <w:t xml:space="preserve">52</w:t>
            </w:r>
          </w:p>
        </w:tc>
        <w:tc>
          <w:tcPr/>
          <w:p>
            <w:pPr>
              <w:pStyle w:val="Compact"/>
              <w:jc w:val="right"/>
            </w:pPr>
            <w:r>
              <w:t xml:space="preserve">21</w:t>
            </w:r>
          </w:p>
        </w:tc>
        <w:tc>
          <w:tcPr/>
          <w:p>
            <w:pPr>
              <w:pStyle w:val="Compact"/>
              <w:jc w:val="right"/>
            </w:pPr>
            <w:r>
              <w:t xml:space="preserve">40</w:t>
            </w:r>
          </w:p>
        </w:tc>
        <w:tc>
          <w:tcPr/>
          <w:p>
            <w:pPr>
              <w:pStyle w:val="Compact"/>
              <w:jc w:val="right"/>
            </w:pPr>
            <w:r>
              <w:t xml:space="preserve">19</w:t>
            </w:r>
          </w:p>
        </w:tc>
        <w:tc>
          <w:tcPr/>
          <w:p>
            <w:pPr>
              <w:pStyle w:val="Compact"/>
              <w:jc w:val="right"/>
            </w:pPr>
            <w:r>
              <w:t xml:space="preserve">132</w:t>
            </w:r>
          </w:p>
        </w:tc>
        <w:tc>
          <w:tcPr/>
          <w:p>
            <w:pPr>
              <w:pStyle w:val="Compact"/>
              <w:jc w:val="left"/>
            </w:pPr>
            <w:r>
              <w:t xml:space="preserve">E-</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22</w:t>
            </w:r>
          </w:p>
        </w:tc>
        <w:tc>
          <w:tcPr/>
          <w:p>
            <w:pPr>
              <w:pStyle w:val="Compact"/>
              <w:jc w:val="right"/>
            </w:pPr>
            <w:r>
              <w:t xml:space="preserve">25</w:t>
            </w:r>
          </w:p>
        </w:tc>
        <w:tc>
          <w:tcPr/>
          <w:p>
            <w:pPr>
              <w:pStyle w:val="Compact"/>
              <w:jc w:val="right"/>
            </w:pPr>
            <w:r>
              <w:t xml:space="preserve">43</w:t>
            </w:r>
          </w:p>
        </w:tc>
        <w:tc>
          <w:tcPr/>
          <w:p>
            <w:pPr>
              <w:pStyle w:val="Compact"/>
              <w:jc w:val="right"/>
            </w:pPr>
            <w:r>
              <w:t xml:space="preserve">15</w:t>
            </w:r>
          </w:p>
        </w:tc>
        <w:tc>
          <w:tcPr/>
          <w:p>
            <w:pPr>
              <w:pStyle w:val="Compact"/>
              <w:jc w:val="right"/>
            </w:pPr>
            <w:r>
              <w:t xml:space="preserve">105</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38</w:t>
            </w:r>
          </w:p>
        </w:tc>
        <w:tc>
          <w:tcPr/>
          <w:p>
            <w:pPr>
              <w:pStyle w:val="Compact"/>
              <w:jc w:val="right"/>
            </w:pPr>
            <w:r>
              <w:t xml:space="preserve">42</w:t>
            </w:r>
          </w:p>
        </w:tc>
        <w:tc>
          <w:tcPr/>
          <w:p>
            <w:pPr>
              <w:pStyle w:val="Compact"/>
              <w:jc w:val="right"/>
            </w:pPr>
            <w:r>
              <w:t xml:space="preserve">135</w:t>
            </w:r>
          </w:p>
        </w:tc>
        <w:tc>
          <w:tcPr/>
          <w:p>
            <w:pPr>
              <w:pStyle w:val="Compact"/>
              <w:jc w:val="right"/>
            </w:pPr>
            <w:r>
              <w:t xml:space="preserve">33</w:t>
            </w:r>
          </w:p>
        </w:tc>
        <w:tc>
          <w:tcPr/>
          <w:p>
            <w:pPr>
              <w:pStyle w:val="Compact"/>
              <w:jc w:val="right"/>
            </w:pPr>
            <w:r>
              <w:t xml:space="preserve">248</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54</w:t>
            </w:r>
          </w:p>
        </w:tc>
        <w:tc>
          <w:tcPr/>
          <w:p>
            <w:pPr>
              <w:pStyle w:val="Compact"/>
              <w:jc w:val="right"/>
            </w:pPr>
            <w:r>
              <w:t xml:space="preserve">8</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97</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047</w:t>
            </w:r>
          </w:p>
        </w:tc>
        <w:tc>
          <w:tcPr/>
          <w:p>
            <w:pPr>
              <w:pStyle w:val="Compact"/>
              <w:jc w:val="left"/>
            </w:pPr>
            <w:r>
              <w:t xml:space="preserve">VIII</w:t>
            </w:r>
          </w:p>
        </w:tc>
        <w:tc>
          <w:tcPr/>
          <w:p>
            <w:pPr>
              <w:pStyle w:val="Compact"/>
              <w:jc w:val="left"/>
            </w:pPr>
            <w:r>
              <w:t xml:space="preserve">e</w:t>
            </w:r>
          </w:p>
        </w:tc>
        <w:tc>
          <w:tcPr/>
          <w:p>
            <w:pPr>
              <w:pStyle w:val="Compact"/>
              <w:jc w:val="right"/>
            </w:pPr>
            <w:r>
              <w:t xml:space="preserve">6</w:t>
            </w:r>
          </w:p>
        </w:tc>
        <w:tc>
          <w:tcPr/>
          <w:p>
            <w:pPr>
              <w:pStyle w:val="Compact"/>
              <w:jc w:val="right"/>
            </w:pPr>
            <w:r>
              <w:t xml:space="preserve">96</w:t>
            </w:r>
          </w:p>
        </w:tc>
        <w:tc>
          <w:tcPr/>
          <w:p>
            <w:pPr>
              <w:pStyle w:val="Compact"/>
              <w:jc w:val="right"/>
            </w:pPr>
            <w:r>
              <w:t xml:space="preserve">175</w:t>
            </w:r>
          </w:p>
        </w:tc>
        <w:tc>
          <w:tcPr/>
          <w:p>
            <w:pPr>
              <w:pStyle w:val="Compact"/>
              <w:jc w:val="right"/>
            </w:pPr>
            <w:r>
              <w:t xml:space="preserve">21</w:t>
            </w:r>
          </w:p>
        </w:tc>
        <w:tc>
          <w:tcPr/>
          <w:p>
            <w:pPr>
              <w:pStyle w:val="Compact"/>
              <w:jc w:val="right"/>
            </w:pPr>
            <w:r>
              <w:t xml:space="preserve">298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0233</w:t>
            </w:r>
          </w:p>
        </w:tc>
        <w:tc>
          <w:tcPr/>
          <w:p>
            <w:pPr>
              <w:pStyle w:val="Compact"/>
              <w:jc w:val="left"/>
            </w:pPr>
            <w:r>
              <w:t xml:space="preserve">VIII</w:t>
            </w:r>
          </w:p>
        </w:tc>
        <w:tc>
          <w:tcPr/>
          <w:p>
            <w:pPr>
              <w:pStyle w:val="Compact"/>
              <w:jc w:val="left"/>
            </w:pPr>
            <w:r>
              <w:t xml:space="preserve">e</w:t>
            </w:r>
          </w:p>
        </w:tc>
        <w:tc>
          <w:tcPr/>
          <w:p>
            <w:pPr>
              <w:pStyle w:val="Compact"/>
              <w:jc w:val="right"/>
            </w:pPr>
            <w:r>
              <w:t xml:space="preserve">3</w:t>
            </w:r>
          </w:p>
        </w:tc>
        <w:tc>
          <w:tcPr/>
          <w:p>
            <w:pPr>
              <w:pStyle w:val="Compact"/>
              <w:jc w:val="right"/>
            </w:pPr>
            <w:r>
              <w:t xml:space="preserve">23</w:t>
            </w:r>
          </w:p>
        </w:tc>
        <w:tc>
          <w:tcPr/>
          <w:p>
            <w:pPr>
              <w:pStyle w:val="Compact"/>
              <w:jc w:val="right"/>
            </w:pPr>
            <w:r>
              <w:t xml:space="preserve">47</w:t>
            </w:r>
          </w:p>
        </w:tc>
        <w:tc>
          <w:tcPr/>
          <w:p>
            <w:pPr>
              <w:pStyle w:val="Compact"/>
              <w:jc w:val="right"/>
            </w:pPr>
            <w:r>
              <w:t xml:space="preserve">5</w:t>
            </w:r>
          </w:p>
        </w:tc>
        <w:tc>
          <w:tcPr/>
          <w:p>
            <w:pPr>
              <w:pStyle w:val="Compact"/>
              <w:jc w:val="right"/>
            </w:pPr>
            <w:r>
              <w:t xml:space="preserve">78</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09</w:t>
            </w:r>
          </w:p>
        </w:tc>
        <w:tc>
          <w:tcPr/>
          <w:p>
            <w:pPr>
              <w:pStyle w:val="Compact"/>
              <w:jc w:val="left"/>
            </w:pPr>
            <w:r>
              <w:t xml:space="preserve">IX</w:t>
            </w:r>
          </w:p>
        </w:tc>
        <w:tc>
          <w:tcPr/>
          <w:p>
            <w:pPr>
              <w:pStyle w:val="Compact"/>
              <w:jc w:val="left"/>
            </w:pPr>
            <w:r>
              <w:t xml:space="preserve">e</w:t>
            </w:r>
          </w:p>
        </w:tc>
        <w:tc>
          <w:tcPr/>
          <w:p>
            <w:pPr>
              <w:pStyle w:val="Compact"/>
              <w:jc w:val="right"/>
            </w:pPr>
            <w:r>
              <w:t xml:space="preserve">0</w:t>
            </w:r>
          </w:p>
        </w:tc>
        <w:tc>
          <w:tcPr/>
          <w:p>
            <w:pPr>
              <w:pStyle w:val="Compact"/>
              <w:jc w:val="right"/>
            </w:pPr>
            <w:r>
              <w:t xml:space="preserve">78</w:t>
            </w:r>
          </w:p>
        </w:tc>
        <w:tc>
          <w:tcPr/>
          <w:p>
            <w:pPr>
              <w:pStyle w:val="Compact"/>
              <w:jc w:val="right"/>
            </w:pPr>
            <w:r>
              <w:t xml:space="preserve">156</w:t>
            </w:r>
          </w:p>
        </w:tc>
        <w:tc>
          <w:tcPr/>
          <w:p>
            <w:pPr>
              <w:pStyle w:val="Compact"/>
              <w:jc w:val="right"/>
            </w:pPr>
            <w:r>
              <w:t xml:space="preserve">11</w:t>
            </w:r>
          </w:p>
        </w:tc>
        <w:tc>
          <w:tcPr/>
          <w:p>
            <w:pPr>
              <w:pStyle w:val="Compact"/>
              <w:jc w:val="right"/>
            </w:pPr>
            <w:r>
              <w:t xml:space="preserve">245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010</w:t>
            </w:r>
          </w:p>
        </w:tc>
        <w:tc>
          <w:tcPr/>
          <w:p>
            <w:pPr>
              <w:pStyle w:val="Compact"/>
              <w:jc w:val="left"/>
            </w:pPr>
            <w:r>
              <w:t xml:space="preserve">IX</w:t>
            </w:r>
          </w:p>
        </w:tc>
        <w:tc>
          <w:tcPr/>
          <w:p>
            <w:pPr>
              <w:pStyle w:val="Compact"/>
              <w:jc w:val="left"/>
            </w:pPr>
            <w:r>
              <w:t xml:space="preserve">p</w:t>
            </w:r>
          </w:p>
        </w:tc>
        <w:tc>
          <w:tcPr/>
          <w:p>
            <w:pPr>
              <w:pStyle w:val="Compact"/>
              <w:jc w:val="right"/>
            </w:pPr>
            <w:r>
              <w:t xml:space="preserve">91</w:t>
            </w:r>
          </w:p>
        </w:tc>
        <w:tc>
          <w:tcPr/>
          <w:p>
            <w:pPr>
              <w:pStyle w:val="Compact"/>
              <w:jc w:val="right"/>
            </w:pPr>
            <w:r>
              <w:t xml:space="preserve">12</w:t>
            </w:r>
          </w:p>
        </w:tc>
        <w:tc>
          <w:tcPr/>
          <w:p>
            <w:pPr>
              <w:pStyle w:val="Compact"/>
              <w:jc w:val="right"/>
            </w:pPr>
            <w:r>
              <w:t xml:space="preserve">41</w:t>
            </w:r>
          </w:p>
        </w:tc>
        <w:tc>
          <w:tcPr/>
          <w:p>
            <w:pPr>
              <w:pStyle w:val="Compact"/>
              <w:jc w:val="right"/>
            </w:pPr>
            <w:r>
              <w:t xml:space="preserve">69</w:t>
            </w:r>
          </w:p>
        </w:tc>
        <w:tc>
          <w:tcPr/>
          <w:p>
            <w:pPr>
              <w:pStyle w:val="Compact"/>
              <w:jc w:val="right"/>
            </w:pPr>
            <w:r>
              <w:t xml:space="preserve">213</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011</w:t>
            </w:r>
          </w:p>
        </w:tc>
        <w:tc>
          <w:tcPr/>
          <w:p>
            <w:pPr>
              <w:pStyle w:val="Compact"/>
              <w:jc w:val="left"/>
            </w:pPr>
            <w:r>
              <w:t xml:space="preserve">IX</w:t>
            </w:r>
          </w:p>
        </w:tc>
        <w:tc>
          <w:tcPr/>
          <w:p>
            <w:pPr>
              <w:pStyle w:val="Compact"/>
              <w:jc w:val="left"/>
            </w:pPr>
            <w:r>
              <w:t xml:space="preserve">e</w:t>
            </w:r>
          </w:p>
        </w:tc>
        <w:tc>
          <w:tcPr/>
          <w:p>
            <w:pPr>
              <w:pStyle w:val="Compact"/>
              <w:jc w:val="right"/>
            </w:pPr>
            <w:r>
              <w:t xml:space="preserve">4</w:t>
            </w:r>
          </w:p>
        </w:tc>
        <w:tc>
          <w:tcPr/>
          <w:p>
            <w:pPr>
              <w:pStyle w:val="Compact"/>
              <w:jc w:val="right"/>
            </w:pPr>
            <w:r>
              <w:t xml:space="preserve">87</w:t>
            </w:r>
          </w:p>
        </w:tc>
        <w:tc>
          <w:tcPr/>
          <w:p>
            <w:pPr>
              <w:pStyle w:val="Compact"/>
              <w:jc w:val="right"/>
            </w:pPr>
            <w:r>
              <w:t xml:space="preserve">176</w:t>
            </w:r>
          </w:p>
        </w:tc>
        <w:tc>
          <w:tcPr/>
          <w:p>
            <w:pPr>
              <w:pStyle w:val="Compact"/>
              <w:jc w:val="right"/>
            </w:pPr>
            <w:r>
              <w:t xml:space="preserve">21</w:t>
            </w:r>
          </w:p>
        </w:tc>
        <w:tc>
          <w:tcPr/>
          <w:p>
            <w:pPr>
              <w:pStyle w:val="Compact"/>
              <w:jc w:val="right"/>
            </w:pPr>
            <w:r>
              <w:t xml:space="preserve">288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012</w:t>
            </w:r>
          </w:p>
        </w:tc>
        <w:tc>
          <w:tcPr/>
          <w:p>
            <w:pPr>
              <w:pStyle w:val="Compact"/>
              <w:jc w:val="left"/>
            </w:pPr>
            <w:r>
              <w:t xml:space="preserve">IX</w:t>
            </w:r>
          </w:p>
        </w:tc>
        <w:tc>
          <w:tcPr/>
          <w:p>
            <w:pPr>
              <w:pStyle w:val="Compact"/>
              <w:jc w:val="left"/>
            </w:pPr>
            <w:r>
              <w:t xml:space="preserve">p</w:t>
            </w:r>
          </w:p>
        </w:tc>
        <w:tc>
          <w:tcPr/>
          <w:p>
            <w:pPr>
              <w:pStyle w:val="Compact"/>
              <w:jc w:val="right"/>
            </w:pPr>
            <w:r>
              <w:t xml:space="preserve">91</w:t>
            </w:r>
          </w:p>
        </w:tc>
        <w:tc>
          <w:tcPr/>
          <w:p>
            <w:pPr>
              <w:pStyle w:val="Compact"/>
              <w:jc w:val="right"/>
            </w:pPr>
            <w:r>
              <w:t xml:space="preserve">12</w:t>
            </w:r>
          </w:p>
        </w:tc>
        <w:tc>
          <w:tcPr/>
          <w:p>
            <w:pPr>
              <w:pStyle w:val="Compact"/>
              <w:jc w:val="right"/>
            </w:pPr>
            <w:r>
              <w:t xml:space="preserve">43</w:t>
            </w:r>
          </w:p>
        </w:tc>
        <w:tc>
          <w:tcPr/>
          <w:p>
            <w:pPr>
              <w:pStyle w:val="Compact"/>
              <w:jc w:val="right"/>
            </w:pPr>
            <w:r>
              <w:t xml:space="preserve">66</w:t>
            </w:r>
          </w:p>
        </w:tc>
        <w:tc>
          <w:tcPr/>
          <w:p>
            <w:pPr>
              <w:pStyle w:val="Compact"/>
              <w:jc w:val="right"/>
            </w:pPr>
            <w:r>
              <w:t xml:space="preserve">212</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013</w:t>
            </w:r>
          </w:p>
        </w:tc>
        <w:tc>
          <w:tcPr/>
          <w:p>
            <w:pPr>
              <w:pStyle w:val="Compact"/>
              <w:jc w:val="left"/>
            </w:pPr>
            <w:r>
              <w:t xml:space="preserve">IX</w:t>
            </w:r>
          </w:p>
        </w:tc>
        <w:tc>
          <w:tcPr/>
          <w:p>
            <w:pPr>
              <w:pStyle w:val="Compact"/>
              <w:jc w:val="left"/>
            </w:pPr>
            <w:r>
              <w:t xml:space="preserve">e</w:t>
            </w:r>
          </w:p>
        </w:tc>
        <w:tc>
          <w:tcPr/>
          <w:p>
            <w:pPr>
              <w:pStyle w:val="Compact"/>
              <w:jc w:val="right"/>
            </w:pPr>
            <w:r>
              <w:t xml:space="preserve">2</w:t>
            </w:r>
          </w:p>
        </w:tc>
        <w:tc>
          <w:tcPr/>
          <w:p>
            <w:pPr>
              <w:pStyle w:val="Compact"/>
              <w:jc w:val="right"/>
            </w:pPr>
            <w:r>
              <w:t xml:space="preserve">82</w:t>
            </w:r>
          </w:p>
        </w:tc>
        <w:tc>
          <w:tcPr/>
          <w:p>
            <w:pPr>
              <w:pStyle w:val="Compact"/>
              <w:jc w:val="right"/>
            </w:pPr>
            <w:r>
              <w:t xml:space="preserve">174</w:t>
            </w:r>
          </w:p>
        </w:tc>
        <w:tc>
          <w:tcPr/>
          <w:p>
            <w:pPr>
              <w:pStyle w:val="Compact"/>
              <w:jc w:val="right"/>
            </w:pPr>
            <w:r>
              <w:t xml:space="preserve">7</w:t>
            </w:r>
          </w:p>
        </w:tc>
        <w:tc>
          <w:tcPr/>
          <w:p>
            <w:pPr>
              <w:pStyle w:val="Compact"/>
              <w:jc w:val="right"/>
            </w:pPr>
            <w:r>
              <w:t xml:space="preserve">265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014</w:t>
            </w:r>
          </w:p>
        </w:tc>
        <w:tc>
          <w:tcPr/>
          <w:p>
            <w:pPr>
              <w:pStyle w:val="Compact"/>
              <w:jc w:val="left"/>
            </w:pPr>
            <w:r>
              <w:t xml:space="preserve">IX</w:t>
            </w:r>
          </w:p>
        </w:tc>
        <w:tc>
          <w:tcPr/>
          <w:p>
            <w:pPr>
              <w:pStyle w:val="Compact"/>
              <w:jc w:val="left"/>
            </w:pPr>
            <w:r>
              <w:t xml:space="preserve">a</w:t>
            </w:r>
          </w:p>
        </w:tc>
        <w:tc>
          <w:tcPr/>
          <w:p>
            <w:pPr>
              <w:pStyle w:val="Compact"/>
              <w:jc w:val="right"/>
            </w:pPr>
            <w:r>
              <w:t xml:space="preserve">2</w:t>
            </w:r>
          </w:p>
        </w:tc>
        <w:tc>
          <w:tcPr/>
          <w:p>
            <w:pPr>
              <w:pStyle w:val="Compact"/>
              <w:jc w:val="right"/>
            </w:pPr>
            <w:r>
              <w:t xml:space="preserve">22</w:t>
            </w:r>
          </w:p>
        </w:tc>
        <w:tc>
          <w:tcPr/>
          <w:p>
            <w:pPr>
              <w:pStyle w:val="Compact"/>
              <w:jc w:val="right"/>
            </w:pPr>
            <w:r>
              <w:t xml:space="preserve">48</w:t>
            </w:r>
          </w:p>
        </w:tc>
        <w:tc>
          <w:tcPr/>
          <w:p>
            <w:pPr>
              <w:pStyle w:val="Compact"/>
              <w:jc w:val="right"/>
            </w:pPr>
            <w:r>
              <w:t xml:space="preserve">1</w:t>
            </w:r>
          </w:p>
        </w:tc>
        <w:tc>
          <w:tcPr/>
          <w:p>
            <w:pPr>
              <w:pStyle w:val="Compact"/>
              <w:jc w:val="right"/>
            </w:pPr>
            <w:r>
              <w:t xml:space="preserve">73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017</w:t>
            </w:r>
          </w:p>
        </w:tc>
        <w:tc>
          <w:tcPr/>
          <w:p>
            <w:pPr>
              <w:pStyle w:val="Compact"/>
              <w:jc w:val="left"/>
            </w:pPr>
            <w:r>
              <w:t xml:space="preserve">IX</w:t>
            </w:r>
          </w:p>
        </w:tc>
        <w:tc>
          <w:tcPr/>
          <w:p>
            <w:pPr>
              <w:pStyle w:val="Compact"/>
              <w:jc w:val="left"/>
            </w:pPr>
            <w:r>
              <w:t xml:space="preserve">e</w:t>
            </w:r>
          </w:p>
        </w:tc>
        <w:tc>
          <w:tcPr/>
          <w:p>
            <w:pPr>
              <w:pStyle w:val="Compact"/>
              <w:jc w:val="right"/>
            </w:pPr>
            <w:r>
              <w:t xml:space="preserve">8</w:t>
            </w:r>
          </w:p>
        </w:tc>
        <w:tc>
          <w:tcPr/>
          <w:p>
            <w:pPr>
              <w:pStyle w:val="Compact"/>
              <w:jc w:val="right"/>
            </w:pPr>
            <w:r>
              <w:t xml:space="preserve">107</w:t>
            </w:r>
          </w:p>
        </w:tc>
        <w:tc>
          <w:tcPr/>
          <w:p>
            <w:pPr>
              <w:pStyle w:val="Compact"/>
              <w:jc w:val="right"/>
            </w:pPr>
            <w:r>
              <w:t xml:space="preserve">197</w:t>
            </w:r>
          </w:p>
        </w:tc>
        <w:tc>
          <w:tcPr/>
          <w:p>
            <w:pPr>
              <w:pStyle w:val="Compact"/>
              <w:jc w:val="right"/>
            </w:pPr>
            <w:r>
              <w:t xml:space="preserve">15</w:t>
            </w:r>
          </w:p>
        </w:tc>
        <w:tc>
          <w:tcPr/>
          <w:p>
            <w:pPr>
              <w:pStyle w:val="Compact"/>
              <w:jc w:val="right"/>
            </w:pPr>
            <w:r>
              <w:t xml:space="preserve">327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018</w:t>
            </w:r>
          </w:p>
        </w:tc>
        <w:tc>
          <w:tcPr/>
          <w:p>
            <w:pPr>
              <w:pStyle w:val="Compact"/>
              <w:jc w:val="left"/>
            </w:pPr>
            <w:r>
              <w:t xml:space="preserve">IX</w:t>
            </w:r>
          </w:p>
        </w:tc>
        <w:tc>
          <w:tcPr/>
          <w:p>
            <w:pPr>
              <w:pStyle w:val="Compact"/>
              <w:jc w:val="left"/>
            </w:pPr>
            <w:r>
              <w:t xml:space="preserve">p</w:t>
            </w:r>
          </w:p>
        </w:tc>
        <w:tc>
          <w:tcPr/>
          <w:p>
            <w:pPr>
              <w:pStyle w:val="Compact"/>
              <w:jc w:val="right"/>
            </w:pPr>
            <w:r>
              <w:t xml:space="preserve">8</w:t>
            </w:r>
          </w:p>
        </w:tc>
        <w:tc>
          <w:tcPr/>
          <w:p>
            <w:pPr>
              <w:pStyle w:val="Compact"/>
              <w:jc w:val="right"/>
            </w:pPr>
            <w:r>
              <w:t xml:space="preserve">32</w:t>
            </w:r>
          </w:p>
        </w:tc>
        <w:tc>
          <w:tcPr/>
          <w:p>
            <w:pPr>
              <w:pStyle w:val="Compact"/>
              <w:jc w:val="right"/>
            </w:pPr>
            <w:r>
              <w:t xml:space="preserve">154</w:t>
            </w:r>
          </w:p>
        </w:tc>
        <w:tc>
          <w:tcPr/>
          <w:p>
            <w:pPr>
              <w:pStyle w:val="Compact"/>
              <w:jc w:val="right"/>
            </w:pPr>
            <w:r>
              <w:t xml:space="preserve">8</w:t>
            </w:r>
          </w:p>
        </w:tc>
        <w:tc>
          <w:tcPr/>
          <w:p>
            <w:pPr>
              <w:pStyle w:val="Compact"/>
              <w:jc w:val="right"/>
            </w:pPr>
            <w:r>
              <w:t xml:space="preserve">202</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w:t>
            </w:r>
          </w:p>
        </w:tc>
        <w:tc>
          <w:tcPr/>
          <w:p>
            <w:pPr>
              <w:pStyle w:val="Compact"/>
              <w:jc w:val="right"/>
            </w:pPr>
            <w:r>
              <w:t xml:space="preserve">9</w:t>
            </w:r>
          </w:p>
        </w:tc>
        <w:tc>
          <w:tcPr/>
          <w:p>
            <w:pPr>
              <w:pStyle w:val="Compact"/>
              <w:jc w:val="right"/>
            </w:pPr>
            <w:r>
              <w:t xml:space="preserve">77</w:t>
            </w:r>
          </w:p>
        </w:tc>
        <w:tc>
          <w:tcPr/>
          <w:p>
            <w:pPr>
              <w:pStyle w:val="Compact"/>
              <w:jc w:val="right"/>
            </w:pPr>
            <w:r>
              <w:t xml:space="preserve">6</w:t>
            </w:r>
          </w:p>
        </w:tc>
        <w:tc>
          <w:tcPr/>
          <w:p>
            <w:pPr>
              <w:pStyle w:val="Compact"/>
              <w:jc w:val="right"/>
            </w:pPr>
            <w:r>
              <w:t xml:space="preserve">96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020</w:t>
            </w:r>
          </w:p>
        </w:tc>
        <w:tc>
          <w:tcPr/>
          <w:p>
            <w:pPr>
              <w:pStyle w:val="Compact"/>
              <w:jc w:val="left"/>
            </w:pPr>
            <w:r>
              <w:t xml:space="preserve">IX</w:t>
            </w:r>
          </w:p>
        </w:tc>
        <w:tc>
          <w:tcPr/>
          <w:p>
            <w:pPr>
              <w:pStyle w:val="Compact"/>
              <w:jc w:val="left"/>
            </w:pPr>
            <w:r>
              <w:t xml:space="preserve">a</w:t>
            </w:r>
          </w:p>
        </w:tc>
        <w:tc>
          <w:tcPr/>
          <w:p>
            <w:pPr>
              <w:pStyle w:val="Compact"/>
              <w:jc w:val="right"/>
            </w:pPr>
            <w:r>
              <w:t xml:space="preserve">1</w:t>
            </w:r>
          </w:p>
        </w:tc>
        <w:tc>
          <w:tcPr/>
          <w:p>
            <w:pPr>
              <w:pStyle w:val="Compact"/>
              <w:jc w:val="right"/>
            </w:pPr>
            <w:r>
              <w:t xml:space="preserve">23</w:t>
            </w:r>
          </w:p>
        </w:tc>
        <w:tc>
          <w:tcPr/>
          <w:p>
            <w:pPr>
              <w:pStyle w:val="Compact"/>
              <w:jc w:val="right"/>
            </w:pPr>
            <w:r>
              <w:t xml:space="preserve">51</w:t>
            </w:r>
          </w:p>
        </w:tc>
        <w:tc>
          <w:tcPr/>
          <w:p>
            <w:pPr>
              <w:pStyle w:val="Compact"/>
              <w:jc w:val="right"/>
            </w:pPr>
            <w:r>
              <w:t xml:space="preserve">3</w:t>
            </w:r>
          </w:p>
        </w:tc>
        <w:tc>
          <w:tcPr/>
          <w:p>
            <w:pPr>
              <w:pStyle w:val="Compact"/>
              <w:jc w:val="right"/>
            </w:pPr>
            <w:r>
              <w:t xml:space="preserve">78</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5</w:t>
            </w:r>
          </w:p>
        </w:tc>
        <w:tc>
          <w:tcPr/>
          <w:p>
            <w:pPr>
              <w:pStyle w:val="Compact"/>
              <w:jc w:val="right"/>
            </w:pPr>
            <w:r>
              <w:t xml:space="preserve">44</w:t>
            </w:r>
          </w:p>
        </w:tc>
        <w:tc>
          <w:tcPr/>
          <w:p>
            <w:pPr>
              <w:pStyle w:val="Compact"/>
              <w:jc w:val="right"/>
            </w:pPr>
            <w:r>
              <w:t xml:space="preserve">188</w:t>
            </w:r>
          </w:p>
        </w:tc>
        <w:tc>
          <w:tcPr/>
          <w:p>
            <w:pPr>
              <w:pStyle w:val="Compact"/>
              <w:jc w:val="right"/>
            </w:pPr>
            <w:r>
              <w:t xml:space="preserve">4</w:t>
            </w:r>
          </w:p>
        </w:tc>
        <w:tc>
          <w:tcPr/>
          <w:p>
            <w:pPr>
              <w:pStyle w:val="Compact"/>
              <w:jc w:val="right"/>
            </w:pPr>
            <w:r>
              <w:t xml:space="preserve">241</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5</w:t>
            </w:r>
          </w:p>
        </w:tc>
        <w:tc>
          <w:tcPr/>
          <w:p>
            <w:pPr>
              <w:pStyle w:val="Compact"/>
              <w:jc w:val="right"/>
            </w:pPr>
            <w:r>
              <w:t xml:space="preserve">9</w:t>
            </w:r>
          </w:p>
        </w:tc>
        <w:tc>
          <w:tcPr/>
          <w:p>
            <w:pPr>
              <w:pStyle w:val="Compact"/>
              <w:jc w:val="right"/>
            </w:pPr>
            <w:r>
              <w:t xml:space="preserve">78</w:t>
            </w:r>
          </w:p>
        </w:tc>
        <w:tc>
          <w:tcPr/>
          <w:p>
            <w:pPr>
              <w:pStyle w:val="Compact"/>
              <w:jc w:val="right"/>
            </w:pPr>
            <w:r>
              <w:t xml:space="preserve">3</w:t>
            </w:r>
          </w:p>
        </w:tc>
        <w:tc>
          <w:tcPr/>
          <w:p>
            <w:pPr>
              <w:pStyle w:val="Compact"/>
              <w:jc w:val="right"/>
            </w:pPr>
            <w:r>
              <w:t xml:space="preserve">95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021</w:t>
            </w:r>
          </w:p>
        </w:tc>
        <w:tc>
          <w:tcPr/>
          <w:p>
            <w:pPr>
              <w:pStyle w:val="Compact"/>
              <w:jc w:val="left"/>
            </w:pPr>
            <w:r>
              <w:t xml:space="preserve">IX</w:t>
            </w:r>
          </w:p>
        </w:tc>
        <w:tc>
          <w:tcPr/>
          <w:p>
            <w:pPr>
              <w:pStyle w:val="Compact"/>
              <w:jc w:val="left"/>
            </w:pPr>
            <w:r>
              <w:t xml:space="preserve">e</w:t>
            </w:r>
          </w:p>
        </w:tc>
        <w:tc>
          <w:tcPr/>
          <w:p>
            <w:pPr>
              <w:pStyle w:val="Compact"/>
              <w:jc w:val="right"/>
            </w:pPr>
            <w:r>
              <w:t xml:space="preserve">7</w:t>
            </w:r>
          </w:p>
        </w:tc>
        <w:tc>
          <w:tcPr/>
          <w:p>
            <w:pPr>
              <w:pStyle w:val="Compact"/>
              <w:jc w:val="right"/>
            </w:pPr>
            <w:r>
              <w:t xml:space="preserve">106</w:t>
            </w:r>
          </w:p>
        </w:tc>
        <w:tc>
          <w:tcPr/>
          <w:p>
            <w:pPr>
              <w:pStyle w:val="Compact"/>
              <w:jc w:val="right"/>
            </w:pPr>
            <w:r>
              <w:t xml:space="preserve">202</w:t>
            </w:r>
          </w:p>
        </w:tc>
        <w:tc>
          <w:tcPr/>
          <w:p>
            <w:pPr>
              <w:pStyle w:val="Compact"/>
              <w:jc w:val="right"/>
            </w:pPr>
            <w:r>
              <w:t xml:space="preserve">12</w:t>
            </w:r>
          </w:p>
        </w:tc>
        <w:tc>
          <w:tcPr/>
          <w:p>
            <w:pPr>
              <w:pStyle w:val="Compact"/>
              <w:jc w:val="right"/>
            </w:pPr>
            <w:r>
              <w:t xml:space="preserve">327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025</w:t>
            </w:r>
          </w:p>
        </w:tc>
        <w:tc>
          <w:tcPr/>
          <w:p>
            <w:pPr>
              <w:pStyle w:val="Compact"/>
              <w:jc w:val="left"/>
            </w:pPr>
            <w:r>
              <w:t xml:space="preserve">IX</w:t>
            </w:r>
          </w:p>
        </w:tc>
        <w:tc>
          <w:tcPr/>
          <w:p>
            <w:pPr>
              <w:pStyle w:val="Compact"/>
              <w:jc w:val="left"/>
            </w:pPr>
            <w:r>
              <w:t xml:space="preserve">a</w:t>
            </w:r>
          </w:p>
        </w:tc>
        <w:tc>
          <w:tcPr/>
          <w:p>
            <w:pPr>
              <w:pStyle w:val="Compact"/>
              <w:jc w:val="right"/>
            </w:pPr>
            <w:r>
              <w:t xml:space="preserve">1</w:t>
            </w:r>
          </w:p>
        </w:tc>
        <w:tc>
          <w:tcPr/>
          <w:p>
            <w:pPr>
              <w:pStyle w:val="Compact"/>
              <w:jc w:val="right"/>
            </w:pPr>
            <w:r>
              <w:t xml:space="preserve">29</w:t>
            </w:r>
          </w:p>
        </w:tc>
        <w:tc>
          <w:tcPr/>
          <w:p>
            <w:pPr>
              <w:pStyle w:val="Compact"/>
              <w:jc w:val="right"/>
            </w:pPr>
            <w:r>
              <w:t xml:space="preserve">70</w:t>
            </w:r>
          </w:p>
        </w:tc>
        <w:tc>
          <w:tcPr/>
          <w:p>
            <w:pPr>
              <w:pStyle w:val="Compact"/>
              <w:jc w:val="right"/>
            </w:pPr>
            <w:r>
              <w:t xml:space="preserve">0</w:t>
            </w:r>
          </w:p>
        </w:tc>
        <w:tc>
          <w:tcPr/>
          <w:p>
            <w:pPr>
              <w:pStyle w:val="Compact"/>
              <w:jc w:val="right"/>
            </w:pPr>
            <w:r>
              <w:t xml:space="preserve">100</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87</w:t>
            </w:r>
          </w:p>
        </w:tc>
        <w:tc>
          <w:tcPr/>
          <w:p>
            <w:pPr>
              <w:pStyle w:val="Compact"/>
              <w:jc w:val="right"/>
            </w:pPr>
            <w:r>
              <w:t xml:space="preserve">31</w:t>
            </w:r>
          </w:p>
        </w:tc>
        <w:tc>
          <w:tcPr/>
          <w:p>
            <w:pPr>
              <w:pStyle w:val="Compact"/>
              <w:jc w:val="right"/>
            </w:pPr>
            <w:r>
              <w:t xml:space="preserve">87</w:t>
            </w:r>
          </w:p>
        </w:tc>
        <w:tc>
          <w:tcPr/>
          <w:p>
            <w:pPr>
              <w:pStyle w:val="Compact"/>
              <w:jc w:val="right"/>
            </w:pPr>
            <w:r>
              <w:t xml:space="preserve">31</w:t>
            </w:r>
          </w:p>
        </w:tc>
        <w:tc>
          <w:tcPr/>
          <w:p>
            <w:pPr>
              <w:pStyle w:val="Compact"/>
              <w:jc w:val="right"/>
            </w:pPr>
            <w:r>
              <w:t xml:space="preserve">236</w:t>
            </w:r>
          </w:p>
        </w:tc>
        <w:tc>
          <w:tcPr/>
          <w:p>
            <w:pPr>
              <w:pStyle w:val="Compact"/>
              <w:jc w:val="left"/>
            </w:pPr>
            <w:r>
              <w:t xml:space="preserve">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26</w:t>
            </w:r>
          </w:p>
        </w:tc>
        <w:tc>
          <w:tcPr/>
          <w:p>
            <w:pPr>
              <w:pStyle w:val="Compact"/>
              <w:jc w:val="right"/>
            </w:pPr>
            <w:r>
              <w:t xml:space="preserve">6</w:t>
            </w:r>
          </w:p>
        </w:tc>
        <w:tc>
          <w:tcPr/>
          <w:p>
            <w:pPr>
              <w:pStyle w:val="Compact"/>
              <w:jc w:val="right"/>
            </w:pPr>
            <w:r>
              <w:t xml:space="preserve">46</w:t>
            </w:r>
          </w:p>
        </w:tc>
        <w:tc>
          <w:tcPr/>
          <w:p>
            <w:pPr>
              <w:pStyle w:val="Compact"/>
              <w:jc w:val="right"/>
            </w:pPr>
            <w:r>
              <w:t xml:space="preserve">9</w:t>
            </w:r>
          </w:p>
        </w:tc>
        <w:tc>
          <w:tcPr/>
          <w:p>
            <w:pPr>
              <w:pStyle w:val="Compact"/>
              <w:jc w:val="right"/>
            </w:pPr>
            <w:r>
              <w:t xml:space="preserve">87</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030</w:t>
            </w:r>
          </w:p>
        </w:tc>
        <w:tc>
          <w:tcPr/>
          <w:p>
            <w:pPr>
              <w:pStyle w:val="Compact"/>
              <w:jc w:val="left"/>
            </w:pPr>
            <w:r>
              <w:t xml:space="preserve">IX</w:t>
            </w:r>
          </w:p>
        </w:tc>
        <w:tc>
          <w:tcPr/>
          <w:p>
            <w:pPr>
              <w:pStyle w:val="Compact"/>
              <w:jc w:val="left"/>
            </w:pPr>
            <w:r>
              <w:t xml:space="preserve">e</w:t>
            </w:r>
          </w:p>
        </w:tc>
        <w:tc>
          <w:tcPr/>
          <w:p>
            <w:pPr>
              <w:pStyle w:val="Compact"/>
              <w:jc w:val="right"/>
            </w:pPr>
            <w:r>
              <w:t xml:space="preserve">1</w:t>
            </w:r>
          </w:p>
        </w:tc>
        <w:tc>
          <w:tcPr/>
          <w:p>
            <w:pPr>
              <w:pStyle w:val="Compact"/>
              <w:jc w:val="right"/>
            </w:pPr>
            <w:r>
              <w:t xml:space="preserve">38</w:t>
            </w:r>
          </w:p>
        </w:tc>
        <w:tc>
          <w:tcPr/>
          <w:p>
            <w:pPr>
              <w:pStyle w:val="Compact"/>
              <w:jc w:val="right"/>
            </w:pPr>
            <w:r>
              <w:t xml:space="preserve">105</w:t>
            </w:r>
          </w:p>
        </w:tc>
        <w:tc>
          <w:tcPr/>
          <w:p>
            <w:pPr>
              <w:pStyle w:val="Compact"/>
              <w:jc w:val="right"/>
            </w:pPr>
            <w:r>
              <w:t xml:space="preserve">11</w:t>
            </w:r>
          </w:p>
        </w:tc>
        <w:tc>
          <w:tcPr/>
          <w:p>
            <w:pPr>
              <w:pStyle w:val="Compact"/>
              <w:jc w:val="right"/>
            </w:pPr>
            <w:r>
              <w:t xml:space="preserve">155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031</w:t>
            </w:r>
          </w:p>
        </w:tc>
        <w:tc>
          <w:tcPr/>
          <w:p>
            <w:pPr>
              <w:pStyle w:val="Compact"/>
              <w:jc w:val="left"/>
            </w:pPr>
            <w:r>
              <w:t xml:space="preserve">IX</w:t>
            </w:r>
          </w:p>
        </w:tc>
        <w:tc>
          <w:tcPr/>
          <w:p>
            <w:pPr>
              <w:pStyle w:val="Compact"/>
              <w:jc w:val="left"/>
            </w:pPr>
            <w:r>
              <w:t xml:space="preserve">e</w:t>
            </w:r>
          </w:p>
        </w:tc>
        <w:tc>
          <w:tcPr/>
          <w:p>
            <w:pPr>
              <w:pStyle w:val="Compact"/>
              <w:jc w:val="right"/>
            </w:pPr>
            <w:r>
              <w:t xml:space="preserve">8</w:t>
            </w:r>
          </w:p>
        </w:tc>
        <w:tc>
          <w:tcPr/>
          <w:p>
            <w:pPr>
              <w:pStyle w:val="Compact"/>
              <w:jc w:val="right"/>
            </w:pPr>
            <w:r>
              <w:t xml:space="preserve">101</w:t>
            </w:r>
          </w:p>
        </w:tc>
        <w:tc>
          <w:tcPr/>
          <w:p>
            <w:pPr>
              <w:pStyle w:val="Compact"/>
              <w:jc w:val="right"/>
            </w:pPr>
            <w:r>
              <w:t xml:space="preserve">192</w:t>
            </w:r>
          </w:p>
        </w:tc>
        <w:tc>
          <w:tcPr/>
          <w:p>
            <w:pPr>
              <w:pStyle w:val="Compact"/>
              <w:jc w:val="right"/>
            </w:pPr>
            <w:r>
              <w:t xml:space="preserve">17</w:t>
            </w:r>
          </w:p>
        </w:tc>
        <w:tc>
          <w:tcPr/>
          <w:p>
            <w:pPr>
              <w:pStyle w:val="Compact"/>
              <w:jc w:val="right"/>
            </w:pPr>
            <w:r>
              <w:t xml:space="preserve">318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034</w:t>
            </w:r>
          </w:p>
        </w:tc>
        <w:tc>
          <w:tcPr/>
          <w:p>
            <w:pPr>
              <w:pStyle w:val="Compact"/>
              <w:jc w:val="left"/>
            </w:pPr>
            <w:r>
              <w:t xml:space="preserve">IX</w:t>
            </w:r>
          </w:p>
        </w:tc>
        <w:tc>
          <w:tcPr/>
          <w:p>
            <w:pPr>
              <w:pStyle w:val="Compact"/>
              <w:jc w:val="left"/>
            </w:pPr>
            <w:r>
              <w:t xml:space="preserve">e</w:t>
            </w:r>
          </w:p>
        </w:tc>
        <w:tc>
          <w:tcPr/>
          <w:p>
            <w:pPr>
              <w:pStyle w:val="Compact"/>
              <w:jc w:val="right"/>
            </w:pPr>
            <w:r>
              <w:t xml:space="preserve">4</w:t>
            </w:r>
          </w:p>
        </w:tc>
        <w:tc>
          <w:tcPr/>
          <w:p>
            <w:pPr>
              <w:pStyle w:val="Compact"/>
              <w:jc w:val="right"/>
            </w:pPr>
            <w:r>
              <w:t xml:space="preserve">95</w:t>
            </w:r>
          </w:p>
        </w:tc>
        <w:tc>
          <w:tcPr/>
          <w:p>
            <w:pPr>
              <w:pStyle w:val="Compact"/>
              <w:jc w:val="right"/>
            </w:pPr>
            <w:r>
              <w:t xml:space="preserve">192</w:t>
            </w:r>
          </w:p>
        </w:tc>
        <w:tc>
          <w:tcPr/>
          <w:p>
            <w:pPr>
              <w:pStyle w:val="Compact"/>
              <w:jc w:val="right"/>
            </w:pPr>
            <w:r>
              <w:t xml:space="preserve">6</w:t>
            </w:r>
          </w:p>
        </w:tc>
        <w:tc>
          <w:tcPr/>
          <w:p>
            <w:pPr>
              <w:pStyle w:val="Compact"/>
              <w:jc w:val="right"/>
            </w:pPr>
            <w:r>
              <w:t xml:space="preserve">297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037</w:t>
            </w:r>
          </w:p>
        </w:tc>
        <w:tc>
          <w:tcPr/>
          <w:p>
            <w:pPr>
              <w:pStyle w:val="Compact"/>
              <w:jc w:val="left"/>
            </w:pPr>
            <w:r>
              <w:t xml:space="preserve">IX</w:t>
            </w:r>
          </w:p>
        </w:tc>
        <w:tc>
          <w:tcPr/>
          <w:p>
            <w:pPr>
              <w:pStyle w:val="Compact"/>
              <w:jc w:val="left"/>
            </w:pPr>
            <w:r>
              <w:t xml:space="preserve">e</w:t>
            </w:r>
          </w:p>
        </w:tc>
        <w:tc>
          <w:tcPr/>
          <w:p>
            <w:pPr>
              <w:pStyle w:val="Compact"/>
              <w:jc w:val="right"/>
            </w:pPr>
            <w:r>
              <w:t xml:space="preserve">69</w:t>
            </w:r>
          </w:p>
        </w:tc>
        <w:tc>
          <w:tcPr/>
          <w:p>
            <w:pPr>
              <w:pStyle w:val="Compact"/>
              <w:jc w:val="right"/>
            </w:pPr>
            <w:r>
              <w:t xml:space="preserve">88</w:t>
            </w:r>
          </w:p>
        </w:tc>
        <w:tc>
          <w:tcPr/>
          <w:p>
            <w:pPr>
              <w:pStyle w:val="Compact"/>
              <w:jc w:val="right"/>
            </w:pPr>
            <w:r>
              <w:t xml:space="preserve">120</w:t>
            </w:r>
          </w:p>
        </w:tc>
        <w:tc>
          <w:tcPr/>
          <w:p>
            <w:pPr>
              <w:pStyle w:val="Compact"/>
              <w:jc w:val="right"/>
            </w:pPr>
            <w:r>
              <w:t xml:space="preserve">47</w:t>
            </w:r>
          </w:p>
        </w:tc>
        <w:tc>
          <w:tcPr/>
          <w:p>
            <w:pPr>
              <w:pStyle w:val="Compact"/>
              <w:jc w:val="right"/>
            </w:pPr>
            <w:r>
              <w:t xml:space="preserve">324</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038</w:t>
            </w:r>
          </w:p>
        </w:tc>
        <w:tc>
          <w:tcPr/>
          <w:p>
            <w:pPr>
              <w:pStyle w:val="Compact"/>
              <w:jc w:val="left"/>
            </w:pPr>
            <w:r>
              <w:t xml:space="preserve">IX</w:t>
            </w:r>
          </w:p>
        </w:tc>
        <w:tc>
          <w:tcPr/>
          <w:p>
            <w:pPr>
              <w:pStyle w:val="Compact"/>
              <w:jc w:val="left"/>
            </w:pPr>
            <w:r>
              <w:t xml:space="preserve">e</w:t>
            </w:r>
          </w:p>
        </w:tc>
        <w:tc>
          <w:tcPr/>
          <w:p>
            <w:pPr>
              <w:pStyle w:val="Compact"/>
              <w:jc w:val="right"/>
            </w:pPr>
            <w:r>
              <w:t xml:space="preserve">75</w:t>
            </w:r>
          </w:p>
        </w:tc>
        <w:tc>
          <w:tcPr/>
          <w:p>
            <w:pPr>
              <w:pStyle w:val="Compact"/>
              <w:jc w:val="right"/>
            </w:pPr>
            <w:r>
              <w:t xml:space="preserve">59</w:t>
            </w:r>
          </w:p>
        </w:tc>
        <w:tc>
          <w:tcPr/>
          <w:p>
            <w:pPr>
              <w:pStyle w:val="Compact"/>
              <w:jc w:val="right"/>
            </w:pPr>
            <w:r>
              <w:t xml:space="preserve">89</w:t>
            </w:r>
          </w:p>
        </w:tc>
        <w:tc>
          <w:tcPr/>
          <w:p>
            <w:pPr>
              <w:pStyle w:val="Compact"/>
              <w:jc w:val="right"/>
            </w:pPr>
            <w:r>
              <w:t xml:space="preserve">95</w:t>
            </w:r>
          </w:p>
        </w:tc>
        <w:tc>
          <w:tcPr/>
          <w:p>
            <w:pPr>
              <w:pStyle w:val="Compact"/>
              <w:jc w:val="right"/>
            </w:pPr>
            <w:r>
              <w:t xml:space="preserve">318</w:t>
            </w:r>
          </w:p>
        </w:tc>
        <w:tc>
          <w:tcPr/>
          <w:p>
            <w:pPr>
              <w:pStyle w:val="Compact"/>
              <w:jc w:val="left"/>
            </w:pPr>
            <w:r>
              <w:t xml:space="preserve">O-</w:t>
            </w:r>
          </w:p>
        </w:tc>
        <w:tc>
          <w:tcPr/>
          <w:p>
            <w:pPr>
              <w:pStyle w:val="Compact"/>
              <w:jc w:val="left"/>
            </w:pPr>
            <w:r>
              <w:t xml:space="preserve">II</w:t>
            </w:r>
          </w:p>
        </w:tc>
      </w:tr>
      <w:tr>
        <w:tc>
          <w:tcPr/>
          <w:p>
            <w:pPr>
              <w:pStyle w:val="Compact"/>
              <w:jc w:val="left"/>
            </w:pPr>
            <w:r>
              <w:t xml:space="preserve">039</w:t>
            </w:r>
          </w:p>
        </w:tc>
        <w:tc>
          <w:tcPr/>
          <w:p>
            <w:pPr>
              <w:pStyle w:val="Compact"/>
              <w:jc w:val="left"/>
            </w:pPr>
            <w:r>
              <w:t xml:space="preserve">IX</w:t>
            </w:r>
          </w:p>
        </w:tc>
        <w:tc>
          <w:tcPr/>
          <w:p>
            <w:pPr>
              <w:pStyle w:val="Compact"/>
              <w:jc w:val="left"/>
            </w:pPr>
            <w:r>
              <w:t xml:space="preserve">e</w:t>
            </w:r>
          </w:p>
        </w:tc>
        <w:tc>
          <w:tcPr/>
          <w:p>
            <w:pPr>
              <w:pStyle w:val="Compact"/>
              <w:jc w:val="right"/>
            </w:pPr>
            <w:r>
              <w:t xml:space="preserve">0</w:t>
            </w:r>
          </w:p>
        </w:tc>
        <w:tc>
          <w:tcPr/>
          <w:p>
            <w:pPr>
              <w:pStyle w:val="Compact"/>
              <w:jc w:val="right"/>
            </w:pPr>
            <w:r>
              <w:t xml:space="preserve">10</w:t>
            </w:r>
          </w:p>
        </w:tc>
        <w:tc>
          <w:tcPr/>
          <w:p>
            <w:pPr>
              <w:pStyle w:val="Compact"/>
              <w:jc w:val="right"/>
            </w:pPr>
            <w:r>
              <w:t xml:space="preserve">41</w:t>
            </w:r>
          </w:p>
        </w:tc>
        <w:tc>
          <w:tcPr/>
          <w:p>
            <w:pPr>
              <w:pStyle w:val="Compact"/>
              <w:jc w:val="right"/>
            </w:pPr>
            <w:r>
              <w:t xml:space="preserve">2</w:t>
            </w:r>
          </w:p>
        </w:tc>
        <w:tc>
          <w:tcPr/>
          <w:p>
            <w:pPr>
              <w:pStyle w:val="Compact"/>
              <w:jc w:val="right"/>
            </w:pPr>
            <w:r>
              <w:t xml:space="preserve">53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041</w:t>
            </w:r>
          </w:p>
        </w:tc>
        <w:tc>
          <w:tcPr/>
          <w:p>
            <w:pPr>
              <w:pStyle w:val="Compact"/>
              <w:jc w:val="left"/>
            </w:pPr>
            <w:r>
              <w:t xml:space="preserve">IX</w:t>
            </w:r>
          </w:p>
        </w:tc>
        <w:tc>
          <w:tcPr/>
          <w:p>
            <w:pPr>
              <w:pStyle w:val="Compact"/>
              <w:jc w:val="left"/>
            </w:pPr>
            <w:r>
              <w:t xml:space="preserve">e</w:t>
            </w:r>
          </w:p>
        </w:tc>
        <w:tc>
          <w:tcPr/>
          <w:p>
            <w:pPr>
              <w:pStyle w:val="Compact"/>
              <w:jc w:val="right"/>
            </w:pPr>
            <w:r>
              <w:t xml:space="preserve">11</w:t>
            </w:r>
          </w:p>
        </w:tc>
        <w:tc>
          <w:tcPr/>
          <w:p>
            <w:pPr>
              <w:pStyle w:val="Compact"/>
              <w:jc w:val="right"/>
            </w:pPr>
            <w:r>
              <w:t xml:space="preserve">104</w:t>
            </w:r>
          </w:p>
        </w:tc>
        <w:tc>
          <w:tcPr/>
          <w:p>
            <w:pPr>
              <w:pStyle w:val="Compact"/>
              <w:jc w:val="right"/>
            </w:pPr>
            <w:r>
              <w:t xml:space="preserve">190</w:t>
            </w:r>
          </w:p>
        </w:tc>
        <w:tc>
          <w:tcPr/>
          <w:p>
            <w:pPr>
              <w:pStyle w:val="Compact"/>
              <w:jc w:val="right"/>
            </w:pPr>
            <w:r>
              <w:t xml:space="preserve">18</w:t>
            </w:r>
          </w:p>
        </w:tc>
        <w:tc>
          <w:tcPr/>
          <w:p>
            <w:pPr>
              <w:pStyle w:val="Compact"/>
              <w:jc w:val="right"/>
            </w:pPr>
            <w:r>
              <w:t xml:space="preserve">323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045</w:t>
            </w:r>
          </w:p>
        </w:tc>
        <w:tc>
          <w:tcPr/>
          <w:p>
            <w:pPr>
              <w:pStyle w:val="Compact"/>
              <w:jc w:val="left"/>
            </w:pPr>
            <w:r>
              <w:t xml:space="preserve">IX</w:t>
            </w:r>
          </w:p>
        </w:tc>
        <w:tc>
          <w:tcPr/>
          <w:p>
            <w:pPr>
              <w:pStyle w:val="Compact"/>
              <w:jc w:val="left"/>
            </w:pPr>
            <w:r>
              <w:t xml:space="preserve">e</w:t>
            </w:r>
          </w:p>
        </w:tc>
        <w:tc>
          <w:tcPr/>
          <w:p>
            <w:pPr>
              <w:pStyle w:val="Compact"/>
              <w:jc w:val="right"/>
            </w:pPr>
            <w:r>
              <w:t xml:space="preserve">3</w:t>
            </w:r>
          </w:p>
        </w:tc>
        <w:tc>
          <w:tcPr/>
          <w:p>
            <w:pPr>
              <w:pStyle w:val="Compact"/>
              <w:jc w:val="right"/>
            </w:pPr>
            <w:r>
              <w:t xml:space="preserve">104</w:t>
            </w:r>
          </w:p>
        </w:tc>
        <w:tc>
          <w:tcPr/>
          <w:p>
            <w:pPr>
              <w:pStyle w:val="Compact"/>
              <w:jc w:val="right"/>
            </w:pPr>
            <w:r>
              <w:t xml:space="preserve">208</w:t>
            </w:r>
          </w:p>
        </w:tc>
        <w:tc>
          <w:tcPr/>
          <w:p>
            <w:pPr>
              <w:pStyle w:val="Compact"/>
              <w:jc w:val="right"/>
            </w:pPr>
            <w:r>
              <w:t xml:space="preserve">10</w:t>
            </w:r>
          </w:p>
        </w:tc>
        <w:tc>
          <w:tcPr/>
          <w:p>
            <w:pPr>
              <w:pStyle w:val="Compact"/>
              <w:jc w:val="right"/>
            </w:pPr>
            <w:r>
              <w:t xml:space="preserve">325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049</w:t>
            </w:r>
          </w:p>
        </w:tc>
        <w:tc>
          <w:tcPr/>
          <w:p>
            <w:pPr>
              <w:pStyle w:val="Compact"/>
              <w:jc w:val="left"/>
            </w:pPr>
            <w:r>
              <w:t xml:space="preserve">IX</w:t>
            </w:r>
          </w:p>
        </w:tc>
        <w:tc>
          <w:tcPr/>
          <w:p>
            <w:pPr>
              <w:pStyle w:val="Compact"/>
              <w:jc w:val="left"/>
            </w:pPr>
            <w:r>
              <w:t xml:space="preserve">a</w:t>
            </w:r>
          </w:p>
        </w:tc>
        <w:tc>
          <w:tcPr/>
          <w:p>
            <w:pPr>
              <w:pStyle w:val="Compact"/>
              <w:jc w:val="right"/>
            </w:pPr>
            <w:r>
              <w:t xml:space="preserve">3</w:t>
            </w:r>
          </w:p>
        </w:tc>
        <w:tc>
          <w:tcPr/>
          <w:p>
            <w:pPr>
              <w:pStyle w:val="Compact"/>
              <w:jc w:val="right"/>
            </w:pPr>
            <w:r>
              <w:t xml:space="preserve">29</w:t>
            </w:r>
          </w:p>
        </w:tc>
        <w:tc>
          <w:tcPr/>
          <w:p>
            <w:pPr>
              <w:pStyle w:val="Compact"/>
              <w:jc w:val="right"/>
            </w:pPr>
            <w:r>
              <w:t xml:space="preserve">69</w:t>
            </w:r>
          </w:p>
        </w:tc>
        <w:tc>
          <w:tcPr/>
          <w:p>
            <w:pPr>
              <w:pStyle w:val="Compact"/>
              <w:jc w:val="right"/>
            </w:pPr>
            <w:r>
              <w:t xml:space="preserve">3</w:t>
            </w:r>
          </w:p>
        </w:tc>
        <w:tc>
          <w:tcPr/>
          <w:p>
            <w:pPr>
              <w:pStyle w:val="Compact"/>
              <w:jc w:val="right"/>
            </w:pPr>
            <w:r>
              <w:t xml:space="preserve">104</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0</w:t>
            </w:r>
          </w:p>
        </w:tc>
        <w:tc>
          <w:tcPr/>
          <w:p>
            <w:pPr>
              <w:pStyle w:val="Compact"/>
              <w:jc w:val="right"/>
            </w:pPr>
            <w:r>
              <w:t xml:space="preserve">34</w:t>
            </w:r>
          </w:p>
        </w:tc>
        <w:tc>
          <w:tcPr/>
          <w:p>
            <w:pPr>
              <w:pStyle w:val="Compact"/>
              <w:jc w:val="right"/>
            </w:pPr>
            <w:r>
              <w:t xml:space="preserve">113</w:t>
            </w:r>
          </w:p>
        </w:tc>
        <w:tc>
          <w:tcPr/>
          <w:p>
            <w:pPr>
              <w:pStyle w:val="Compact"/>
              <w:jc w:val="right"/>
            </w:pPr>
            <w:r>
              <w:t xml:space="preserve">3</w:t>
            </w:r>
          </w:p>
        </w:tc>
        <w:tc>
          <w:tcPr/>
          <w:p>
            <w:pPr>
              <w:pStyle w:val="Compact"/>
              <w:jc w:val="right"/>
            </w:pPr>
            <w:r>
              <w:t xml:space="preserve">150</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1</w:t>
            </w:r>
          </w:p>
        </w:tc>
        <w:tc>
          <w:tcPr/>
          <w:p>
            <w:pPr>
              <w:pStyle w:val="Compact"/>
              <w:jc w:val="right"/>
            </w:pPr>
            <w:r>
              <w:t xml:space="preserve">9</w:t>
            </w:r>
          </w:p>
        </w:tc>
        <w:tc>
          <w:tcPr/>
          <w:p>
            <w:pPr>
              <w:pStyle w:val="Compact"/>
              <w:jc w:val="right"/>
            </w:pPr>
            <w:r>
              <w:t xml:space="preserve">82</w:t>
            </w:r>
          </w:p>
        </w:tc>
        <w:tc>
          <w:tcPr/>
          <w:p>
            <w:pPr>
              <w:pStyle w:val="Compact"/>
              <w:jc w:val="right"/>
            </w:pPr>
            <w:r>
              <w:t xml:space="preserve">4</w:t>
            </w:r>
          </w:p>
        </w:tc>
        <w:tc>
          <w:tcPr/>
          <w:p>
            <w:pPr>
              <w:pStyle w:val="Compact"/>
              <w:jc w:val="right"/>
            </w:pPr>
            <w:r>
              <w:t xml:space="preserve">96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063</w:t>
            </w:r>
          </w:p>
        </w:tc>
        <w:tc>
          <w:tcPr/>
          <w:p>
            <w:pPr>
              <w:pStyle w:val="Compact"/>
              <w:jc w:val="left"/>
            </w:pPr>
            <w:r>
              <w:t xml:space="preserve">IX</w:t>
            </w:r>
          </w:p>
        </w:tc>
        <w:tc>
          <w:tcPr/>
          <w:p>
            <w:pPr>
              <w:pStyle w:val="Compact"/>
              <w:jc w:val="left"/>
            </w:pPr>
            <w:r>
              <w:t xml:space="preserve">p</w:t>
            </w:r>
          </w:p>
        </w:tc>
        <w:tc>
          <w:tcPr/>
          <w:p>
            <w:pPr>
              <w:pStyle w:val="Compact"/>
              <w:jc w:val="right"/>
            </w:pPr>
            <w:r>
              <w:t xml:space="preserve">0</w:t>
            </w:r>
          </w:p>
        </w:tc>
        <w:tc>
          <w:tcPr/>
          <w:p>
            <w:pPr>
              <w:pStyle w:val="Compact"/>
              <w:jc w:val="right"/>
            </w:pPr>
            <w:r>
              <w:t xml:space="preserve">3</w:t>
            </w:r>
          </w:p>
        </w:tc>
        <w:tc>
          <w:tcPr/>
          <w:p>
            <w:pPr>
              <w:pStyle w:val="Compact"/>
              <w:jc w:val="right"/>
            </w:pPr>
            <w:r>
              <w:t xml:space="preserve">15</w:t>
            </w:r>
          </w:p>
        </w:tc>
        <w:tc>
          <w:tcPr/>
          <w:p>
            <w:pPr>
              <w:pStyle w:val="Compact"/>
              <w:jc w:val="right"/>
            </w:pPr>
            <w:r>
              <w:t xml:space="preserve">0</w:t>
            </w:r>
          </w:p>
        </w:tc>
        <w:tc>
          <w:tcPr/>
          <w:p>
            <w:pPr>
              <w:pStyle w:val="Compact"/>
              <w:jc w:val="right"/>
            </w:pPr>
            <w:r>
              <w:t xml:space="preserve">18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0150</w:t>
            </w:r>
          </w:p>
        </w:tc>
        <w:tc>
          <w:tcPr/>
          <w:p>
            <w:pPr>
              <w:pStyle w:val="Compact"/>
              <w:jc w:val="left"/>
            </w:pPr>
            <w:r>
              <w:t xml:space="preserve">IX</w:t>
            </w:r>
          </w:p>
        </w:tc>
        <w:tc>
          <w:tcPr/>
          <w:p>
            <w:pPr>
              <w:pStyle w:val="Compact"/>
              <w:jc w:val="left"/>
            </w:pPr>
            <w:r>
              <w:t xml:space="preserve">p</w:t>
            </w:r>
          </w:p>
        </w:tc>
        <w:tc>
          <w:tcPr/>
          <w:p>
            <w:pPr>
              <w:pStyle w:val="Compact"/>
              <w:jc w:val="right"/>
            </w:pPr>
            <w:r>
              <w:t xml:space="preserve">65</w:t>
            </w:r>
          </w:p>
        </w:tc>
        <w:tc>
          <w:tcPr/>
          <w:p>
            <w:pPr>
              <w:pStyle w:val="Compact"/>
              <w:jc w:val="right"/>
            </w:pPr>
            <w:r>
              <w:t xml:space="preserve">34</w:t>
            </w:r>
          </w:p>
        </w:tc>
        <w:tc>
          <w:tcPr/>
          <w:p>
            <w:pPr>
              <w:pStyle w:val="Compact"/>
              <w:jc w:val="right"/>
            </w:pPr>
            <w:r>
              <w:t xml:space="preserve">101</w:t>
            </w:r>
          </w:p>
        </w:tc>
        <w:tc>
          <w:tcPr/>
          <w:p>
            <w:pPr>
              <w:pStyle w:val="Compact"/>
              <w:jc w:val="right"/>
            </w:pPr>
            <w:r>
              <w:t xml:space="preserve">23</w:t>
            </w:r>
          </w:p>
        </w:tc>
        <w:tc>
          <w:tcPr/>
          <w:p>
            <w:pPr>
              <w:pStyle w:val="Compact"/>
              <w:jc w:val="right"/>
            </w:pPr>
            <w:r>
              <w:t xml:space="preserve">223</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0151</w:t>
            </w:r>
          </w:p>
        </w:tc>
        <w:tc>
          <w:tcPr/>
          <w:p>
            <w:pPr>
              <w:pStyle w:val="Compact"/>
              <w:jc w:val="left"/>
            </w:pPr>
            <w:r>
              <w:t xml:space="preserve">IX</w:t>
            </w:r>
          </w:p>
        </w:tc>
        <w:tc>
          <w:tcPr/>
          <w:p>
            <w:pPr>
              <w:pStyle w:val="Compact"/>
              <w:jc w:val="left"/>
            </w:pPr>
            <w:r>
              <w:t xml:space="preserve">p</w:t>
            </w:r>
          </w:p>
        </w:tc>
        <w:tc>
          <w:tcPr/>
          <w:p>
            <w:pPr>
              <w:pStyle w:val="Compact"/>
              <w:jc w:val="right"/>
            </w:pPr>
            <w:r>
              <w:t xml:space="preserve">9</w:t>
            </w:r>
          </w:p>
        </w:tc>
        <w:tc>
          <w:tcPr/>
          <w:p>
            <w:pPr>
              <w:pStyle w:val="Compact"/>
              <w:jc w:val="right"/>
            </w:pPr>
            <w:r>
              <w:t xml:space="preserve">44</w:t>
            </w:r>
          </w:p>
        </w:tc>
        <w:tc>
          <w:tcPr/>
          <w:p>
            <w:pPr>
              <w:pStyle w:val="Compact"/>
              <w:jc w:val="right"/>
            </w:pPr>
            <w:r>
              <w:t xml:space="preserve">174</w:t>
            </w:r>
          </w:p>
        </w:tc>
        <w:tc>
          <w:tcPr/>
          <w:p>
            <w:pPr>
              <w:pStyle w:val="Compact"/>
              <w:jc w:val="right"/>
            </w:pPr>
            <w:r>
              <w:t xml:space="preserve">7</w:t>
            </w:r>
          </w:p>
        </w:tc>
        <w:tc>
          <w:tcPr/>
          <w:p>
            <w:pPr>
              <w:pStyle w:val="Compact"/>
              <w:jc w:val="right"/>
            </w:pPr>
            <w:r>
              <w:t xml:space="preserve">234</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33</w:t>
            </w:r>
          </w:p>
        </w:tc>
        <w:tc>
          <w:tcPr/>
          <w:p>
            <w:pPr>
              <w:pStyle w:val="Compact"/>
              <w:jc w:val="left"/>
            </w:pPr>
            <w:r>
              <w:t xml:space="preserve">IX</w:t>
            </w:r>
          </w:p>
        </w:tc>
        <w:tc>
          <w:tcPr/>
          <w:p>
            <w:pPr>
              <w:pStyle w:val="Compact"/>
              <w:jc w:val="left"/>
            </w:pPr>
            <w:r>
              <w:t xml:space="preserve">e</w:t>
            </w:r>
          </w:p>
        </w:tc>
        <w:tc>
          <w:tcPr/>
          <w:p>
            <w:pPr>
              <w:pStyle w:val="Compact"/>
              <w:jc w:val="right"/>
            </w:pPr>
            <w:r>
              <w:t xml:space="preserve">57</w:t>
            </w:r>
          </w:p>
        </w:tc>
        <w:tc>
          <w:tcPr/>
          <w:p>
            <w:pPr>
              <w:pStyle w:val="Compact"/>
              <w:jc w:val="right"/>
            </w:pPr>
            <w:r>
              <w:t xml:space="preserve">73</w:t>
            </w:r>
          </w:p>
        </w:tc>
        <w:tc>
          <w:tcPr/>
          <w:p>
            <w:pPr>
              <w:pStyle w:val="Compact"/>
              <w:jc w:val="right"/>
            </w:pPr>
            <w:r>
              <w:t xml:space="preserve">54</w:t>
            </w:r>
          </w:p>
        </w:tc>
        <w:tc>
          <w:tcPr/>
          <w:p>
            <w:pPr>
              <w:pStyle w:val="Compact"/>
              <w:jc w:val="right"/>
            </w:pPr>
            <w:r>
              <w:t xml:space="preserve">44</w:t>
            </w:r>
          </w:p>
        </w:tc>
        <w:tc>
          <w:tcPr/>
          <w:p>
            <w:pPr>
              <w:pStyle w:val="Compact"/>
              <w:jc w:val="right"/>
            </w:pPr>
            <w:r>
              <w:t xml:space="preserve">228</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34</w:t>
            </w:r>
          </w:p>
        </w:tc>
        <w:tc>
          <w:tcPr/>
          <w:p>
            <w:pPr>
              <w:pStyle w:val="Compact"/>
              <w:jc w:val="right"/>
            </w:pPr>
            <w:r>
              <w:t xml:space="preserve">19</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85</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129</w:t>
            </w:r>
          </w:p>
        </w:tc>
        <w:tc>
          <w:tcPr/>
          <w:p>
            <w:pPr>
              <w:pStyle w:val="Compact"/>
              <w:jc w:val="right"/>
            </w:pPr>
            <w:r>
              <w:t xml:space="preserve">35</w:t>
            </w:r>
          </w:p>
        </w:tc>
        <w:tc>
          <w:tcPr/>
          <w:p>
            <w:pPr>
              <w:pStyle w:val="Compact"/>
              <w:jc w:val="right"/>
            </w:pPr>
            <w:r>
              <w:t xml:space="preserve">47</w:t>
            </w:r>
          </w:p>
        </w:tc>
        <w:tc>
          <w:tcPr/>
          <w:p>
            <w:pPr>
              <w:pStyle w:val="Compact"/>
              <w:jc w:val="right"/>
            </w:pPr>
            <w:r>
              <w:t xml:space="preserve">36</w:t>
            </w:r>
          </w:p>
        </w:tc>
        <w:tc>
          <w:tcPr/>
          <w:p>
            <w:pPr>
              <w:pStyle w:val="Compact"/>
              <w:jc w:val="right"/>
            </w:pPr>
            <w:r>
              <w:t xml:space="preserve">247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45</w:t>
            </w:r>
          </w:p>
        </w:tc>
        <w:tc>
          <w:tcPr/>
          <w:p>
            <w:pPr>
              <w:pStyle w:val="Compact"/>
              <w:jc w:val="right"/>
            </w:pPr>
            <w:r>
              <w:t xml:space="preserve">3</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83</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461</w:t>
            </w:r>
          </w:p>
        </w:tc>
        <w:tc>
          <w:tcPr/>
          <w:p>
            <w:pPr>
              <w:pStyle w:val="Compact"/>
              <w:jc w:val="left"/>
            </w:pPr>
            <w:r>
              <w:t xml:space="preserve">835</w:t>
            </w:r>
          </w:p>
        </w:tc>
        <w:tc>
          <w:tcPr/>
          <w:p>
            <w:pPr>
              <w:pStyle w:val="Compact"/>
              <w:jc w:val="left"/>
            </w:pPr>
            <w:r>
              <w:t xml:space="preserve">e</w:t>
            </w:r>
          </w:p>
        </w:tc>
        <w:tc>
          <w:tcPr/>
          <w:p>
            <w:pPr>
              <w:pStyle w:val="Compact"/>
              <w:jc w:val="right"/>
            </w:pPr>
            <w:r>
              <w:t xml:space="preserve">3</w:t>
            </w:r>
          </w:p>
        </w:tc>
        <w:tc>
          <w:tcPr/>
          <w:p>
            <w:pPr>
              <w:pStyle w:val="Compact"/>
              <w:jc w:val="right"/>
            </w:pPr>
            <w:r>
              <w:t xml:space="preserve">102</w:t>
            </w:r>
          </w:p>
        </w:tc>
        <w:tc>
          <w:tcPr/>
          <w:p>
            <w:pPr>
              <w:pStyle w:val="Compact"/>
              <w:jc w:val="right"/>
            </w:pPr>
            <w:r>
              <w:t xml:space="preserve">219</w:t>
            </w:r>
          </w:p>
        </w:tc>
        <w:tc>
          <w:tcPr/>
          <w:p>
            <w:pPr>
              <w:pStyle w:val="Compact"/>
              <w:jc w:val="right"/>
            </w:pPr>
            <w:r>
              <w:t xml:space="preserve">5</w:t>
            </w:r>
          </w:p>
        </w:tc>
        <w:tc>
          <w:tcPr/>
          <w:p>
            <w:pPr>
              <w:pStyle w:val="Compact"/>
              <w:jc w:val="right"/>
            </w:pPr>
            <w:r>
              <w:t xml:space="preserve">329</w:t>
            </w:r>
          </w:p>
        </w:tc>
        <w:tc>
          <w:tcPr/>
          <w:p>
            <w:pPr>
              <w:pStyle w:val="Compact"/>
              <w:jc w:val="left"/>
            </w:pPr>
            <w:r>
              <w:t xml:space="preserve">M++++</w:t>
            </w:r>
          </w:p>
        </w:tc>
        <w:tc>
          <w:tcPr/>
          <w:p>
            <w:pPr>
              <w:pStyle w:val="Compact"/>
              <w:jc w:val="left"/>
            </w:pPr>
            <w:r>
              <w:t xml:space="preserve">V</w:t>
            </w:r>
          </w:p>
        </w:tc>
      </w:tr>
    </w:tbl>
    <w:p>
      <w:pPr>
        <w:pStyle w:val="BodyText"/>
      </w:pPr>
      <w:r>
        <w:t xml:space="preserve">(Aland podaje</w:t>
      </w:r>
      <w:r>
        <w:t xml:space="preserve"> </w:t>
      </w:r>
      <w:r>
        <w:rPr>
          <w:bCs/>
          <w:b/>
        </w:rPr>
        <w:t xml:space="preserve">ap</w:t>
      </w:r>
      <w:r>
        <w:t xml:space="preserve">, lecz nie podaje liczb dla</w:t>
      </w:r>
      <w:r>
        <w:t xml:space="preserve"> </w:t>
      </w:r>
      <w:r>
        <w:rPr>
          <w:bCs/>
          <w:b/>
        </w:rPr>
        <w:t xml:space="preserve">a</w:t>
      </w:r>
      <w:r>
        <w:t xml:space="preserve">).</w:t>
      </w:r>
    </w:p>
    <w:p>
      <w:pPr>
        <w:pStyle w:val="BodyText"/>
      </w:pPr>
      <w:r>
        <w:t xml:space="preserve">Czego zatem możemy się nauczyć z tej tabeli? Być może dobrym punktem wyjścia jest korelacja między „Kat.” i „klasą” pod względem wartości, które każdy z nas przypisał konkretnym manuskryptom: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w:t>
            </w:r>
          </w:p>
        </w:tc>
        <w:tc>
          <w:tcPr/>
          <w:p>
            <w:pPr>
              <w:pStyle w:val="Compact"/>
              <w:jc w:val="left"/>
            </w:pPr>
            <w:r>
              <w:t xml:space="preserve">II</w:t>
            </w:r>
          </w:p>
        </w:tc>
        <w:tc>
          <w:tcPr/>
          <w:p>
            <w:pPr>
              <w:pStyle w:val="Compact"/>
              <w:jc w:val="left"/>
            </w:pPr>
            <w:r>
              <w:t xml:space="preserve">III</w:t>
            </w:r>
          </w:p>
        </w:tc>
        <w:tc>
          <w:tcPr/>
          <w:p>
            <w:pPr>
              <w:pStyle w:val="Compact"/>
              <w:jc w:val="left"/>
            </w:pPr>
            <w:r>
              <w:t xml:space="preserve">IV</w:t>
            </w:r>
          </w:p>
        </w:tc>
        <w:tc>
          <w:tcPr/>
          <w:p>
            <w:pPr>
              <w:pStyle w:val="Compact"/>
              <w:jc w:val="left"/>
            </w:pPr>
            <w:r>
              <w:t xml:space="preserve">V</w:t>
            </w:r>
          </w:p>
        </w:tc>
      </w:tr>
      <w:tr>
        <w:tc>
          <w:tcPr/>
          <w:p>
            <w:pPr>
              <w:pStyle w:val="Compact"/>
              <w:jc w:val="left"/>
            </w:pPr>
            <w:r>
              <w:t xml:space="preserve">E++</w:t>
            </w:r>
            <w:r>
              <w:t xml:space="preserve">E+</w:t>
            </w:r>
            <w:r>
              <w:t xml:space="preserve">E</w:t>
            </w:r>
          </w:p>
        </w:tc>
        <w:tc>
          <w:tcPr/>
          <w:p>
            <w:pPr>
              <w:pStyle w:val="Compact"/>
              <w:jc w:val="left"/>
            </w:pPr>
            <w:r>
              <w:t xml:space="preserve">E+++</w:t>
            </w:r>
            <w:r>
              <w:t xml:space="preserve">M-</w:t>
            </w:r>
            <w:r>
              <w:t xml:space="preserve">O-</w:t>
            </w:r>
            <w:r>
              <w:t xml:space="preserve">E+</w:t>
            </w:r>
            <w:r>
              <w:t xml:space="preserve">E</w:t>
            </w:r>
            <w:r>
              <w:t xml:space="preserve">E-</w:t>
            </w:r>
          </w:p>
        </w:tc>
        <w:tc>
          <w:tcPr/>
          <w:p>
            <w:pPr>
              <w:pStyle w:val="Compact"/>
              <w:jc w:val="left"/>
            </w:pPr>
            <w:r>
              <w:t xml:space="preserve">E+</w:t>
            </w:r>
            <w:r>
              <w:t xml:space="preserve">M++</w:t>
            </w:r>
            <w:r>
              <w:t xml:space="preserve">E</w:t>
            </w:r>
            <w:r>
              <w:t xml:space="preserve">M</w:t>
            </w:r>
            <w:r>
              <w:t xml:space="preserve">E-</w:t>
            </w:r>
            <w:r>
              <w:t xml:space="preserve">M-</w:t>
            </w:r>
            <w:r>
              <w:t xml:space="preserve">E/M</w:t>
            </w:r>
          </w:p>
        </w:tc>
        <w:tc>
          <w:tcPr/>
          <w:p>
            <w:pPr>
              <w:pStyle w:val="Compact"/>
              <w:jc w:val="left"/>
            </w:pPr>
            <w:r>
              <w:t xml:space="preserve">O-</w:t>
            </w:r>
          </w:p>
        </w:tc>
        <w:tc>
          <w:tcPr/>
          <w:p>
            <w:pPr>
              <w:pStyle w:val="Compact"/>
              <w:jc w:val="left"/>
            </w:pPr>
            <w:r>
              <w:t xml:space="preserve">M+++++</w:t>
            </w:r>
            <w:r>
              <w:t xml:space="preserve">M++++</w:t>
            </w:r>
            <w:r>
              <w:t xml:space="preserve">M+++</w:t>
            </w:r>
            <w:r>
              <w:t xml:space="preserve">M++</w:t>
            </w:r>
            <w:r>
              <w:t xml:space="preserve">M+</w:t>
            </w:r>
          </w:p>
        </w:tc>
      </w:tr>
    </w:tbl>
    <w:p>
      <w:pPr>
        <w:pStyle w:val="BodyText"/>
      </w:pPr>
      <w:r>
        <w:t xml:space="preserve">Kategorie I, IV i V są rozsądnie spójne, jak jednak mamy interpretować II i III? Jest to kłopotliwe, ponieważ w książce Alanda (s. 156–159) bardzo wiele manuskryptów wymieniono w III, a niemało w II. Pomocne może być sprawdzenie, ile manuskryptów albo części zawartości znajduje się na przecięciach obu parametrów:</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right"/>
            </w:pPr>
            <w:r>
              <w:t xml:space="preserve">I</w:t>
            </w:r>
          </w:p>
        </w:tc>
        <w:tc>
          <w:tcPr/>
          <w:p>
            <w:pPr>
              <w:pStyle w:val="Compact"/>
              <w:jc w:val="right"/>
            </w:pPr>
            <w:r>
              <w:t xml:space="preserve">II</w:t>
            </w:r>
          </w:p>
        </w:tc>
        <w:tc>
          <w:tcPr/>
          <w:p>
            <w:pPr>
              <w:pStyle w:val="Compact"/>
              <w:jc w:val="right"/>
            </w:pPr>
            <w:r>
              <w:t xml:space="preserve">III</w:t>
            </w:r>
          </w:p>
        </w:tc>
        <w:tc>
          <w:tcPr/>
          <w:p>
            <w:pPr>
              <w:pStyle w:val="Compact"/>
              <w:jc w:val="right"/>
            </w:pPr>
            <w:r>
              <w:t xml:space="preserve">IV</w:t>
            </w:r>
          </w:p>
        </w:tc>
        <w:tc>
          <w:tcPr/>
          <w:p>
            <w:pPr>
              <w:pStyle w:val="Compact"/>
              <w:jc w:val="right"/>
            </w:pPr>
            <w:r>
              <w:t xml:space="preserve">V</w:t>
            </w:r>
          </w:p>
        </w:tc>
        <w:tc>
          <w:tcPr/>
          <w:p>
            <w:pPr>
              <w:pStyle w:val="Compact"/>
              <w:jc w:val="right"/>
            </w:pPr>
            <w:r>
              <w:t xml:space="preserve">Łącznie</w:t>
            </w:r>
          </w:p>
        </w:tc>
      </w:tr>
      <w:tr>
        <w:tc>
          <w:tcPr/>
          <w:p>
            <w:pPr>
              <w:pStyle w:val="Compact"/>
              <w:jc w:val="left"/>
            </w:pPr>
            <w:r>
              <w:t xml:space="preserve">E+++</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t xml:space="preserve">1</w:t>
            </w:r>
          </w:p>
        </w:tc>
      </w:tr>
      <w:tr>
        <w:tc>
          <w:tcPr/>
          <w:p>
            <w:pPr>
              <w:pStyle w:val="Compact"/>
              <w:jc w:val="left"/>
            </w:pPr>
            <w:r>
              <w:t xml:space="preserve">E++</w:t>
            </w: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w:t>
            </w:r>
          </w:p>
        </w:tc>
      </w:tr>
      <w:tr>
        <w:tc>
          <w:tcPr/>
          <w:p>
            <w:pPr>
              <w:pStyle w:val="Compact"/>
              <w:jc w:val="left"/>
            </w:pPr>
            <w:r>
              <w:t xml:space="preserve">E+</w:t>
            </w:r>
          </w:p>
        </w:tc>
        <w:tc>
          <w:tcPr/>
          <w:p>
            <w:pPr>
              <w:pStyle w:val="Compact"/>
              <w:jc w:val="right"/>
            </w:pPr>
            <w:r>
              <w:t xml:space="preserve">5</w:t>
            </w: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8</w:t>
            </w:r>
          </w:p>
        </w:tc>
      </w:tr>
      <w:tr>
        <w:tc>
          <w:tcPr/>
          <w:p>
            <w:pPr>
              <w:pStyle w:val="Compact"/>
              <w:jc w:val="left"/>
            </w:pPr>
            <w:r>
              <w:t xml:space="preserve">E</w:t>
            </w:r>
          </w:p>
        </w:tc>
        <w:tc>
          <w:tcPr/>
          <w:p>
            <w:pPr>
              <w:pStyle w:val="Compact"/>
              <w:jc w:val="right"/>
            </w:pPr>
            <w:r>
              <w:t xml:space="preserve">6</w:t>
            </w:r>
          </w:p>
        </w:tc>
        <w:tc>
          <w:tcPr/>
          <w:p>
            <w:pPr>
              <w:pStyle w:val="Compact"/>
              <w:jc w:val="right"/>
            </w:pPr>
            <w:r>
              <w:t xml:space="preserve">5</w:t>
            </w:r>
          </w:p>
        </w:tc>
        <w:tc>
          <w:tcPr/>
          <w:p>
            <w:pPr>
              <w:pStyle w:val="Compact"/>
              <w:jc w:val="right"/>
            </w:pPr>
            <w:r>
              <w:t xml:space="preserve">2</w:t>
            </w:r>
          </w:p>
        </w:tc>
        <w:tc>
          <w:tcPr/>
          <w:p>
            <w:pPr>
              <w:pStyle w:val="Compact"/>
            </w:pPr>
          </w:p>
        </w:tc>
        <w:tc>
          <w:tcPr/>
          <w:p>
            <w:pPr>
              <w:pStyle w:val="Compact"/>
            </w:pPr>
          </w:p>
        </w:tc>
        <w:tc>
          <w:tcPr/>
          <w:p>
            <w:pPr>
              <w:pStyle w:val="Compact"/>
              <w:jc w:val="right"/>
            </w:pPr>
            <w:r>
              <w:t xml:space="preserve">13</w:t>
            </w:r>
          </w:p>
        </w:tc>
      </w:tr>
      <w:tr>
        <w:tc>
          <w:tcPr/>
          <w:p>
            <w:pPr>
              <w:pStyle w:val="Compact"/>
              <w:jc w:val="left"/>
            </w:pPr>
            <w:r>
              <w:t xml:space="preserve">E-</w:t>
            </w:r>
          </w:p>
        </w:tc>
        <w:tc>
          <w:tcPr/>
          <w:p>
            <w:pPr>
              <w:pStyle w:val="Compact"/>
            </w:pPr>
          </w:p>
        </w:tc>
        <w:tc>
          <w:tcPr/>
          <w:p>
            <w:pPr>
              <w:pStyle w:val="Compact"/>
              <w:jc w:val="right"/>
            </w:pPr>
            <w:r>
              <w:t xml:space="preserve">1</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4</w:t>
            </w:r>
          </w:p>
        </w:tc>
      </w:tr>
      <w:tr>
        <w:tc>
          <w:tcPr/>
          <w:p>
            <w:pPr>
              <w:pStyle w:val="Compact"/>
              <w:jc w:val="left"/>
            </w:pPr>
            <w:r>
              <w:t xml:space="preserve">O-</w:t>
            </w: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3</w:t>
            </w:r>
          </w:p>
        </w:tc>
      </w:tr>
      <w:tr>
        <w:tc>
          <w:tcPr/>
          <w:p>
            <w:pPr>
              <w:pStyle w:val="Compact"/>
              <w:jc w:val="left"/>
            </w:pPr>
            <w:r>
              <w:t xml:space="preserve">E/M</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r>
      <w:tr>
        <w:tc>
          <w:tcPr/>
          <w:p>
            <w:pPr>
              <w:pStyle w:val="Compact"/>
              <w:jc w:val="left"/>
            </w:pPr>
            <w:r>
              <w:t xml:space="preserve">M-</w:t>
            </w:r>
          </w:p>
        </w:tc>
        <w:tc>
          <w:tcPr/>
          <w:p>
            <w:pPr>
              <w:pStyle w:val="Compact"/>
            </w:pP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4</w:t>
            </w:r>
          </w:p>
        </w:tc>
      </w:tr>
      <w:tr>
        <w:tc>
          <w:tcPr/>
          <w:p>
            <w:pPr>
              <w:pStyle w:val="Compact"/>
              <w:jc w:val="left"/>
            </w:pPr>
            <w:r>
              <w:t xml:space="preserve">M</w:t>
            </w:r>
          </w:p>
        </w:tc>
        <w:tc>
          <w:tcPr/>
          <w:p>
            <w:pPr>
              <w:pStyle w:val="Compact"/>
            </w:pPr>
          </w:p>
        </w:tc>
        <w:tc>
          <w:tcPr/>
          <w:p>
            <w:pPr>
              <w:pStyle w:val="Compact"/>
            </w:pPr>
          </w:p>
        </w:tc>
        <w:tc>
          <w:tcPr/>
          <w:p>
            <w:pPr>
              <w:pStyle w:val="Compact"/>
              <w:jc w:val="right"/>
            </w:pPr>
            <w:r>
              <w:t xml:space="preserve">5</w:t>
            </w:r>
          </w:p>
        </w:tc>
        <w:tc>
          <w:tcPr/>
          <w:p>
            <w:pPr>
              <w:pStyle w:val="Compact"/>
            </w:pPr>
          </w:p>
        </w:tc>
        <w:tc>
          <w:tcPr/>
          <w:p>
            <w:pPr>
              <w:pStyle w:val="Compact"/>
            </w:pPr>
          </w:p>
        </w:tc>
        <w:tc>
          <w:tcPr/>
          <w:p>
            <w:pPr>
              <w:pStyle w:val="Compact"/>
              <w:jc w:val="right"/>
            </w:pPr>
            <w:r>
              <w:t xml:space="preserve">5</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M++</w:t>
            </w: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10</w:t>
            </w:r>
          </w:p>
        </w:tc>
        <w:tc>
          <w:tcPr/>
          <w:p>
            <w:pPr>
              <w:pStyle w:val="Compact"/>
              <w:jc w:val="right"/>
            </w:pPr>
            <w:r>
              <w:t xml:space="preserve">12</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10</w:t>
            </w:r>
          </w:p>
        </w:tc>
        <w:tc>
          <w:tcPr/>
          <w:p>
            <w:pPr>
              <w:pStyle w:val="Compact"/>
              <w:jc w:val="right"/>
            </w:pPr>
            <w:r>
              <w:t xml:space="preserve">10</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8</w:t>
            </w:r>
          </w:p>
        </w:tc>
        <w:tc>
          <w:tcPr/>
          <w:p>
            <w:pPr>
              <w:pStyle w:val="Compact"/>
              <w:jc w:val="right"/>
            </w:pPr>
            <w:r>
              <w:t xml:space="preserve">8</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r>
    </w:tbl>
    <w:p>
      <w:pPr>
        <w:pStyle w:val="BodyText"/>
      </w:pPr>
      <w:r>
        <w:t xml:space="preserve">0274 i 063 są fragmentaryczne, co przypuszczalnie odpowiada za ich wyjątkowe wyniki, odpowiednio E+++ i M+++++, gdyby były bardziej kompletne, każdy z nich prawdopodobnie spadłby o jeden poziom. Spośród 45 części M 31 osiąga wynik ponad 80%, a 9 jest „czystych” w ponad 95%. Powinno być możliwe odtworzenie większej części „bizantyjskiego” archetypu z dostateczną pewnością. Trzeba jednak zastanowić się, jak Aland doszedł do „egipskiej” normy w Ewangeliach, skoro najlepszy świadek egipski (z wyjątkiem fragmentarycznego 0274, który ma mniej niż 10% tekstu, lecz osiąga 90%), Kodeks B, ledwie przekracza 70%. (W</w:t>
      </w:r>
      <w:r>
        <w:t xml:space="preserve"> </w:t>
      </w:r>
      <w:r>
        <w:rPr>
          <w:iCs/>
          <w:i/>
        </w:rPr>
        <w:t xml:space="preserve">The Text</w:t>
      </w:r>
      <w:r>
        <w:t xml:space="preserve">, s. 95, Aland podaje podsumowanie dla P</w:t>
      </w:r>
      <w:r>
        <w:rPr>
          <w:vertAlign w:val="superscript"/>
        </w:rPr>
        <w:t xml:space="preserve">75</w:t>
      </w:r>
      <w:r>
        <w:t xml:space="preserve"> </w:t>
      </w:r>
      <w:r>
        <w:t xml:space="preserve">w Ewangelii Łukasza — osiąga on 77%). Co więcej, oprócz B i 0274 P</w:t>
      </w:r>
      <w:r>
        <w:rPr>
          <w:vertAlign w:val="superscript"/>
        </w:rPr>
        <w:t xml:space="preserve">75</w:t>
      </w:r>
      <w:r>
        <w:t xml:space="preserve"> </w:t>
      </w:r>
      <w:r>
        <w:t xml:space="preserve">i Z (oba również fragmentaryczne) są jedynymi greckimi manuskryptami, które osiągają w Ewangeliach choćby E+. Przypomina się wniosek E.C. Colwella po próbie odtworzenia „przeciętnego” albo średniego tekstu aleksandryjskiego dla pierwszego rozdziału Ewangelii Marka: „Wyniki te przekonująco pokazują, że każda próba odtworzenia archetypu typu tekstu Beta (aleksandryjskiego) na podstawie ilościowej jest skazana na niepowodzenie. Tak odtworzony tekst nie jest odtworzony, lecz skonstruowany, jest sztuczną jednostką, która nigdy nie istniała”.</w:t>
      </w:r>
      <w:r>
        <w:rPr>
          <w:rStyle w:val="FootnoteReference"/>
        </w:rPr>
        <w:footnoteReference w:id="570"/>
      </w:r>
    </w:p>
    <w:p>
      <w:pPr>
        <w:pStyle w:val="BodyText"/>
      </w:pPr>
      <w:r>
        <w:t xml:space="preserve">W przypadku pozostałych obszarów zawartości sytuacja nie jest wiele lepsza. Tylko P</w:t>
      </w:r>
      <w:r>
        <w:rPr>
          <w:vertAlign w:val="superscript"/>
        </w:rPr>
        <w:t xml:space="preserve">74</w:t>
      </w:r>
      <w:r>
        <w:t xml:space="preserve"> </w:t>
      </w:r>
      <w:r>
        <w:t xml:space="preserve">(86%), B (85%) i 81 (80%) mają ocenę E++ w</w:t>
      </w:r>
      <w:r>
        <w:t xml:space="preserve"> </w:t>
      </w:r>
      <w:r>
        <w:rPr>
          <w:bCs/>
          <w:b/>
        </w:rPr>
        <w:t xml:space="preserve">a</w:t>
      </w:r>
      <w:r>
        <w:t xml:space="preserve">, poza nimi jedynie A i Alef osiągają choćby E+. Kodeks B jest jedynym E++ (80%) w</w:t>
      </w:r>
      <w:r>
        <w:t xml:space="preserve"> </w:t>
      </w:r>
      <w:r>
        <w:rPr>
          <w:bCs/>
          <w:b/>
        </w:rPr>
        <w:t xml:space="preserve">p</w:t>
      </w:r>
      <w:r>
        <w:t xml:space="preserve">, a jedynie P</w:t>
      </w:r>
      <w:r>
        <w:rPr>
          <w:vertAlign w:val="superscript"/>
        </w:rPr>
        <w:t xml:space="preserve">46</w:t>
      </w:r>
      <w:r>
        <w:t xml:space="preserve">, A, C, 048 i 1739 osiągają E+. Poza 88% B w</w:t>
      </w:r>
      <w:r>
        <w:t xml:space="preserve"> </w:t>
      </w:r>
      <w:r>
        <w:rPr>
          <w:bCs/>
          <w:b/>
        </w:rPr>
        <w:t xml:space="preserve">c</w:t>
      </w:r>
      <w:r>
        <w:t xml:space="preserve">, jedynie P</w:t>
      </w:r>
      <w:r>
        <w:rPr>
          <w:vertAlign w:val="superscript"/>
        </w:rPr>
        <w:t xml:space="preserve">74</w:t>
      </w:r>
      <w:r>
        <w:t xml:space="preserve">, A i 1739 osiągają choćby E+. Jak Aland doszedł do swojej „egipskiej” normy w tych obszarach? Czy ta „norma” może być fikcją, jak twierdził Colwell?</w:t>
      </w:r>
    </w:p>
    <w:p>
      <w:pPr>
        <w:pStyle w:val="BodyText"/>
      </w:pPr>
      <w:r>
        <w:t xml:space="preserve">Kodeks A</w:t>
      </w:r>
      <w:r>
        <w:rPr>
          <w:vertAlign w:val="superscript"/>
        </w:rPr>
        <w:t xml:space="preserve">e</w:t>
      </w:r>
      <w:r>
        <w:t xml:space="preserve"> </w:t>
      </w:r>
      <w:r>
        <w:t xml:space="preserve">jest w 82% bizantyjski i musiał opierać się na egzemplarzu bizantyjskim, który przypuszczalnie należałby do IV wieku. Kodeks W w Ewangelii Mateusza także jest wyraźnie bizantyjski i musiał mieć egzemplarz bizantyjski. Rozproszenie odczytów bizantyjskich w B jest na tyle nieznaczne, że przypuszczam, iż można by przypisać je przypadkowi, lecz wyjaśnienie to raczej nie wystarczy w przypadku Alefa. Przynajmniej w</w:t>
      </w:r>
      <w:r>
        <w:t xml:space="preserve"> </w:t>
      </w:r>
      <w:r>
        <w:rPr>
          <w:bCs/>
          <w:b/>
        </w:rPr>
        <w:t xml:space="preserve">p</w:t>
      </w:r>
      <w:r>
        <w:t xml:space="preserve">, jeśli nie wszędzie, kopista Alefa musiał mieć dostęp do egzemplarza bizantyjskiego, który mógł należeć do III wieku. Asteriusz dostarcza jednak znacznie silniejszych dowodów: zmarł w 341 roku, przypuszczalnie więc pisał nieco wcześniej, wydaje się prawdopodobne, że jego manuskrypty pochodziłyby z III wieku — skoro wykazuje 90% preferencji dla odczytów bizantyjskich, manuskrypty te musiały być</w:t>
      </w:r>
      <w:r>
        <w:t xml:space="preserve"> </w:t>
      </w:r>
      <w:r>
        <w:rPr>
          <w:bCs/>
          <w:b/>
        </w:rPr>
        <w:t xml:space="preserve">bizantyjskie</w:t>
      </w:r>
      <w:r>
        <w:t xml:space="preserve">. (Przy użyciu mojej klasyfikacji Asteriusz byłby M++, a preferencja bizantyjska wynosiłaby 83%. W ujęciu procentowym Asteriusz jest równie silnie bizantyjski, jak B jest egipski). Adamantiusz zmarł w 300 roku, pisał więc wcześniej. Czy jego manuskrypty mogły pochodzić z pierwszej połowy III wieku? Skoro wykazuje 52% preferencji dla odczytów bizantyjskich (albo 39% przy użyciu mojej klasyfikacji), przynajmniej niektóre z jego manuskryptów były przypuszczalnie bizantyjskie. Zresztą P</w:t>
      </w:r>
      <w:r>
        <w:rPr>
          <w:vertAlign w:val="superscript"/>
        </w:rPr>
        <w:t xml:space="preserve">66</w:t>
      </w:r>
      <w:r>
        <w:t xml:space="preserve"> </w:t>
      </w:r>
      <w:r>
        <w:t xml:space="preserve">ma tak wiele odczytów bizantyjskich, że</w:t>
      </w:r>
      <w:r>
        <w:t xml:space="preserve"> </w:t>
      </w:r>
      <w:r>
        <w:rPr>
          <w:bCs/>
          <w:b/>
        </w:rPr>
        <w:t xml:space="preserve">jego</w:t>
      </w:r>
      <w:r>
        <w:t xml:space="preserve"> </w:t>
      </w:r>
      <w:r>
        <w:t xml:space="preserve">kopista musiał mieć dostęp do egzemplarza bizantyjskiego, który z konieczności należałby do</w:t>
      </w:r>
      <w:r>
        <w:t xml:space="preserve"> </w:t>
      </w:r>
      <w:r>
        <w:rPr>
          <w:bCs/>
          <w:b/>
        </w:rPr>
        <w:t xml:space="preserve">II</w:t>
      </w:r>
      <w:r>
        <w:t xml:space="preserve"> </w:t>
      </w:r>
      <w:r>
        <w:t xml:space="preserve">wieku! Okoliczność, że niektóre odczyty bizantyjskie w P</w:t>
      </w:r>
      <w:r>
        <w:rPr>
          <w:vertAlign w:val="superscript"/>
        </w:rPr>
        <w:t xml:space="preserve">66</w:t>
      </w:r>
      <w:r>
        <w:rPr>
          <w:iCs/>
          <w:i/>
          <w:vertAlign w:val="superscript"/>
        </w:rPr>
        <w:t xml:space="preserve">^ poprawiono na odczyty egipskie, a niektóre odczyty egipskie w P^66</w:t>
      </w:r>
      <w:r>
        <w:t xml:space="preserve"> </w:t>
      </w:r>
      <w:r>
        <w:t xml:space="preserve">poprawiono na odczyty bizantyjskie, zdaje się naprawdę wymagać, byśmy założyli egzemplarze obu typów — obie ręce wspólnie dostarczają jasnego dowodu, że tekst bizantyjski jako taki istniał w ich czasach.</w:t>
      </w:r>
      <w:r>
        <w:rPr>
          <w:rStyle w:val="FootnoteReference"/>
        </w:rPr>
        <w:footnoteReference w:id="571"/>
      </w:r>
    </w:p>
    <w:p>
      <w:pPr>
        <w:pStyle w:val="BodyText"/>
      </w:pPr>
      <w:r>
        <w:t xml:space="preserve">Wracając do powyższej tabeli uncjałów, w IV wieku E prowadzi we wszystkich czterech obszarach, chociaż w Alefie E jest słabe, a M zyskuje. Jeśli W pochodzi z IV wieku,</w:t>
      </w:r>
      <w:r>
        <w:rPr>
          <w:rStyle w:val="FootnoteReference"/>
        </w:rPr>
        <w:footnoteReference w:id="572"/>
      </w:r>
      <w:r>
        <w:t xml:space="preserve"> </w:t>
      </w:r>
      <w:r>
        <w:t xml:space="preserve">M zyskało jeszcze więcej. Przypominam czytelnikowi, że odnoszę się wyłącznie do informacji w tabeli podanej powyżej. W rzeczywistości zakładam, że IV wiek, podobnie jak wszystkie pozostałe, był zdominowany przez manuskrypty bizantyjskie. Ponieważ były dobrymi kopiami, używano ich i zużywano, przez co ginęły. Kopie takie jak B i Alef przetrwały, ponieważ były „odmienne”, a zatem nie były używane. Przez „używane” rozumiem zwykłe cele — dobrze wiem, że Alef ćwiczył pomysłowość pewnej liczby korektorów na przestrzeni wieków, lecz nie pozostawił potomków. W V wieku M przejmuje prowadzenie w</w:t>
      </w:r>
      <w:r>
        <w:t xml:space="preserve"> </w:t>
      </w:r>
      <w:r>
        <w:rPr>
          <w:bCs/>
          <w:b/>
        </w:rPr>
        <w:t xml:space="preserve">e</w:t>
      </w:r>
      <w:r>
        <w:t xml:space="preserve">, podczas gdy E zachowuje</w:t>
      </w:r>
      <w:r>
        <w:t xml:space="preserve"> </w:t>
      </w:r>
      <w:r>
        <w:rPr>
          <w:bCs/>
          <w:b/>
        </w:rPr>
        <w:t xml:space="preserve">apc</w:t>
      </w:r>
      <w:r>
        <w:t xml:space="preserve"> </w:t>
      </w:r>
      <w:r>
        <w:t xml:space="preserve">(dla niektórych zaskoczeniem może być, że C</w:t>
      </w:r>
      <w:r>
        <w:rPr>
          <w:vertAlign w:val="superscript"/>
        </w:rPr>
        <w:t xml:space="preserve">e</w:t>
      </w:r>
      <w:r>
        <w:t xml:space="preserve"> </w:t>
      </w:r>
      <w:r>
        <w:t xml:space="preserve">jest bardziej M niż czymkolwiek innym). W VI wieku M umacnia swoją pozycję w</w:t>
      </w:r>
      <w:r>
        <w:t xml:space="preserve"> </w:t>
      </w:r>
      <w:r>
        <w:rPr>
          <w:bCs/>
          <w:b/>
        </w:rPr>
        <w:t xml:space="preserve">e</w:t>
      </w:r>
      <w:r>
        <w:t xml:space="preserve"> </w:t>
      </w:r>
      <w:r>
        <w:t xml:space="preserve">i wkracza do</w:t>
      </w:r>
      <w:r>
        <w:t xml:space="preserve"> </w:t>
      </w:r>
      <w:r>
        <w:rPr>
          <w:bCs/>
          <w:b/>
        </w:rPr>
        <w:t xml:space="preserve">a</w:t>
      </w:r>
      <w:r>
        <w:t xml:space="preserve"> </w:t>
      </w:r>
      <w:r>
        <w:t xml:space="preserve">(dla niektórych zaskoczeniem może być, że D</w:t>
      </w:r>
      <w:r>
        <w:rPr>
          <w:vertAlign w:val="superscript"/>
        </w:rPr>
        <w:t xml:space="preserve">p</w:t>
      </w:r>
      <w:r>
        <w:t xml:space="preserve"> </w:t>
      </w:r>
      <w:r>
        <w:t xml:space="preserve">jest bardziej M niż czymkolwiek innym). Po V wieku, z jedynym wyjątkiem fragmentarycznego Z, wszyscy świadkowie „egipscy” są słabi — nawet „królowa rękopisów kursywnych”, 33, nie osiąga E+. Spośród uncjałów z X wieku, dla których Aland przedstawia podsumowanie, wszystkie są wyraźnie bizantyjskie (028, 033, 036, 056, 075 i 0124), z wyjątkiem 0243, który osiąga E.</w:t>
      </w:r>
      <w:r>
        <w:rPr>
          <w:rStyle w:val="FootnoteReference"/>
        </w:rPr>
        <w:footnoteReference w:id="573"/>
      </w:r>
    </w:p>
    <w:bookmarkEnd w:id="574"/>
    <w:bookmarkStart w:id="576" w:name="rękopisy-kursywne"/>
    <w:p>
      <w:pPr>
        <w:pStyle w:val="Heading3"/>
      </w:pPr>
      <w:r>
        <w:t xml:space="preserve">Rękopisy kursywne</w:t>
      </w:r>
    </w:p>
    <w:p>
      <w:pPr>
        <w:pStyle w:val="FirstParagraph"/>
      </w:pPr>
      <w:r>
        <w:t xml:space="preserve">Gdy przechodzimy do rękopisów kursywnych, Aland przedstawia podsumowania dla 150 wybranych na podstawie ich „niezależności” od normy bizantyjskiej. Wymienia 900 manuskryptów tylko według numerów, ponieważ „minuskuły te wykazują czysto albo przeważnie bizantyjski tekst”, a zatem uważa, że „wszystkie są nieistotne dla krytyki tekstu” (</w:t>
      </w:r>
      <w:r>
        <w:rPr>
          <w:iCs/>
          <w:i/>
        </w:rPr>
        <w:t xml:space="preserve">The Text</w:t>
      </w:r>
      <w:r>
        <w:t xml:space="preserve">, s. 155). Wykonanie dla 150 „niezależnych” rękopisów kursywnych tego, co zrobiłem dla uncjałów, zajęłoby zbyt wiele miejsca, dlatego podsumuję statystyki Alanda w formie tabeli, używając mojej klasyfikacji:</w:t>
      </w:r>
    </w:p>
    <w:tbl>
      <w:tblPr>
        <w:tblStyle w:val="Table"/>
        <w:tblW w:type="pct" w:w="5000"/>
        <w:tblLook w:firstRow="1" w:lastRow="0" w:firstColumn="0" w:lastColumn="0" w:noHBand="0" w:noVBand="0" w:val="0020"/>
        <w:jc w:val="start"/>
      </w:tblPr>
      <w:tblGrid>
        <w:gridCol w:w="465"/>
        <w:gridCol w:w="621"/>
        <w:gridCol w:w="621"/>
        <w:gridCol w:w="621"/>
        <w:gridCol w:w="621"/>
        <w:gridCol w:w="621"/>
        <w:gridCol w:w="621"/>
        <w:gridCol w:w="621"/>
        <w:gridCol w:w="621"/>
        <w:gridCol w:w="621"/>
        <w:gridCol w:w="621"/>
        <w:gridCol w:w="621"/>
        <w:gridCol w:w="621"/>
      </w:tblGrid>
      <w:tr>
        <w:trPr>
          <w:tblHeader w:val="true"/>
        </w:trPr>
        <w:tc>
          <w:tcPr/>
          <w:p>
            <w:pPr>
              <w:pStyle w:val="Compact"/>
              <w:jc w:val="left"/>
            </w:pPr>
            <w:r>
              <w:t xml:space="preserve">Zaw.</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M/E</w:t>
            </w:r>
          </w:p>
        </w:tc>
        <w:tc>
          <w:tcPr/>
          <w:p>
            <w:pPr>
              <w:pStyle w:val="Compact"/>
              <w:jc w:val="right"/>
            </w:pPr>
            <w:r>
              <w:t xml:space="preserve">E-</w:t>
            </w:r>
          </w:p>
        </w:tc>
        <w:tc>
          <w:tcPr/>
          <w:p>
            <w:pPr>
              <w:pStyle w:val="Compact"/>
              <w:jc w:val="right"/>
            </w:pPr>
            <w:r>
              <w:t xml:space="preserve">E</w:t>
            </w:r>
          </w:p>
        </w:tc>
        <w:tc>
          <w:tcPr/>
          <w:p>
            <w:pPr>
              <w:pStyle w:val="Compact"/>
              <w:jc w:val="right"/>
            </w:pPr>
            <w:r>
              <w:t xml:space="preserve">E+</w:t>
            </w:r>
          </w:p>
        </w:tc>
        <w:tc>
          <w:tcPr/>
          <w:p>
            <w:pPr>
              <w:pStyle w:val="Compact"/>
              <w:jc w:val="right"/>
            </w:pPr>
            <w:r>
              <w:t xml:space="preserve">E++</w:t>
            </w:r>
          </w:p>
        </w:tc>
      </w:tr>
      <w:tr>
        <w:tc>
          <w:tcPr/>
          <w:p>
            <w:pPr>
              <w:pStyle w:val="Compact"/>
              <w:jc w:val="left"/>
            </w:pPr>
            <w:r>
              <w:t xml:space="preserve">e</w:t>
            </w:r>
          </w:p>
        </w:tc>
        <w:tc>
          <w:tcPr/>
          <w:p>
            <w:pPr>
              <w:pStyle w:val="Compact"/>
            </w:pPr>
          </w:p>
        </w:tc>
        <w:tc>
          <w:tcPr/>
          <w:p>
            <w:pPr>
              <w:pStyle w:val="Compact"/>
              <w:jc w:val="right"/>
            </w:pPr>
            <w:r>
              <w:t xml:space="preserve">10</w:t>
            </w:r>
          </w:p>
        </w:tc>
        <w:tc>
          <w:tcPr/>
          <w:p>
            <w:pPr>
              <w:pStyle w:val="Compact"/>
              <w:jc w:val="right"/>
            </w:pPr>
            <w:r>
              <w:t xml:space="preserve">23</w:t>
            </w:r>
          </w:p>
        </w:tc>
        <w:tc>
          <w:tcPr/>
          <w:p>
            <w:pPr>
              <w:pStyle w:val="Compact"/>
              <w:jc w:val="right"/>
            </w:pPr>
            <w:r>
              <w:t xml:space="preserve">12</w:t>
            </w:r>
          </w:p>
        </w:tc>
        <w:tc>
          <w:tcPr/>
          <w:p>
            <w:pPr>
              <w:pStyle w:val="Compact"/>
              <w:jc w:val="right"/>
            </w:pPr>
            <w:r>
              <w:t xml:space="preserve">6</w:t>
            </w:r>
          </w:p>
        </w:tc>
        <w:tc>
          <w:tcPr/>
          <w:p>
            <w:pPr>
              <w:pStyle w:val="Compact"/>
              <w:jc w:val="right"/>
            </w:pPr>
            <w:r>
              <w:t xml:space="preserve">16</w:t>
            </w: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r>
      <w:tr>
        <w:tc>
          <w:tcPr/>
          <w:p>
            <w:pPr>
              <w:pStyle w:val="Compact"/>
              <w:jc w:val="left"/>
            </w:pPr>
            <w:r>
              <w:t xml:space="preserve">a</w:t>
            </w:r>
          </w:p>
        </w:tc>
        <w:tc>
          <w:tcPr/>
          <w:p>
            <w:pPr>
              <w:pStyle w:val="Compact"/>
            </w:pPr>
          </w:p>
        </w:tc>
        <w:tc>
          <w:tcPr/>
          <w:p>
            <w:pPr>
              <w:pStyle w:val="Compact"/>
              <w:jc w:val="right"/>
            </w:pPr>
            <w:r>
              <w:t xml:space="preserve">12</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w:t>
            </w:r>
          </w:p>
        </w:tc>
        <w:tc>
          <w:tcPr/>
          <w:p>
            <w:pPr>
              <w:pStyle w:val="Compact"/>
              <w:jc w:val="right"/>
            </w:pPr>
            <w:r>
              <w:t xml:space="preserve">4</w:t>
            </w:r>
          </w:p>
        </w:tc>
        <w:tc>
          <w:tcPr/>
          <w:p>
            <w:pPr>
              <w:pStyle w:val="Compact"/>
              <w:jc w:val="right"/>
            </w:pPr>
            <w:r>
              <w:t xml:space="preserve">2</w:t>
            </w:r>
          </w:p>
        </w:tc>
        <w:tc>
          <w:tcPr/>
          <w:p>
            <w:pPr>
              <w:pStyle w:val="Compact"/>
            </w:pPr>
          </w:p>
        </w:tc>
        <w:tc>
          <w:tcPr/>
          <w:p>
            <w:pPr>
              <w:pStyle w:val="Compact"/>
              <w:jc w:val="right"/>
            </w:pPr>
            <w:r>
              <w:t xml:space="preserve">1</w:t>
            </w:r>
          </w:p>
        </w:tc>
      </w:tr>
      <w:tr>
        <w:tc>
          <w:tcPr/>
          <w:p>
            <w:pPr>
              <w:pStyle w:val="Compact"/>
              <w:jc w:val="left"/>
            </w:pPr>
            <w:r>
              <w:t xml:space="preserve">p</w:t>
            </w:r>
          </w:p>
        </w:tc>
        <w:tc>
          <w:tcPr/>
          <w:p>
            <w:pPr>
              <w:pStyle w:val="Compact"/>
              <w:jc w:val="right"/>
            </w:pPr>
            <w:r>
              <w:t xml:space="preserve">1</w:t>
            </w:r>
          </w:p>
        </w:tc>
        <w:tc>
          <w:tcPr/>
          <w:p>
            <w:pPr>
              <w:pStyle w:val="Compact"/>
              <w:jc w:val="right"/>
            </w:pPr>
            <w:r>
              <w:t xml:space="preserve">25</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28</w:t>
            </w:r>
          </w:p>
        </w:tc>
        <w:tc>
          <w:tcPr/>
          <w:p>
            <w:pPr>
              <w:pStyle w:val="Compact"/>
              <w:jc w:val="right"/>
            </w:pPr>
            <w:r>
              <w:t xml:space="preserve">19</w:t>
            </w:r>
          </w:p>
        </w:tc>
        <w:tc>
          <w:tcPr/>
          <w:p>
            <w:pPr>
              <w:pStyle w:val="Compact"/>
              <w:jc w:val="right"/>
            </w:pPr>
            <w:r>
              <w:t xml:space="preserve">4</w:t>
            </w:r>
          </w:p>
        </w:tc>
        <w:tc>
          <w:tcPr/>
          <w:p>
            <w:pPr>
              <w:pStyle w:val="Compact"/>
            </w:pP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pPr>
          </w:p>
        </w:tc>
      </w:tr>
      <w:tr>
        <w:tc>
          <w:tcPr/>
          <w:p>
            <w:pPr>
              <w:pStyle w:val="Compact"/>
              <w:jc w:val="left"/>
            </w:pPr>
            <w:r>
              <w:t xml:space="preserve">c</w:t>
            </w:r>
          </w:p>
        </w:tc>
        <w:tc>
          <w:tcPr/>
          <w:p>
            <w:pPr>
              <w:pStyle w:val="Compact"/>
              <w:jc w:val="right"/>
            </w:pPr>
            <w:r>
              <w:t xml:space="preserve">1</w:t>
            </w:r>
          </w:p>
        </w:tc>
        <w:tc>
          <w:tcPr/>
          <w:p>
            <w:pPr>
              <w:pStyle w:val="Compact"/>
              <w:jc w:val="right"/>
            </w:pPr>
            <w:r>
              <w:t xml:space="preserve">9</w:t>
            </w:r>
          </w:p>
        </w:tc>
        <w:tc>
          <w:tcPr/>
          <w:p>
            <w:pPr>
              <w:pStyle w:val="Compact"/>
              <w:jc w:val="right"/>
            </w:pPr>
            <w:r>
              <w:t xml:space="preserve">18</w:t>
            </w:r>
          </w:p>
        </w:tc>
        <w:tc>
          <w:tcPr/>
          <w:p>
            <w:pPr>
              <w:pStyle w:val="Compact"/>
              <w:jc w:val="right"/>
            </w:pPr>
            <w:r>
              <w:t xml:space="preserve">6</w:t>
            </w:r>
          </w:p>
        </w:tc>
        <w:tc>
          <w:tcPr/>
          <w:p>
            <w:pPr>
              <w:pStyle w:val="Compact"/>
              <w:jc w:val="right"/>
            </w:pPr>
            <w:r>
              <w:t xml:space="preserve">30</w:t>
            </w:r>
          </w:p>
        </w:tc>
        <w:tc>
          <w:tcPr/>
          <w:p>
            <w:pPr>
              <w:pStyle w:val="Compact"/>
              <w:jc w:val="right"/>
            </w:pPr>
            <w:r>
              <w:t xml:space="preserve">21</w:t>
            </w:r>
          </w:p>
        </w:tc>
        <w:tc>
          <w:tcPr/>
          <w:p>
            <w:pPr>
              <w:pStyle w:val="Compact"/>
              <w:jc w:val="right"/>
            </w:pPr>
            <w:r>
              <w:t xml:space="preserve">10</w:t>
            </w:r>
          </w:p>
        </w:tc>
        <w:tc>
          <w:tcPr/>
          <w:p>
            <w:pPr>
              <w:pStyle w:val="Compact"/>
              <w:jc w:val="right"/>
            </w:pPr>
            <w:r>
              <w:t xml:space="preserve">1</w:t>
            </w:r>
          </w:p>
        </w:tc>
        <w:tc>
          <w:tcPr/>
          <w:p>
            <w:pPr>
              <w:pStyle w:val="Compact"/>
              <w:jc w:val="right"/>
            </w:pPr>
            <w:r>
              <w:t xml:space="preserve">5</w:t>
            </w:r>
          </w:p>
        </w:tc>
        <w:tc>
          <w:tcPr/>
          <w:p>
            <w:pPr>
              <w:pStyle w:val="Compact"/>
              <w:jc w:val="right"/>
            </w:pPr>
            <w:r>
              <w:t xml:space="preserve">10</w:t>
            </w:r>
          </w:p>
        </w:tc>
        <w:tc>
          <w:tcPr/>
          <w:p>
            <w:pPr>
              <w:pStyle w:val="Compact"/>
              <w:jc w:val="right"/>
            </w:pPr>
            <w:r>
              <w:t xml:space="preserve">1</w:t>
            </w:r>
          </w:p>
        </w:tc>
        <w:tc>
          <w:tcPr/>
          <w:p>
            <w:pPr>
              <w:pStyle w:val="Compact"/>
            </w:pPr>
          </w:p>
        </w:tc>
      </w:tr>
      <w:tr>
        <w:tc>
          <w:tcPr/>
          <w:p>
            <w:pPr>
              <w:pStyle w:val="Compact"/>
              <w:jc w:val="left"/>
            </w:pPr>
            <w:r>
              <w:t xml:space="preserve">łącznie</w:t>
            </w:r>
          </w:p>
        </w:tc>
        <w:tc>
          <w:tcPr/>
          <w:p>
            <w:pPr>
              <w:pStyle w:val="Compact"/>
              <w:jc w:val="right"/>
            </w:pPr>
            <w:r>
              <w:t xml:space="preserve">2</w:t>
            </w:r>
          </w:p>
        </w:tc>
        <w:tc>
          <w:tcPr/>
          <w:p>
            <w:pPr>
              <w:pStyle w:val="Compact"/>
              <w:jc w:val="right"/>
            </w:pPr>
            <w:r>
              <w:t xml:space="preserve">56</w:t>
            </w:r>
          </w:p>
        </w:tc>
        <w:tc>
          <w:tcPr/>
          <w:p>
            <w:pPr>
              <w:pStyle w:val="Compact"/>
              <w:jc w:val="right"/>
            </w:pPr>
            <w:r>
              <w:t xml:space="preserve">73</w:t>
            </w:r>
          </w:p>
        </w:tc>
        <w:tc>
          <w:tcPr/>
          <w:p>
            <w:pPr>
              <w:pStyle w:val="Compact"/>
              <w:jc w:val="right"/>
            </w:pPr>
            <w:r>
              <w:t xml:space="preserve">58</w:t>
            </w:r>
          </w:p>
        </w:tc>
        <w:tc>
          <w:tcPr/>
          <w:p>
            <w:pPr>
              <w:pStyle w:val="Compact"/>
              <w:jc w:val="right"/>
            </w:pPr>
            <w:r>
              <w:t xml:space="preserve">85</w:t>
            </w:r>
          </w:p>
        </w:tc>
        <w:tc>
          <w:tcPr/>
          <w:p>
            <w:pPr>
              <w:pStyle w:val="Compact"/>
              <w:jc w:val="right"/>
            </w:pPr>
            <w:r>
              <w:t xml:space="preserve">70</w:t>
            </w:r>
          </w:p>
        </w:tc>
        <w:tc>
          <w:tcPr/>
          <w:p>
            <w:pPr>
              <w:pStyle w:val="Compact"/>
              <w:jc w:val="right"/>
            </w:pPr>
            <w:r>
              <w:t xml:space="preserve">27</w:t>
            </w:r>
          </w:p>
        </w:tc>
        <w:tc>
          <w:tcPr/>
          <w:p>
            <w:pPr>
              <w:pStyle w:val="Compact"/>
              <w:jc w:val="right"/>
            </w:pPr>
            <w:r>
              <w:t xml:space="preserve">2</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2</w:t>
            </w:r>
          </w:p>
        </w:tc>
        <w:tc>
          <w:tcPr/>
          <w:p>
            <w:pPr>
              <w:pStyle w:val="Compact"/>
              <w:jc w:val="right"/>
            </w:pPr>
            <w:r>
              <w:t xml:space="preserve">1</w:t>
            </w:r>
          </w:p>
        </w:tc>
      </w:tr>
    </w:tbl>
    <w:p>
      <w:pPr>
        <w:pStyle w:val="BodyText"/>
      </w:pPr>
      <w:r>
        <w:t xml:space="preserve">Nawet wśród tych „niezależnych” rękopisów kursywnych istnieją dwie części zawartości, które w rzeczywistości osiągają stuprocentowy wynik bizantyjski! (Wyobraź sobie tylko, ile więcej musi ich być wśród 900 tak bizantyjskich, że Aland je zignorował). Najlepszym przedstawicielem egipskim jest 81 w Dziejach Apostolskich, osiągający równe 80%. 1739 osiąga 70% (E+) w</w:t>
      </w:r>
      <w:r>
        <w:t xml:space="preserve"> </w:t>
      </w:r>
      <w:r>
        <w:rPr>
          <w:bCs/>
          <w:b/>
        </w:rPr>
        <w:t xml:space="preserve">c</w:t>
      </w:r>
      <w:r>
        <w:t xml:space="preserve"> </w:t>
      </w:r>
      <w:r>
        <w:t xml:space="preserve">i 68% (E+) w</w:t>
      </w:r>
      <w:r>
        <w:t xml:space="preserve"> </w:t>
      </w:r>
      <w:r>
        <w:rPr>
          <w:bCs/>
          <w:b/>
        </w:rPr>
        <w:t xml:space="preserve">p</w:t>
      </w:r>
      <w:r>
        <w:t xml:space="preserve">. Są to jedyne trzy części, które nazwałbym „wyraźnie egipskimi”. Istnieje szesnaście części osiągających wynik między 50 a 66% (E). Zestawiając M do M+++++ z E do E++, otrzymujemy 344 do 19, i to wśród „niezależnych” minuskułów. Jeśli dodamy 900 „przeważnie bizantyjskich” manuskryptów, z których każdy będzie miał średnio ponad dwie części zawartości, rzeczywisty stosunek znacznie przekracza 100 do jednego. Zakładam, że niemal wszystkie spośród tych 900 osiągną co najmniej M++, a większość bez wątpienia osiągnie M+++ albo więcej. Gdybyśmy obliczyli tylko części osiągające co najmniej 80%, stosunek bizantyjskich do egipskich wynosiłby raczej</w:t>
      </w:r>
      <w:r>
        <w:t xml:space="preserve"> </w:t>
      </w:r>
      <w:r>
        <w:rPr>
          <w:bCs/>
          <w:b/>
        </w:rPr>
        <w:t xml:space="preserve">1000</w:t>
      </w:r>
      <w:r>
        <w:t xml:space="preserve"> </w:t>
      </w:r>
      <w:r>
        <w:t xml:space="preserve">do jednego — manuskrypty, które zostały sklasyfikowane na podstawie „kolacjonowania testowego” Alanda, jak podano w jego książce, stanowią być może 40% ogółu (z wyłączeniem lekcjonarzy), możemy jednak rozsądnie założyć, że większość „niezależnych” została już rozpoznana i przedstawiona. Wynika z tego, że pozostałe manuskrypty, co najmniej 1500, mogą tylko zwiększyć bizantyjską stronę stosunku. Jeśli tekst bizantyjski jest „najgorszy”, to na przestrzeni stuleci kopiowania manuskryptów Kościół masowo się mylił!</w:t>
      </w:r>
    </w:p>
    <w:p>
      <w:pPr>
        <w:pStyle w:val="BodyText"/>
      </w:pPr>
      <w:r>
        <w:t xml:space="preserve">Manuskrypty omówione w książce Alanda (wydanie pierwsze) odzwierciedlają kolacjonowanie przeprowadzone w jego Instytucie do 1981 roku. Od tamtego czasu bez wątpienia skolacjonowano znacznie więcej, lecz ogólne proporcje prawdopodobnie nie zmienią się znacząco. Rozważmy badanie przeprowadzone przez Frederika Wissego. Skolacjonował i porównał</w:t>
      </w:r>
      <w:r>
        <w:t xml:space="preserve"> </w:t>
      </w:r>
      <w:r>
        <w:rPr>
          <w:bCs/>
          <w:b/>
        </w:rPr>
        <w:t xml:space="preserve">1386</w:t>
      </w:r>
      <w:r>
        <w:t xml:space="preserve"> </w:t>
      </w:r>
      <w:r>
        <w:t xml:space="preserve">manuskryptów w rozdziałach 1, 10 i 20 Ewangelii Łukasza i znalazł tylko cztery uncjały (spośród 34) i cztery rękopisy kursywne (spośród 1352), które wykazywały egipski typ tekstu, a ponadto kolejne dwa z każdego rodzaju, które były egipskie w jednym z trzech rozdziałów.</w:t>
      </w:r>
      <w:r>
        <w:rPr>
          <w:rStyle w:val="FootnoteReference"/>
        </w:rPr>
        <w:footnoteReference w:id="575"/>
      </w:r>
    </w:p>
    <w:bookmarkEnd w:id="576"/>
    <w:bookmarkStart w:id="581" w:name="uwagi-końcowe-1"/>
    <w:p>
      <w:pPr>
        <w:pStyle w:val="Heading3"/>
      </w:pPr>
      <w:r>
        <w:t xml:space="preserve">Uwagi końcowe</w:t>
      </w:r>
    </w:p>
    <w:p>
      <w:pPr>
        <w:pStyle w:val="FirstParagraph"/>
      </w:pPr>
      <w:r>
        <w:t xml:space="preserve">Omówienie przekazu tekstu Nowego Testamentu w książce Alanda jest przeniknięte założeniem, że tekst bizantyjski był wtórnym rozwinięciem, które stopniowo skaziło czysty tekst egipski („aleksandryjski”).</w:t>
      </w:r>
      <w:r>
        <w:rPr>
          <w:rStyle w:val="FootnoteReference"/>
        </w:rPr>
        <w:footnoteReference w:id="577"/>
      </w:r>
      <w:r>
        <w:t xml:space="preserve"> </w:t>
      </w:r>
      <w:r>
        <w:t xml:space="preserve">Główni „aleksandryjscy” świadkowie, B, A (z wyjątkiem</w:t>
      </w:r>
      <w:r>
        <w:t xml:space="preserve"> </w:t>
      </w:r>
      <w:r>
        <w:rPr>
          <w:bCs/>
          <w:b/>
        </w:rPr>
        <w:t xml:space="preserve">e</w:t>
      </w:r>
      <w:r>
        <w:t xml:space="preserve">) i ℵ (</w:t>
      </w:r>
      <w:r>
        <w:rPr>
          <w:iCs/>
          <w:i/>
        </w:rPr>
        <w:t xml:space="preserve">The Text</w:t>
      </w:r>
      <w:r>
        <w:t xml:space="preserve">, s. 107), nieustannie i znacząco nie zgadzają się jednak między sobą, do tego stopnia, że nie istnieje obiektywny sposób odtworzenia archetypu. 150 lat wcześniej obraz jest taki sam, P</w:t>
      </w:r>
      <w:r>
        <w:rPr>
          <w:vertAlign w:val="superscript"/>
        </w:rPr>
        <w:t xml:space="preserve">45</w:t>
      </w:r>
      <w:r>
        <w:t xml:space="preserve">, P</w:t>
      </w:r>
      <w:r>
        <w:rPr>
          <w:vertAlign w:val="superscript"/>
        </w:rPr>
        <w:t xml:space="preserve">66</w:t>
      </w:r>
      <w:r>
        <w:t xml:space="preserve"> </w:t>
      </w:r>
      <w:r>
        <w:t xml:space="preserve">i P</w:t>
      </w:r>
      <w:r>
        <w:rPr>
          <w:vertAlign w:val="superscript"/>
        </w:rPr>
        <w:t xml:space="preserve">75</w:t>
      </w:r>
      <w:r>
        <w:t xml:space="preserve"> </w:t>
      </w:r>
      <w:r>
        <w:t xml:space="preserve">są całkiem odmienne i nie odzwierciedlają jednej tradycji. W roku 200 po Chrystusie „nie było króla w (Egipcie), każdy czynił to, co było słuszne w jego oczach”, a przynajmniej tak się wydaje. Co jednak, gdybyśmy rozważyli hipotezę, że tradycja bizantyjska jest najstarsza, a manuskrypty „zachodnie” i „aleksandryjskie” reprezentują rozmaite zaburzenia na obrzeżach głównego nurtu przekazu? Czy nie nadawałoby to zachowanym dowodom więcej sensu? Nie byłoby wówczas żadnych archetypów „zachodnich” ani „egipskich”, tylko rozmaite źródła skażenia, które działały tak przypadkowo, że każdy zachowany manuskrypt „zachodni” albo „egipski” ma inną „mozaikę”. Dla kontrastu rzeczywiście istniałby archetyp „bizantyjski”, który odzwierciedlałby oryginał. Przeciętny tekst zachowanych manuskryptów poprawia się z wieku na wiek, przy czym XIV jest najlepszy, ponieważ najgorszych manuskryptów nie kopiowano ani nie zużywano wskutek używania, podczas gdy dobre były używane i kopiowane, a po zużyciu wyrzucane.</w:t>
      </w:r>
    </w:p>
    <w:p>
      <w:pPr>
        <w:pStyle w:val="BodyText"/>
      </w:pPr>
      <w:r>
        <w:t xml:space="preserve">Ci, którzy katalogują manuskrypty Nowego Testamentu, informują nas, że pod względem zachowanych manuskryptów prowadzą wieki XII i XIII, po których następują w tej kolejności XIV, XI, XV, XVI i X. Manuskryptów z XIII wieku jest ponad cztery razy więcej niż z X, lecz greka koine była oczywiście w większym stopniu żywym językiem w X wieku niż w XIII, istniałoby więc większe zapotrzebowanie, a tym samym większa podaż. Innymi słowy, wiele setek naprawdę czystych manuskryptów z X wieku zginęło. Przetrwał wyższy odsetek naprawdę dobrych manuskryptów sporządzonych w XIV wieku niż tych sporządzonych w XI, i tak dalej. Dlatego istnieje wzrastający poziom zgodności wśród manuskryptów bizantyjskich, przy czym w XIV wieku odsetek zgodności jest wyższy niż w X. Gdybyśmy jednak żyli w X wieku i przeprowadzili szerokie badanie manuskryptów, znaleźlibyśmy niemal taki sam poziom zgodności (być może 98%). To samo zachodzi, gdybyśmy żyli w VIII, VI, IV albo II wieku. Innymi słowy, ZACHOWANE MANUSKRYPTY Z PIERWSZYCH DZIESIĘCIU STULECI NIE SĄ REPREZENTATYWNE DLA RZECZYWISTEGO STANU RZECZY W TAMTYM CZASIE.</w:t>
      </w:r>
      <w:r>
        <w:rPr>
          <w:rStyle w:val="FootnoteReference"/>
        </w:rPr>
        <w:footnoteReference w:id="578"/>
      </w:r>
    </w:p>
    <w:p>
      <w:pPr>
        <w:pStyle w:val="BodyText"/>
      </w:pPr>
      <w:r>
        <w:t xml:space="preserve">Aland zdaje się przyznawać, że przez stulecia historii Kościoła tekst bizantyjski uznawano za „tekst Kościoła”, a początek tego stanu rzeczy wywodzi od Lucjana.</w:t>
      </w:r>
      <w:r>
        <w:rPr>
          <w:rStyle w:val="FootnoteReference"/>
        </w:rPr>
        <w:footnoteReference w:id="579"/>
      </w:r>
      <w:r>
        <w:t xml:space="preserve"> </w:t>
      </w:r>
      <w:r>
        <w:t xml:space="preserve">Wielokrotnie wspomina o „szkole z Antiochii/w Antiochii” i o Azji Mniejszej. Wszystko to jest bardzo interesujące, ponieważ w swojej książce zgadza się z Adolfem Harnackiem, że „około roku 180 największe skupienie kościołów znajdowało się w Azji Mniejszej i wzdłuż egejskiego wybrzeża Grecji”.</w:t>
      </w:r>
      <w:r>
        <w:rPr>
          <w:rStyle w:val="FootnoteReference"/>
        </w:rPr>
        <w:footnoteReference w:id="580"/>
      </w:r>
      <w:r>
        <w:t xml:space="preserve"> </w:t>
      </w:r>
      <w:r>
        <w:t xml:space="preserve">Jest to obszar, na którym greka była językiem ojczystym i gdzie nadal jej używano. Jest to również obszar, który na początku posiadał większość Autografów. Aland kontynuuje jednak: „Nawet około roku 325 po Chrystusie sytuacja nadal była w znacznej mierze niezmieniona. Azja Mniejsza nadal była sercem Kościoła”. „Sercem Kościoła” — kto zatem byłby w lepszym położeniu, by rozpoznać poprawny tekst Nowego Testamentu? Kto mógłby „sprzedać” sfabrykowany tekst w Azji Mniejszej na początku IV wieku? Twierdzę, że tekst bizantyjski dominował w historii przekazu, ponieważ kościoły w Azji Mniejszej za niego ręczyły. Czyniły tak od samego początku, ponieważ wiedziały, że jest prawdziwym tekstem, otrzymawszy go od Apostołów. Tekst Większościowy jest tym, czym jest, właśnie dlatego, że zawsze był</w:t>
      </w:r>
      <w:r>
        <w:t xml:space="preserve"> </w:t>
      </w:r>
      <w:r>
        <w:rPr>
          <w:bCs/>
          <w:b/>
        </w:rPr>
        <w:t xml:space="preserve">Tekstem Kościoła</w:t>
      </w:r>
      <w:r>
        <w:t xml:space="preserve">.</w:t>
      </w:r>
    </w:p>
    <w:bookmarkEnd w:id="581"/>
    <w:bookmarkEnd w:id="582"/>
    <w:bookmarkEnd w:id="5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4">
    <w:p>
      <w:pPr>
        <w:pStyle w:val="FootnoteText"/>
      </w:pPr>
      <w:r>
        <w:rPr>
          <w:rStyle w:val="FootnoteReference"/>
        </w:rPr>
        <w:footnoteRef/>
      </w:r>
      <w:r>
        <w:t xml:space="preserve"> </w:t>
      </w:r>
      <w:r>
        <w:t xml:space="preserve">Do tej pory opublikowałem osiem, plus Tekst Grecki.</w:t>
      </w:r>
    </w:p>
  </w:footnote>
  <w:footnote w:id="65">
    <w:p>
      <w:pPr>
        <w:pStyle w:val="FootnoteText"/>
      </w:pPr>
      <w:r>
        <w:rPr>
          <w:rStyle w:val="FootnoteReference"/>
        </w:rPr>
        <w:footnoteRef/>
      </w:r>
      <w:r>
        <w:t xml:space="preserve"> </w:t>
      </w:r>
      <w:r>
        <w:t xml:space="preserve">Odniosłem się już do 1 Kronik 16,15.</w:t>
      </w:r>
    </w:p>
  </w:footnote>
  <w:footnote w:id="6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7">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69">
    <w:p>
      <w:pPr>
        <w:pStyle w:val="FootnoteText"/>
      </w:pPr>
      <w:r>
        <w:rPr>
          <w:rStyle w:val="FootnoteReference"/>
        </w:rPr>
        <w:footnoteRef/>
      </w:r>
      <w:r>
        <w:t xml:space="preserve"> </w:t>
      </w:r>
      <w:r>
        <w:t xml:space="preserve">Dostęp do Pisma jest niezbędny do duchowego wzrostu i pracy.</w:t>
      </w:r>
    </w:p>
  </w:footnote>
  <w:footnote w:id="7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4">
    <w:p>
      <w:pPr>
        <w:pStyle w:val="FootnoteText"/>
      </w:pPr>
      <w:r>
        <w:rPr>
          <w:rStyle w:val="FootnoteReference"/>
        </w:rPr>
        <w:footnoteRef/>
      </w:r>
      <w:r>
        <w:t xml:space="preserve"> </w:t>
      </w:r>
      <w:r>
        <w:t xml:space="preserve">Bardzo niewiele rozdziałów zostało napisanych w języku aramejskim.</w:t>
      </w:r>
    </w:p>
  </w:footnote>
  <w:footnote w:id="75">
    <w:p>
      <w:pPr>
        <w:pStyle w:val="FootnoteText"/>
      </w:pPr>
      <w:r>
        <w:rPr>
          <w:rStyle w:val="FootnoteReference"/>
        </w:rPr>
        <w:footnoteRef/>
      </w:r>
      <w:r>
        <w:t xml:space="preserve"> </w:t>
      </w:r>
      <w:r>
        <w:t xml:space="preserve">Więc nie mamy tu do czynienia z nauką w sensie obiektywnym.</w:t>
      </w:r>
    </w:p>
  </w:footnote>
  <w:footnote w:id="7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7">
    <w:p>
      <w:pPr>
        <w:pStyle w:val="FootnoteText"/>
      </w:pPr>
      <w:r>
        <w:rPr>
          <w:rStyle w:val="FootnoteReference"/>
        </w:rPr>
        <w:footnoteRef/>
      </w:r>
      <w:r>
        <w:t xml:space="preserve"> </w:t>
      </w:r>
      <w:r>
        <w:t xml:space="preserve">Mowa o informacjach historycznych w Biblii, w porównaniu do proroctw. [przyp. tłum.]</w:t>
      </w:r>
    </w:p>
  </w:footnote>
  <w:footnote w:id="7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8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0">
    <w:p>
      <w:pPr>
        <w:pStyle w:val="FootnoteText"/>
      </w:pPr>
      <w:r>
        <w:rPr>
          <w:rStyle w:val="FootnoteReference"/>
        </w:rPr>
        <w:footnoteRef/>
      </w:r>
      <w:r>
        <w:t xml:space="preserve"> </w:t>
      </w:r>
      <w:r>
        <w:t xml:space="preserve">NKJV - Biblia, przekład New King James Version. [przyp. tłum.]</w:t>
      </w:r>
    </w:p>
  </w:footnote>
  <w:footnote w:id="9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9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5">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6">
    <w:p>
      <w:pPr>
        <w:pStyle w:val="FootnoteText"/>
      </w:pPr>
      <w:r>
        <w:rPr>
          <w:rStyle w:val="FootnoteReference"/>
        </w:rPr>
        <w:footnoteRef/>
      </w:r>
      <w:r>
        <w:t xml:space="preserve"> </w:t>
      </w:r>
      <w:r>
        <w:t xml:space="preserve">Francis Glimm, ponownie.</w:t>
      </w:r>
    </w:p>
  </w:footnote>
  <w:footnote w:id="107">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0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2">
    <w:p>
      <w:pPr>
        <w:pStyle w:val="FootnoteText"/>
      </w:pPr>
      <w:r>
        <w:rPr>
          <w:rStyle w:val="FootnoteReference"/>
        </w:rPr>
        <w:footnoteRef/>
      </w:r>
      <w:r>
        <w:t xml:space="preserve"> </w:t>
      </w:r>
      <w:r>
        <w:t xml:space="preserve">Roberts i Donaldson, ponownie.</w:t>
      </w:r>
    </w:p>
  </w:footnote>
  <w:footnote w:id="11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str. 23, 53), stanowiąc wymowne świadectwo skali ruchu między wczesnymi kościołami.</w:t>
      </w:r>
    </w:p>
  </w:footnote>
  <w:footnote w:id="114">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5">
    <w:p>
      <w:pPr>
        <w:pStyle w:val="FootnoteText"/>
      </w:pPr>
      <w:r>
        <w:rPr>
          <w:rStyle w:val="FootnoteReference"/>
        </w:rPr>
        <w:footnoteRef/>
      </w:r>
      <w:r>
        <w:t xml:space="preserve"> </w:t>
      </w:r>
      <w:r>
        <w:t xml:space="preserve">Skorzystałem z tłumaczenia autorstwa C.C. Richardsona z książki Early Christian Fathers.</w:t>
      </w:r>
    </w:p>
  </w:footnote>
  <w:footnote w:id="11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19">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0">
    <w:p>
      <w:pPr>
        <w:pStyle w:val="FootnoteText"/>
      </w:pPr>
      <w:r>
        <w:rPr>
          <w:rStyle w:val="FootnoteReference"/>
        </w:rPr>
        <w:footnoteRef/>
      </w:r>
      <w:r>
        <w:t xml:space="preserve"> </w:t>
      </w:r>
      <w:r>
        <w:rPr>
          <w:iCs/>
          <w:i/>
        </w:rPr>
        <w:t xml:space="preserve">Ibid.</w:t>
      </w:r>
      <w:r>
        <w:t xml:space="preserve">, strona 53.</w:t>
      </w:r>
    </w:p>
  </w:footnote>
  <w:footnote w:id="12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2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0">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1">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2">
    <w:p>
      <w:pPr>
        <w:pStyle w:val="FootnoteText"/>
      </w:pPr>
      <w:r>
        <w:rPr>
          <w:rStyle w:val="FootnoteReference"/>
        </w:rPr>
        <w:footnoteRef/>
      </w:r>
      <w:r>
        <w:t xml:space="preserve"> </w:t>
      </w:r>
      <w:r>
        <w:t xml:space="preserve">Określenia</w:t>
      </w:r>
      <w:r>
        <w:t xml:space="preserve"> </w:t>
      </w:r>
      <w:r>
        <w:rPr>
          <w:iCs/>
          <w:i/>
        </w:rPr>
        <w:t xml:space="preserve">odczyt</w:t>
      </w:r>
      <w:r>
        <w:t xml:space="preserve"> </w:t>
      </w:r>
      <w:r>
        <w:t xml:space="preserve">oraz</w:t>
      </w:r>
      <w:r>
        <w:t xml:space="preserve"> </w:t>
      </w:r>
      <w:r>
        <w:rPr>
          <w:iCs/>
          <w:i/>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Cs/>
          <w:i/>
        </w:rPr>
        <w:t xml:space="preserve">O naukowej polszczyźnie humanistycznej</w:t>
      </w:r>
      <w:r>
        <w:t xml:space="preserve">, Katowice 2025, s. 29.</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Cs/>
          <w:b/>
        </w:rPr>
        <w:t xml:space="preserve">nie można było ufać</w:t>
      </w:r>
      <w:r>
        <w:t xml:space="preserve">.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 The Early Versions of the New Testament (Oksford: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41">
    <w:p>
      <w:pPr>
        <w:pStyle w:val="FootnoteText"/>
      </w:pPr>
      <w:r>
        <w:rPr>
          <w:rStyle w:val="FootnoteReference"/>
        </w:rPr>
        <w:footnoteRef/>
      </w:r>
      <w:r>
        <w:t xml:space="preserve"> </w:t>
      </w:r>
      <w:r>
        <w:t xml:space="preserve">K. i B. Aland, Tekst Nowego Testamentu (Grand Rapids: Eerdmans, 1981), s. 52–53.</w:t>
      </w:r>
    </w:p>
  </w:footnote>
  <w:footnote w:id="142">
    <w:p>
      <w:pPr>
        <w:pStyle w:val="FootnoteText"/>
      </w:pPr>
      <w:r>
        <w:rPr>
          <w:rStyle w:val="FootnoteReference"/>
        </w:rPr>
        <w:footnoteRef/>
      </w:r>
      <w:r>
        <w:t xml:space="preserve"> </w:t>
      </w:r>
      <w:r>
        <w:rPr>
          <w:iCs/>
          <w:i/>
        </w:rPr>
        <w:t xml:space="preserve">Ibid.</w:t>
      </w:r>
      <w:r>
        <w:t xml:space="preserve">, strona 53.</w:t>
      </w:r>
    </w:p>
  </w:footnote>
  <w:footnote w:id="143">
    <w:p>
      <w:pPr>
        <w:pStyle w:val="FootnoteText"/>
      </w:pPr>
      <w:r>
        <w:rPr>
          <w:rStyle w:val="FootnoteReference"/>
        </w:rPr>
        <w:footnoteRef/>
      </w:r>
      <w:r>
        <w:t xml:space="preserve"> </w:t>
      </w:r>
      <w:r>
        <w:t xml:space="preserve">C.H. Roberts,</w:t>
      </w:r>
      <w:r>
        <w:t xml:space="preserve"> </w:t>
      </w:r>
      <w:r>
        <w:rPr>
          <w:iCs/>
          <w:i/>
        </w:rPr>
        <w:t xml:space="preserve">Manuscript, Society and Belief in Early Christian Egypt</w:t>
      </w:r>
      <w:r>
        <w:t xml:space="preserve"> </w:t>
      </w:r>
      <w:r>
        <w:t xml:space="preserve">(Londyn: Oxford University Press, 1979), s. 42–43, 54–58.</w:t>
      </w:r>
    </w:p>
  </w:footnote>
  <w:footnote w:id="144">
    <w:p>
      <w:pPr>
        <w:pStyle w:val="FootnoteText"/>
      </w:pPr>
      <w:r>
        <w:rPr>
          <w:rStyle w:val="FootnoteReference"/>
        </w:rPr>
        <w:footnoteRef/>
      </w:r>
      <w:r>
        <w:t xml:space="preserve"> </w:t>
      </w:r>
      <w:r>
        <w:t xml:space="preserve">K. i B. Aland, s. 59.</w:t>
      </w:r>
    </w:p>
  </w:footnote>
  <w:footnote w:id="145">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8NS:138.</w:t>
      </w:r>
    </w:p>
  </w:footnote>
  <w:footnote w:id="146">
    <w:p>
      <w:pPr>
        <w:pStyle w:val="FootnoteText"/>
      </w:pPr>
      <w:r>
        <w:rPr>
          <w:rStyle w:val="FootnoteReference"/>
        </w:rPr>
        <w:footnoteRef/>
      </w:r>
      <w:r>
        <w:t xml:space="preserve"> </w:t>
      </w:r>
      <w:r>
        <w:t xml:space="preserve">Metzger,</w:t>
      </w:r>
      <w:r>
        <w:t xml:space="preserve"> </w:t>
      </w:r>
      <w:r>
        <w:rPr>
          <w:iCs/>
          <w:i/>
        </w:rPr>
        <w:t xml:space="preserve">Early Versions</w:t>
      </w:r>
      <w:r>
        <w:t xml:space="preserve">, s. 101.</w:t>
      </w:r>
    </w:p>
  </w:footnote>
  <w:footnote w:id="147">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48">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50">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51">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Cs/>
          <w:i/>
        </w:rPr>
        <w:t xml:space="preserve">The Identity of the New Testament Text IV</w:t>
      </w:r>
      <w:r>
        <w:t xml:space="preserve">, dostępnej na Amazon.com jak również na mojej stronie internetowej www.prunch.org.</w:t>
      </w:r>
    </w:p>
  </w:footnote>
  <w:footnote w:id="152">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53">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54">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Cs/>
          <w:b/>
        </w:rPr>
        <w:t xml:space="preserve">natchnionego Tekstu</w:t>
      </w:r>
      <w:r>
        <w:t xml:space="preserve">, czemu Westcott i Hort zaprzeczali. Odnoszę się do wierzących kopiujących tekst, który</w:t>
      </w:r>
      <w:r>
        <w:t xml:space="preserve"> </w:t>
      </w:r>
      <w:r>
        <w:rPr>
          <w:bCs/>
          <w:b/>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Cs/>
          <w:i/>
        </w:rPr>
        <w:t xml:space="preserve">The Identity of the New Testament Text</w:t>
      </w:r>
      <w:r>
        <w:t xml:space="preserve">: A Review Article”,</w:t>
      </w:r>
      <w:r>
        <w:t xml:space="preserve"> </w:t>
      </w:r>
      <w:r>
        <w:rPr>
          <w:iCs/>
          <w:i/>
        </w:rPr>
        <w:t xml:space="preserve">The Westminster Theological Journal</w:t>
      </w:r>
      <w:r>
        <w:t xml:space="preserve">, XLI [wiosna 1979], str. 404-408) oraz błędnie przedstawiając mój pogląd na temat normalnego przebiegu przekazywania (</w:t>
      </w:r>
      <w:r>
        <w:rPr>
          <w:iCs/>
          <w:i/>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55">
    <w:p>
      <w:pPr>
        <w:pStyle w:val="FootnoteText"/>
      </w:pPr>
      <w:r>
        <w:rPr>
          <w:rStyle w:val="FootnoteReference"/>
        </w:rPr>
        <w:footnoteRef/>
      </w:r>
      <w:r>
        <w:t xml:space="preserve"> </w:t>
      </w:r>
      <w:r>
        <w:t xml:space="preserve">3 J.W. Burgon,</w:t>
      </w:r>
      <w:r>
        <w:t xml:space="preserve"> </w:t>
      </w:r>
      <w:r>
        <w:rPr>
          <w:iCs/>
          <w:i/>
        </w:rPr>
        <w:t xml:space="preserve">The Revision Revised</w:t>
      </w:r>
      <w:r>
        <w:t xml:space="preserve"> </w:t>
      </w:r>
      <w:r>
        <w:t xml:space="preserve">(Londyn: John Murray, 1883), s. 323–324.</w:t>
      </w:r>
    </w:p>
  </w:footnote>
  <w:footnote w:id="156">
    <w:p>
      <w:pPr>
        <w:pStyle w:val="FootnoteText"/>
      </w:pPr>
      <w:r>
        <w:rPr>
          <w:rStyle w:val="FootnoteReference"/>
        </w:rPr>
        <w:footnoteRef/>
      </w:r>
      <w:r>
        <w:t xml:space="preserve"> </w:t>
      </w:r>
      <w:r>
        <w:t xml:space="preserve">E.C. Colwell, „The Origin of Text-types of New Testament Manuscripts”,</w:t>
      </w:r>
      <w:r>
        <w:t xml:space="preserve"> </w:t>
      </w:r>
      <w:r>
        <w:rPr>
          <w:iCs/>
          <w:i/>
        </w:rPr>
        <w:t xml:space="preserve">Early Christian Origins</w:t>
      </w:r>
      <w:r>
        <w:t xml:space="preserve">, red. Allen Wikgren (Chicago: Quadrangle Books, 1961), s. 138.</w:t>
      </w:r>
    </w:p>
  </w:footnote>
  <w:footnote w:id="157">
    <w:p>
      <w:pPr>
        <w:pStyle w:val="FootnoteText"/>
      </w:pPr>
      <w:r>
        <w:rPr>
          <w:rStyle w:val="FootnoteReference"/>
        </w:rPr>
        <w:footnoteRef/>
      </w:r>
      <w:r>
        <w:t xml:space="preserve"> </w:t>
      </w:r>
      <w:r>
        <w:t xml:space="preserve">F.H.A. Scrivener,</w:t>
      </w:r>
      <w:r>
        <w:t xml:space="preserve"> </w:t>
      </w:r>
      <w:r>
        <w:rPr>
          <w:iCs/>
          <w:i/>
        </w:rPr>
        <w:t xml:space="preserve">A Plain Introduction to the Criticism of the New Testament</w:t>
      </w:r>
      <w:r>
        <w:t xml:space="preserve">, wydanie czwarte pod redakcją E. Millera (2 tomy; Londyn: George Bell and Sons, 1894), II, 264.</w:t>
      </w:r>
    </w:p>
  </w:footnote>
  <w:footnote w:id="158">
    <w:p>
      <w:pPr>
        <w:pStyle w:val="FootnoteText"/>
      </w:pPr>
      <w:r>
        <w:rPr>
          <w:rStyle w:val="FootnoteReference"/>
        </w:rPr>
        <w:footnoteRef/>
      </w:r>
      <w:r>
        <w:t xml:space="preserve"> </w:t>
      </w:r>
      <w:r>
        <w:t xml:space="preserve">G.D. Kilpatrick, „The Transmission of the New Testament and its Reliability”,</w:t>
      </w:r>
      <w:r>
        <w:t xml:space="preserve"> </w:t>
      </w:r>
      <w:r>
        <w:rPr>
          <w:iCs/>
          <w:i/>
        </w:rPr>
        <w:t xml:space="preserve">The Bible Translator</w:t>
      </w:r>
      <w:r>
        <w:t xml:space="preserve">, IX (lipiec 1958), 128-29.</w:t>
      </w:r>
    </w:p>
  </w:footnote>
  <w:footnote w:id="159">
    <w:p>
      <w:pPr>
        <w:pStyle w:val="FootnoteText"/>
      </w:pPr>
      <w:r>
        <w:rPr>
          <w:rStyle w:val="FootnoteReference"/>
        </w:rPr>
        <w:footnoteRef/>
      </w:r>
      <w:r>
        <w:t xml:space="preserve"> </w:t>
      </w:r>
      <w:r>
        <w:t xml:space="preserve">G. Zuntz,</w:t>
      </w:r>
      <w:r>
        <w:t xml:space="preserve"> </w:t>
      </w:r>
      <w:r>
        <w:rPr>
          <w:iCs/>
          <w:i/>
        </w:rPr>
        <w:t xml:space="preserve">The Text of the Epistles</w:t>
      </w:r>
      <w:r>
        <w:t xml:space="preserve"> </w:t>
      </w:r>
      <w:r>
        <w:t xml:space="preserve">(Londyn: Oxford University Press, 1953), s. 11.</w:t>
      </w:r>
    </w:p>
  </w:footnote>
  <w:footnote w:id="160">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61">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62">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63">
    <w:p>
      <w:pPr>
        <w:pStyle w:val="FootnoteText"/>
      </w:pPr>
      <w:r>
        <w:rPr>
          <w:rStyle w:val="FootnoteReference"/>
        </w:rPr>
        <w:footnoteRef/>
      </w:r>
      <w:r>
        <w:t xml:space="preserve"> </w:t>
      </w:r>
      <w:r>
        <w:t xml:space="preserve">Zob. Burgon,</w:t>
      </w:r>
      <w:r>
        <w:t xml:space="preserve"> </w:t>
      </w:r>
      <w:r>
        <w:rPr>
          <w:iCs/>
          <w:i/>
        </w:rPr>
        <w:t xml:space="preserve">The Revision Revised</w:t>
      </w:r>
      <w:r>
        <w:t xml:space="preserve">, s. 323.</w:t>
      </w:r>
    </w:p>
  </w:footnote>
  <w:footnote w:id="168">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69">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Cs/>
          <w:i/>
        </w:rPr>
        <w:t xml:space="preserve">The Identity of the New Testament Text IV</w:t>
      </w:r>
      <w:r>
        <w:t xml:space="preserve">, dostępnej na Amazon.com oraz na mojej stronie internetowej www.prunch.org.</w:t>
      </w:r>
    </w:p>
  </w:footnote>
  <w:footnote w:id="170">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Cs/>
          <w:i/>
        </w:rPr>
        <w:t xml:space="preserve">W</w:t>
      </w:r>
      <w:r>
        <w:t xml:space="preserve">, czyli Waszyngtońskiego, przyp. tłum.] albo wirze P</w:t>
      </w:r>
      <w:r>
        <w:rPr>
          <w:vertAlign w:val="superscript"/>
        </w:rPr>
        <w:t xml:space="preserve">75</w:t>
      </w:r>
      <w:r>
        <w:t xml:space="preserve">/B [papirus 75 z kodeksu</w:t>
      </w:r>
      <w:r>
        <w:t xml:space="preserve"> </w:t>
      </w:r>
      <w:r>
        <w:rPr>
          <w:iCs/>
          <w:i/>
        </w:rPr>
        <w:t xml:space="preserve">B</w:t>
      </w:r>
      <w:r>
        <w:t xml:space="preserve">, czyli Watykańskiego, przyp. tłum.].</w:t>
      </w:r>
    </w:p>
  </w:footnote>
  <w:footnote w:id="171">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Cs/>
          <w:b/>
        </w:rPr>
        <w:t xml:space="preserve">będą</w:t>
      </w:r>
      <w:r>
        <w:t xml:space="preserve"> </w:t>
      </w:r>
      <w:r>
        <w:t xml:space="preserve">błędami).</w:t>
      </w:r>
    </w:p>
  </w:footnote>
  <w:footnote w:id="172">
    <w:p>
      <w:pPr>
        <w:pStyle w:val="FootnoteText"/>
      </w:pPr>
      <w:r>
        <w:rPr>
          <w:rStyle w:val="FootnoteReference"/>
        </w:rPr>
        <w:footnoteRef/>
      </w:r>
      <w:r>
        <w:t xml:space="preserve"> </w:t>
      </w:r>
      <w:r>
        <w:t xml:space="preserve">Nie jestem przygotowany do obrony podanych konkretnych liczb – są to</w:t>
      </w:r>
      <w:r>
        <w:t xml:space="preserve"> </w:t>
      </w:r>
      <w:r>
        <w:rPr>
          <w:bCs/>
          <w:b/>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Cs/>
          <w:i/>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73">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Cs/>
          <w:i/>
        </w:rPr>
        <w:t xml:space="preserve">Identity IV</w:t>
      </w:r>
      <w:r>
        <w:t xml:space="preserve">, w sekcji zatytułowanej „Czy świadków nie należy raczej ważyć, a nie liczyć?”.</w:t>
      </w:r>
    </w:p>
  </w:footnote>
  <w:footnote w:id="174">
    <w:p>
      <w:pPr>
        <w:pStyle w:val="FootnoteText"/>
      </w:pPr>
      <w:r>
        <w:rPr>
          <w:rStyle w:val="FootnoteReference"/>
        </w:rPr>
        <w:footnoteRef/>
      </w:r>
      <w:r>
        <w:t xml:space="preserve"> </w:t>
      </w:r>
      <w:r>
        <w:t xml:space="preserve">Sturz,</w:t>
      </w:r>
      <w:r>
        <w:t xml:space="preserve"> </w:t>
      </w:r>
      <w:r>
        <w:rPr>
          <w:iCs/>
          <w:i/>
        </w:rPr>
        <w:t xml:space="preserve">Op. Cit.</w:t>
      </w:r>
      <w:r>
        <w:t xml:space="preserve"> </w:t>
      </w:r>
      <w:r>
        <w:t xml:space="preserve">[łac.</w:t>
      </w:r>
      <w:r>
        <w:t xml:space="preserve"> </w:t>
      </w:r>
      <w:r>
        <w:rPr>
          <w:iCs/>
          <w:i/>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75">
    <w:p>
      <w:pPr>
        <w:pStyle w:val="FootnoteText"/>
      </w:pPr>
      <w:r>
        <w:rPr>
          <w:rStyle w:val="FootnoteReference"/>
        </w:rPr>
        <w:footnoteRef/>
      </w:r>
      <w:r>
        <w:t xml:space="preserve"> </w:t>
      </w:r>
      <w:r>
        <w:t xml:space="preserve">Odczyty wraz z popierającymi je manuskryptami są jak następuje [w formie:</w:t>
      </w:r>
      <w:r>
        <w:t xml:space="preserve"> </w:t>
      </w:r>
      <w:r>
        <w:rPr>
          <w:iCs/>
          <w:i/>
        </w:rPr>
        <w:t xml:space="preserve">grecka fraza</w:t>
      </w:r>
      <w:r>
        <w:t xml:space="preserve"> </w:t>
      </w:r>
      <w:r>
        <w:t xml:space="preserve">- identyfikatory manuskryptów, przyp. tłum.]:</w:t>
      </w:r>
    </w:p>
    <w:p>
      <w:pPr>
        <w:pStyle w:val="FootnoteText"/>
      </w:pPr>
      <w:r>
        <w:rPr>
          <w:iCs/>
          <w:i/>
        </w:rPr>
        <w:t xml:space="preserve">ο</w:t>
      </w:r>
      <w:r>
        <w:t xml:space="preserve"> </w:t>
      </w:r>
      <w:r>
        <w:t xml:space="preserve">– D</w:t>
      </w:r>
    </w:p>
    <w:p>
      <w:pPr>
        <w:pStyle w:val="FootnoteText"/>
      </w:pPr>
      <w:r>
        <w:rPr>
          <w:iCs/>
          <w:i/>
        </w:rPr>
        <w:t xml:space="preserve">ω</w:t>
      </w:r>
      <w:r>
        <w:t xml:space="preserve"> </w:t>
      </w:r>
      <w:r>
        <w:t xml:space="preserve">– 061</w:t>
      </w:r>
    </w:p>
    <w:p>
      <w:pPr>
        <w:pStyle w:val="FootnoteText"/>
      </w:pPr>
      <w:r>
        <w:rPr>
          <w:iCs/>
          <w:i/>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Cs/>
          <w:i/>
        </w:rPr>
        <w:t xml:space="preserve">ος</w:t>
      </w:r>
      <w:r>
        <w:t xml:space="preserve"> </w:t>
      </w:r>
      <w:r>
        <w:t xml:space="preserve">– ℵ, 33, 365, 442, 1175, 2127 (plus trzy Lekcjonarze)</w:t>
      </w:r>
    </w:p>
    <w:p>
      <w:pPr>
        <w:pStyle w:val="FootnoteText"/>
      </w:pPr>
      <w:r>
        <w:rPr>
          <w:iCs/>
          <w:i/>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Cs/>
          <w:i/>
        </w:rPr>
        <w:t xml:space="preserve">ο Θεος</w:t>
      </w:r>
      <w:r>
        <w:t xml:space="preserve"> </w:t>
      </w:r>
      <w:r>
        <w:t xml:space="preserve">oraz jeden lekcjonarz mający odczyt</w:t>
      </w:r>
      <w:r>
        <w:t xml:space="preserve"> </w:t>
      </w:r>
      <w:r>
        <w:rPr>
          <w:iCs/>
          <w:i/>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Cs/>
          <w:i/>
        </w:rPr>
        <w:t xml:space="preserve">Θ</w:t>
      </w:r>
      <w:r>
        <w:t xml:space="preserve">, które dwadzieścia lat później (tj. w 1785 roku) przestały być dla niego widoczne” (</w:t>
      </w:r>
      <w:r>
        <w:rPr>
          <w:iCs/>
          <w:i/>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Cs/>
          <w:i/>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Cs/>
          <w:i/>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Cs/>
          <w:b/>
        </w:rPr>
        <w:t xml:space="preserve">Kreska skrótu</w:t>
      </w:r>
      <w:r>
        <w:t xml:space="preserve"> </w:t>
      </w:r>
      <w:r>
        <w:t xml:space="preserve">[ang.</w:t>
      </w:r>
      <w:r>
        <w:t xml:space="preserve"> </w:t>
      </w:r>
      <w:r>
        <w:rPr>
          <w:iCs/>
          <w:i/>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Cs/>
          <w:i/>
        </w:rPr>
        <w:t xml:space="preserve">Ibid.</w:t>
      </w:r>
      <w:r>
        <w:t xml:space="preserve">, s. 437-438.</w:t>
      </w:r>
    </w:p>
    <w:p>
      <w:pPr>
        <w:pStyle w:val="FootnoteText"/>
      </w:pPr>
      <w:r>
        <w:t xml:space="preserve">W kodeksach F/G występuje odczyt</w:t>
      </w:r>
      <w:r>
        <w:t xml:space="preserve"> </w:t>
      </w:r>
      <w:r>
        <w:rPr>
          <w:iCs/>
          <w:i/>
        </w:rPr>
        <w:t xml:space="preserve">OC</w:t>
      </w:r>
      <w:r>
        <w:t xml:space="preserve">, gdzie kreska skrótu ma postać ukośnej kreski. Argumentowano, że kreska ta oznacza aspiratę [</w:t>
      </w:r>
      <w:r>
        <w:rPr>
          <w:iCs/>
          <w:i/>
        </w:rPr>
        <w:t xml:space="preserve">aspirata</w:t>
      </w:r>
      <w:r>
        <w:t xml:space="preserve"> </w:t>
      </w:r>
      <w:r>
        <w:t xml:space="preserve">- spółgłoska wymawiana z przydechem, czyli następującym po niej dźwiękiem przypominającym krótkie 'h' - https://sjp.pl/aspirata, przyp. tłum.]</w:t>
      </w:r>
      <w:r>
        <w:t xml:space="preserve"> </w:t>
      </w:r>
      <w:r>
        <w:rPr>
          <w:iCs/>
          <w:i/>
        </w:rPr>
        <w:t xml:space="preserve">ος</w:t>
      </w:r>
      <w:r>
        <w:t xml:space="preserve">, ale Burgon dowodzi, że omawiana kreska nigdy nie oznacza oddechu, lecz jest niezmiennie znakiem skrótu i potwierdza, że „</w:t>
      </w:r>
      <w:r>
        <w:rPr>
          <w:iCs/>
          <w:i/>
        </w:rPr>
        <w:t xml:space="preserve">ος</w:t>
      </w:r>
      <w:r>
        <w:t xml:space="preserve"> </w:t>
      </w:r>
      <w:r>
        <w:t xml:space="preserve">nie jest</w:t>
      </w:r>
      <w:r>
        <w:t xml:space="preserve"> </w:t>
      </w:r>
      <w:r>
        <w:rPr>
          <w:bCs/>
          <w:b/>
        </w:rPr>
        <w:t xml:space="preserve">nigdzie</w:t>
      </w:r>
      <w:r>
        <w:t xml:space="preserve"> </w:t>
      </w:r>
      <w:r>
        <w:t xml:space="preserve">indziej zapisane jako</w:t>
      </w:r>
      <w:r>
        <w:t xml:space="preserve"> </w:t>
      </w:r>
      <w:r>
        <w:rPr>
          <w:iCs/>
          <w:i/>
        </w:rPr>
        <w:t xml:space="preserve">OC</w:t>
      </w:r>
      <w:r>
        <w:t xml:space="preserve"> </w:t>
      </w:r>
      <w:r>
        <w:t xml:space="preserve">(z kreską) w żadnym z kodeksów” (</w:t>
      </w:r>
      <w:r>
        <w:rPr>
          <w:iCs/>
          <w:i/>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Cs/>
          <w:i/>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Cs/>
          <w:i/>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Cs/>
          <w:i/>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Cs/>
          <w:i/>
        </w:rPr>
        <w:t xml:space="preserve">Ιησους … ο υιος του Θεου τυπω και εν σαρκι φανερωθεις</w:t>
      </w:r>
      <w:r>
        <w:t xml:space="preserve">” (rozdz. XII) oraz u Ignacego: „</w:t>
      </w:r>
      <w:r>
        <w:rPr>
          <w:iCs/>
          <w:i/>
        </w:rPr>
        <w:t xml:space="preserve">Θεου ανθρωπινως φανερουμενου</w:t>
      </w:r>
      <w:r>
        <w:t xml:space="preserve">” (</w:t>
      </w:r>
      <w:r>
        <w:rPr>
          <w:iCs/>
          <w:i/>
        </w:rPr>
        <w:t xml:space="preserve">Ad Ephes.</w:t>
      </w:r>
      <w:r>
        <w:t xml:space="preserve"> </w:t>
      </w:r>
      <w:r>
        <w:t xml:space="preserve">rozdz. 19) oraz „</w:t>
      </w:r>
      <w:r>
        <w:rPr>
          <w:iCs/>
          <w:i/>
        </w:rPr>
        <w:t xml:space="preserve">εν σαρκι γενομενος Θεος</w:t>
      </w:r>
      <w:r>
        <w:t xml:space="preserve">” (</w:t>
      </w:r>
      <w:r>
        <w:rPr>
          <w:iCs/>
          <w:i/>
        </w:rPr>
        <w:t xml:space="preserve">Ibid.</w:t>
      </w:r>
      <w:r>
        <w:t xml:space="preserve">, rozdz. 7). W III wieku wydają się istnieć wyraźne odniesienia u Hipolita: „</w:t>
      </w:r>
      <w:r>
        <w:rPr>
          <w:iCs/>
          <w:i/>
        </w:rPr>
        <w:t xml:space="preserve">Θεος εν σωματι εφανερωθη</w:t>
      </w:r>
      <w:r>
        <w:t xml:space="preserve">” (</w:t>
      </w:r>
      <w:r>
        <w:rPr>
          <w:iCs/>
          <w:i/>
        </w:rPr>
        <w:t xml:space="preserve">Contra Haeresim Noeti</w:t>
      </w:r>
      <w:r>
        <w:t xml:space="preserve">, rozdz. XVII), u Dionizego: „</w:t>
      </w:r>
      <w:r>
        <w:rPr>
          <w:iCs/>
          <w:i/>
        </w:rPr>
        <w:t xml:space="preserve">Θεος γαρ εφανερωθη εν σαρκι</w:t>
      </w:r>
      <w:r>
        <w:t xml:space="preserve">” (</w:t>
      </w:r>
      <w:r>
        <w:rPr>
          <w:iCs/>
          <w:i/>
        </w:rPr>
        <w:t xml:space="preserve">Concilia</w:t>
      </w:r>
      <w:r>
        <w:t xml:space="preserve">, tom I 853a) oraz u Grzegorza Cudotwórcy: „</w:t>
      </w:r>
      <w:r>
        <w:rPr>
          <w:iCs/>
          <w:i/>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Cs/>
          <w:i/>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Cs/>
          <w:i/>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Cs/>
          <w:i/>
        </w:rPr>
        <w:t xml:space="preserve">Ibid.</w:t>
      </w:r>
      <w:r>
        <w:t xml:space="preserve">, s. 483).</w:t>
      </w:r>
    </w:p>
    <w:p>
      <w:pPr>
        <w:pStyle w:val="FootnoteText"/>
      </w:pPr>
      <w:r>
        <w:t xml:space="preserve">Wydaje się zatem, że odczyty „zachodnie” i „bizantyjskie” mają wcześniejsze zaświadczenie niż „aleksandryjskie”. Jeśli jednak "która" powstała z "kto", wówczas to drugie musi być starsze. Odczyt "kto" jest co prawda najtrudniejszy, do tego stopnia, że stosowanie zasady "trudniejszego odczytu" w obliczu łatwego wyjaśnienia transkrypcyjnego (przypadkowego pominięcia dwóch pociągnięć pióra) dla trudnego odczytu wydaje się nierozsądne. Jak trafnie ujął to Burgon:</w:t>
      </w:r>
    </w:p>
    <w:p>
      <w:pPr>
        <w:pStyle w:val="BlockText"/>
      </w:pPr>
      <w:r>
        <w:t xml:space="preserve">Wierzę, że przynajmniej co do tego się zgadzamy, iż maksyma „</w:t>
      </w:r>
      <w:r>
        <w:rPr>
          <w:iCs/>
          <w:i/>
        </w:rPr>
        <w:t xml:space="preserve">proclivi lectioni praestat ardua</w:t>
      </w:r>
      <w:r>
        <w:t xml:space="preserve">” nie głosi tak nierozsądnej tezy, jakoby przy wyborze między dwoma lub więcej sprzecznymi odczytami należało preferować</w:t>
      </w:r>
      <w:r>
        <w:t xml:space="preserve"> </w:t>
      </w:r>
      <w:r>
        <w:rPr>
          <w:bCs/>
          <w:b/>
        </w:rPr>
        <w:t xml:space="preserve">ten</w:t>
      </w:r>
      <w:r>
        <w:t xml:space="preserve">, który ma najsłabsze zewnętrzne potwierdzenie – pod warunkiem, że sam w sobie jest niemal niezrozumiały? (</w:t>
      </w:r>
      <w:r>
        <w:rPr>
          <w:iCs/>
          <w:i/>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76">
    <w:p>
      <w:pPr>
        <w:pStyle w:val="FootnoteText"/>
      </w:pPr>
      <w:r>
        <w:rPr>
          <w:rStyle w:val="FootnoteReference"/>
        </w:rPr>
        <w:footnoteRef/>
      </w:r>
      <w:r>
        <w:t xml:space="preserve"> </w:t>
      </w:r>
      <w:r>
        <w:t xml:space="preserve">Dalsze omówienie znajduje się na ostatnich stronach załącznika C w mojej książce „Identity IV”.</w:t>
      </w:r>
    </w:p>
  </w:footnote>
  <w:footnote w:id="178">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w:t>
      </w:r>
      <w:r>
        <w:rPr>
          <w:iCs/>
          <w:i/>
        </w:rPr>
        <w:t xml:space="preserve">Skrócona lista rękopisów Nowego Testamentu w języku griesh</w:t>
      </w:r>
      <w:r>
        <w:t xml:space="preserve">, przyp. tłum.] (Berlin: Walter de Gruyter, 1994).</w:t>
      </w:r>
    </w:p>
  </w:footnote>
  <w:footnote w:id="179">
    <w:p>
      <w:pPr>
        <w:pStyle w:val="FootnoteText"/>
      </w:pPr>
      <w:r>
        <w:rPr>
          <w:rStyle w:val="FootnoteReference"/>
        </w:rPr>
        <w:footnoteRef/>
      </w:r>
      <w:r>
        <w:t xml:space="preserve"> </w:t>
      </w:r>
      <w:r>
        <w:t xml:space="preserve">Ten akapit, jak i następny, opierają się po prostu na</w:t>
      </w:r>
      <w:r>
        <w:t xml:space="preserve"> </w:t>
      </w:r>
      <w:r>
        <w:rPr>
          <w:iCs/>
          <w:i/>
        </w:rPr>
        <w:t xml:space="preserve">Liste</w:t>
      </w:r>
      <w:r>
        <w:t xml:space="preserve"> </w:t>
      </w:r>
      <w:r>
        <w:t xml:space="preserve">(niezależnie od tego, czy się zgadzam, czy nie).</w:t>
      </w:r>
    </w:p>
  </w:footnote>
  <w:footnote w:id="180">
    <w:p>
      <w:pPr>
        <w:pStyle w:val="FootnoteText"/>
      </w:pPr>
      <w:r>
        <w:rPr>
          <w:rStyle w:val="FootnoteReference"/>
        </w:rPr>
        <w:footnoteRef/>
      </w:r>
      <w:r>
        <w:t xml:space="preserve"> </w:t>
      </w:r>
      <w:r>
        <w:t xml:space="preserve">Moim zdaniem jedynym wkładem fragmentu jest potwierdzenie, że zawarte w nim warianty istniały, gdy został on spisany, o ile nie zostały one stworzone przez kopistę. Fragment pochodzący sprzed 100 r. n.e. potwierdza, że księga ta istniała w tamtym czasie.</w:t>
      </w:r>
    </w:p>
  </w:footnote>
  <w:footnote w:id="181">
    <w:p>
      <w:pPr>
        <w:pStyle w:val="FootnoteText"/>
      </w:pPr>
      <w:r>
        <w:rPr>
          <w:rStyle w:val="FootnoteReference"/>
        </w:rPr>
        <w:footnoteRef/>
      </w:r>
      <w:r>
        <w:t xml:space="preserve"> </w:t>
      </w:r>
      <w:r>
        <w:t xml:space="preserve">Frederik Wisse zebrał i porównał 1 386 manuskryptów z 1, 10 i 20 rozdziału Ewangelii Łukasza (trzy rozdziały), a następnie zredukował te manuskrypty do 37 grup (rodzin) (plus 89 „indywidualistów”).</w:t>
      </w:r>
      <w:r>
        <w:t xml:space="preserve"> </w:t>
      </w:r>
      <w:r>
        <w:rPr>
          <w:iCs/>
          <w:i/>
        </w:rPr>
        <w:t xml:space="preserve">The Profile Method for the Classification and Evaluation of Manuscript Evidence</w:t>
      </w:r>
      <w:r>
        <w:t xml:space="preserve"> </w:t>
      </w:r>
      <w:r>
        <w:t xml:space="preserve">(Grand Rapids: Eerdmans, 1982). Okazuje się, że 36 z 37 należy do szerokiego byzantyjskiego nurtu przekazu. Znalazł 70 podgrup w obrębie tych 36, więc uznał, że jest w stanie zdefiniować te relacje na podstawie profili. Przyznaję, że jest to krok we właściwym kierunku.</w:t>
      </w:r>
    </w:p>
  </w:footnote>
  <w:footnote w:id="182">
    <w:p>
      <w:pPr>
        <w:pStyle w:val="FootnoteText"/>
      </w:pPr>
      <w:r>
        <w:rPr>
          <w:rStyle w:val="FootnoteReference"/>
        </w:rPr>
        <w:footnoteRef/>
      </w:r>
      <w:r>
        <w:t xml:space="preserve"> </w:t>
      </w:r>
      <w:r>
        <w:t xml:space="preserve">Rozważ wnioski, do jakich doszedł Maurice Robinson w wyniku przeprowadzenia kompletnego zestawienia 1 389 manuskryptów zawierających perykopę z Ewangelii Jana 7,53–8,11:</w:t>
      </w:r>
    </w:p>
    <w:p>
      <w:pPr>
        <w:pStyle w:val="BlockText"/>
      </w:pPr>
      <w:r>
        <w:t xml:space="preserve">Jednak wbrew wcześniejszym przypuszczeniom tego autora, szeroko zakrojona analiza manuskryptów PA [Pericope Adulterae, czyli fragment z Jan 7,53–8,11 - o kobiecie pochwyconej na cudzołóstwie, będący tematem licznych debat, przyp. tłum.] jednoznacznie wykazała, że międzytekstowe porównania i korekty manuskryptów miały miejsce jedynie</w:t>
      </w:r>
      <w:r>
        <w:t xml:space="preserve"> </w:t>
      </w:r>
      <w:r>
        <w:rPr>
          <w:iCs/>
          <w:i/>
        </w:rPr>
        <w:t xml:space="preserve">rzadko</w:t>
      </w:r>
      <w:r>
        <w:t xml:space="preserve"> </w:t>
      </w:r>
      <w:r>
        <w:t xml:space="preserve">i</w:t>
      </w:r>
      <w:r>
        <w:t xml:space="preserve"> </w:t>
      </w:r>
      <w:r>
        <w:rPr>
          <w:iCs/>
          <w:i/>
        </w:rPr>
        <w:t xml:space="preserve">sporadycznie</w:t>
      </w:r>
      <w:r>
        <w:t xml:space="preserve">, a wprowadzone poprawki w niewielkim stopniu lub wcale nie były przenoszone na różnorodne przedstawione typy (kursywa autora, podobnie poniżej).</w:t>
      </w:r>
    </w:p>
    <w:p>
      <w:pPr>
        <w:pStyle w:val="BlockText"/>
      </w:pPr>
      <w:r>
        <w:t xml:space="preserve">Jeśli międzytekstowe korekty nie występowały często ani na szeroką skalę w tej części tekstu, która zawiera więcej odmian niż jakikolwiek inny fragment Nowego Testamentu, a dokonane korekty nie miały tendencji do utrwalania się, jest mało prawdopodobne, aby proces taki miał miejsce w tych częściach Nowego Testamentu, które zawierały mniej odmian tekstowych… Brak systematycznych i gruntownych korekt w PA, a także brak utrwalania się wzorców korekcyjnych wydaje się to jasno potwierdzać. Międzytekstowe porównania i korekty</w:t>
      </w:r>
      <w:r>
        <w:t xml:space="preserve"> </w:t>
      </w:r>
      <w:r>
        <w:rPr>
          <w:iCs/>
          <w:i/>
        </w:rPr>
        <w:t xml:space="preserve">powinny</w:t>
      </w:r>
      <w:r>
        <w:t xml:space="preserve"> </w:t>
      </w:r>
      <w:r>
        <w:t xml:space="preserve">być powszechne i rozległe w tej części tekstu ze względu na dużą różnorodność wzorców tekstowych i odczytów w niej występujących, zamiast tego korekty pojawiały się sporadycznie i rzadko miały charakter gruntowny.</w:t>
      </w:r>
    </w:p>
    <w:p>
      <w:pPr>
        <w:pStyle w:val="BlockText"/>
      </w:pPr>
      <w:r>
        <w:t xml:space="preserve">Skoro tak jest, fenomenu stosunkowo jednolitej bizantyjskiej formy tekstowej</w:t>
      </w:r>
      <w:r>
        <w:t xml:space="preserve"> </w:t>
      </w:r>
      <w:r>
        <w:rPr>
          <w:iCs/>
          <w:i/>
        </w:rPr>
        <w:t xml:space="preserve">nie da się</w:t>
      </w:r>
      <w:r>
        <w:t xml:space="preserve"> </w:t>
      </w:r>
      <w:r>
        <w:t xml:space="preserve">wyjaśnić metodologią „procesową”, niezależnie od tego, czy jest ona „zmodyfikowana”, czy nie…</w:t>
      </w:r>
    </w:p>
    <w:p>
      <w:pPr>
        <w:pStyle w:val="BlockText"/>
      </w:pPr>
      <w:r>
        <w:t xml:space="preserve">Na podstawie zebranych danych autor niniejszego artykułu zmuszony jest zmienić swoje wcześniejsze założenia dotyczące rozwoju oraz odtworzenia/zachowania bizantyjskiej formy tekstowej, w tym sensie: chociaż sama transmisja tekstowa jest procesem, wydaje się, iż w większości przypadków linie transmisji pozostawały odrębne, a mieszanie się tekstów występowało i utrwalało się w stosunkowo niewielkim stopniu…</w:t>
      </w:r>
    </w:p>
    <w:p>
      <w:pPr>
        <w:pStyle w:val="BlockText"/>
      </w:pPr>
      <w:r>
        <w:t xml:space="preserve">Oczywiście, wszystkie rodzaje tekstów PA są odrębne i odzwierciedlają długą linię przekazu oraz zachowania w swojej odrębnej integralności… Wydaje się zatem, że bizantyjskie manuskrypty minuskułowe zachowują linie przekazu, które są nie tylko niezależne, ale które z konieczności miały swój początek w czasie znacznie wcześniejszym niż IX wiek. Zachowane manuskrypty uncjałowe nie wyjaśniają i nie są w stanie wyjaśnić różnorodności i stabilności form tekstowych PA występujących nawet wśród najwcześniejszych manuskryptów minuskulowych z IX wieku, nie mówiąc już o różnorodności i stabilności form pojawiających się na przestrzeni wszystkich stuleci epoki minuskulowej. Brak szeroko zakrojonych międzytekstowych porównań i korekt wykazanych w zachowanych manuskryptach zawierających PA uniemożliwia łatwe wywiedzenie jakiejkolwiek istniejącej formy tekstu PA z jakiejkolwiek innej formy tego tekstu, przynajmniej w epoce pergaminu. Wczesne uncjały, które zawierają PA, wykazują znacznie różniące się linie przekazu, ale nie obejmują one wszystkich znanych linii. Również uncjały ani minuskuły nie wykazują żadnych oznak, by jakakolwiek znana linia wywodziła się z równoległej, znanej linii. Około 10 linii przekazu „typu tekstowego” pozostaje niezależnych i z konieczności musi sięgać punktu znacznie wcześniejszego niż nastąpiła ich odrębna stabilizacja – punktu, który wydaje się być zakopany (jak sugerowali Colwell i Scrivener) głęboko w II wieku. („Wstępne obserwacje dotyczące</w:t>
      </w:r>
      <w:r>
        <w:t xml:space="preserve"> </w:t>
      </w:r>
      <w:r>
        <w:rPr>
          <w:iCs/>
          <w:i/>
        </w:rPr>
        <w:t xml:space="preserve">Pericope Adulterae</w:t>
      </w:r>
      <w:r>
        <w:t xml:space="preserve"> </w:t>
      </w:r>
      <w:r>
        <w:t xml:space="preserve">oparte na nowych porównaniach niemal wszystkich manuskryptów tekstu ciągłego i ponad stu lekcjonarzy”, przedstawione przed Ewangelickim Towarzystwem Teologicznym [ang. Evangelical Theological Society] listopad 1998 r., s. 11–13.)</w:t>
      </w:r>
    </w:p>
  </w:footnote>
  <w:footnote w:id="183">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(w rzeczywistości opublikowane w 1989 r.), s. 142–143.</w:t>
      </w:r>
    </w:p>
  </w:footnote>
  <w:footnote w:id="184">
    <w:p>
      <w:pPr>
        <w:pStyle w:val="FootnoteText"/>
      </w:pPr>
      <w:r>
        <w:rPr>
          <w:rStyle w:val="FootnoteReference"/>
        </w:rPr>
        <w:footnoteRef/>
      </w:r>
      <w:r>
        <w:t xml:space="preserve"> </w:t>
      </w:r>
      <w:r>
        <w:rPr>
          <w:iCs/>
          <w:i/>
        </w:rPr>
        <w:t xml:space="preserve">The Text of the New Testament</w:t>
      </w:r>
      <w:r>
        <w:t xml:space="preserve">, s. 53.</w:t>
      </w:r>
    </w:p>
  </w:footnote>
  <w:footnote w:id="187">
    <w:p>
      <w:pPr>
        <w:pStyle w:val="FootnoteText"/>
      </w:pPr>
      <w:r>
        <w:rPr>
          <w:rStyle w:val="FootnoteReference"/>
        </w:rPr>
        <w:footnoteRef/>
      </w:r>
      <w:r>
        <w:t xml:space="preserve"> </w:t>
      </w:r>
      <w:r>
        <w:t xml:space="preserve">Niniejsza część I stanowi zasadniczo reprodukcję (z kilkoma uzupełnieniami) rozdziału 5 mojej książki</w:t>
      </w:r>
      <w:r>
        <w:t xml:space="preserve"> </w:t>
      </w:r>
      <w:r>
        <w:rPr>
          <w:iCs/>
          <w:i/>
        </w:rPr>
        <w:t xml:space="preserve">The Identity of the New Testament Text IV</w:t>
      </w:r>
      <w:r>
        <w:t xml:space="preserve">, dostępnej na stronie Amazon.com, a także na mojej stronie internetowej www.prunch.org. Moje obalenie eklektyzmu, zarówno „rozsądnego”, jak i „rygorystycznego”, zajmuje rozdział 2 tej części. Moje obalenie teorii krytycznej Wetcotta i Horta zajmuje rozdziały 3 i 4. Rozdział 6 porusza cztery „możliwe zastrzeżenia”: 1. Czy najstarsze manuskrypty nie są najlepsze? 2. Dlaczego nie ma wczesnych manuskryptów „bizantyjskich”? 3. „Ale nie ma dowodów na istnienie</w:t>
      </w:r>
      <w:r>
        <w:t xml:space="preserve"> </w:t>
      </w:r>
      <w:r>
        <w:rPr>
          <w:bCs/>
          <w:b/>
        </w:rPr>
        <w:t xml:space="preserve">Tekstu</w:t>
      </w:r>
      <w:r>
        <w:t xml:space="preserve"> </w:t>
      </w:r>
      <w:r>
        <w:t xml:space="preserve">bizantyjskiego we wczesnych wiekach” 4. Czy świadectwa nie powinny być raczej oceniane, a nie liczone? Zainteresowanego czytelnika odsyłam do tych rozważań.</w:t>
      </w:r>
    </w:p>
  </w:footnote>
  <w:footnote w:id="188">
    <w:p>
      <w:pPr>
        <w:pStyle w:val="FootnoteText"/>
      </w:pPr>
      <w:r>
        <w:rPr>
          <w:rStyle w:val="FootnoteReference"/>
        </w:rPr>
        <w:footnoteRef/>
      </w:r>
      <w:r>
        <w:t xml:space="preserve"> </w:t>
      </w:r>
      <w:r>
        <w:t xml:space="preserve">A Bóg posłużył się głównie Wschodnimi Kościołami Prawosławnymi, aby zachować Tekst Nowego Testamentu na przestrzeni wieków — kościoły te zawsze korzystały z Tekstu, który pod każdym praktycznym względem stanowił adekwatne odzwierciedlenie Oryginału. Ponadto spośród rodzin manuskryptów lekcjonarnych, pod względem liczby przedstawicieli, Rodzina 35 jest drugą co do wielkości i została wykorzystana w pierwszym wydaniu drukowanym, czyli w wydaniu da Sabbio z 1539 roku.</w:t>
      </w:r>
    </w:p>
  </w:footnote>
  <w:footnote w:id="191">
    <w:p>
      <w:pPr>
        <w:pStyle w:val="FootnoteText"/>
      </w:pPr>
      <w:r>
        <w:rPr>
          <w:rStyle w:val="FootnoteReference"/>
        </w:rPr>
        <w:footnoteRef/>
      </w:r>
      <w:r>
        <w:t xml:space="preserve"> </w:t>
      </w:r>
      <w:r>
        <w:rPr>
          <w:iCs/>
          <w:i/>
        </w:rPr>
        <w:t xml:space="preserve">Die Schriften des Neuen Testaments in ihrer ältesten erreichbaren Textgestalt</w:t>
      </w:r>
      <w:r>
        <w:t xml:space="preserve"> </w:t>
      </w:r>
      <w:r>
        <w:t xml:space="preserve">[niem.</w:t>
      </w:r>
      <w:r>
        <w:t xml:space="preserve"> </w:t>
      </w:r>
      <w:r>
        <w:rPr>
          <w:iCs/>
          <w:i/>
        </w:rPr>
        <w:t xml:space="preserve">Pisma Nowego Testamentu w najstarszej dostępnej wersji tekstowej</w:t>
      </w:r>
      <w:r>
        <w:t xml:space="preserve">, przyp. tłum.] (część 1, Berlin: Wydawnictwo Alexandra Dunckera, 1902–1910, część 2, Getynga: Vandenhoeck i Ruprecht, 1913).</w:t>
      </w:r>
    </w:p>
  </w:footnote>
  <w:footnote w:id="192">
    <w:p>
      <w:pPr>
        <w:pStyle w:val="FootnoteText"/>
      </w:pPr>
      <w:r>
        <w:rPr>
          <w:rStyle w:val="FootnoteReference"/>
        </w:rPr>
        <w:footnoteRef/>
      </w:r>
      <w:r>
        <w:t xml:space="preserve"> </w:t>
      </w:r>
      <w:r>
        <w:t xml:space="preserve">Są to: 1. Starożytność, lub pierwotność; 2. Zgodność świadków, lub liczba; 3. Różnorodność dowodów, lub powszechność; 4. Poważanie, jakim cieszą się świadkowie, lub waga; 5. Ciągłość, lub nieprzerwana tradycja; 6. Dowody całych fragmentów, lub kontekst; 7. Rozważania wewnętrzne, lub sensowność. Burgon,</w:t>
      </w:r>
      <w:r>
        <w:t xml:space="preserve"> </w:t>
      </w:r>
      <w:r>
        <w:rPr>
          <w:iCs/>
          <w:i/>
        </w:rPr>
        <w:t xml:space="preserve">The Traditional Text</w:t>
      </w:r>
      <w:r>
        <w:t xml:space="preserve">, str. 29.</w:t>
      </w:r>
    </w:p>
  </w:footnote>
  <w:footnote w:id="193">
    <w:p>
      <w:pPr>
        <w:pStyle w:val="FootnoteText"/>
      </w:pPr>
      <w:r>
        <w:rPr>
          <w:rStyle w:val="FootnoteReference"/>
        </w:rPr>
        <w:footnoteRef/>
      </w:r>
      <w:r>
        <w:t xml:space="preserve"> </w:t>
      </w:r>
      <w:r>
        <w:t xml:space="preserve">W tym miejscu odrzucam zarzut, że oryginalne sformułowania są zagubione i przepadły.</w:t>
      </w:r>
    </w:p>
  </w:footnote>
  <w:footnote w:id="194">
    <w:p>
      <w:pPr>
        <w:pStyle w:val="FootnoteText"/>
      </w:pPr>
      <w:r>
        <w:rPr>
          <w:rStyle w:val="FootnoteReference"/>
        </w:rPr>
        <w:footnoteRef/>
      </w:r>
      <w:r>
        <w:t xml:space="preserve"> </w:t>
      </w:r>
      <w:r>
        <w:t xml:space="preserve">W tym miejscu odrzucam opieranie się na kryteriach subiektywnych oraz podejście czysto racjonalistyczne.</w:t>
      </w:r>
    </w:p>
  </w:footnote>
  <w:footnote w:id="195">
    <w:p>
      <w:pPr>
        <w:pStyle w:val="FootnoteText"/>
      </w:pPr>
      <w:r>
        <w:rPr>
          <w:rStyle w:val="FootnoteReference"/>
        </w:rPr>
        <w:footnoteRef/>
      </w:r>
      <w:r>
        <w:t xml:space="preserve"> </w:t>
      </w:r>
      <w:r>
        <w:t xml:space="preserve">Jest to obecnie wyparte przez postępy z punktu 5, choć 90% poświadczenie nadal trudno podważyć.</w:t>
      </w:r>
    </w:p>
  </w:footnote>
  <w:footnote w:id="196">
    <w:p>
      <w:pPr>
        <w:pStyle w:val="FootnoteText"/>
      </w:pPr>
      <w:r>
        <w:rPr>
          <w:rStyle w:val="FootnoteReference"/>
        </w:rPr>
        <w:footnoteRef/>
      </w:r>
      <w:r>
        <w:t xml:space="preserve"> </w:t>
      </w:r>
      <w:r>
        <w:t xml:space="preserve">Jest to obecnie wyparte przez postępy z punktu 5, choć jego „notatki” pozostają zasadniczo aktualne.</w:t>
      </w:r>
    </w:p>
  </w:footnote>
  <w:footnote w:id="197">
    <w:p>
      <w:pPr>
        <w:pStyle w:val="FootnoteText"/>
      </w:pPr>
      <w:r>
        <w:rPr>
          <w:rStyle w:val="FootnoteReference"/>
        </w:rPr>
        <w:footnoteRef/>
      </w:r>
      <w:r>
        <w:t xml:space="preserve"> </w:t>
      </w:r>
      <w:r>
        <w:t xml:space="preserve">Proszę zwrócić uwagę, że nie odnoszę się tu do jakiejkolwiek próby odtworzenia genealogii manuskryptów – zgadzam się z tymi badaczami, którzy uznali takie przedsięwzięcie za praktycznie niemożliwe (brakuje po prostu zbyt wielu ogniw). W rzeczywistości odnoszę się do odtworzenia genealogii odczytów, a tym samym historii przekazywania Tekstu. To ostatnie zdanie zawsze było podkreślane. Gdy wszystkie manuskrypty zostaną zestawione i pogrupowane empirycznie, będziemy mogli zrezygnować z liczenia ich.</w:t>
      </w:r>
    </w:p>
  </w:footnote>
  <w:footnote w:id="198">
    <w:p>
      <w:pPr>
        <w:pStyle w:val="FootnoteText"/>
      </w:pPr>
      <w:r>
        <w:rPr>
          <w:rStyle w:val="FootnoteReference"/>
        </w:rPr>
        <w:footnoteRef/>
      </w:r>
      <w:r>
        <w:t xml:space="preserve"> </w:t>
      </w:r>
      <w:r>
        <w:t xml:space="preserve">Ci, którzy wykluczają ponadnaturalność ze swojego modelu, skazują się na to, że nigdy nie dotrą do Prawdy – Bóg i Szatan istnieją, i obaj byli zaangażowani w przekazywanie Tekstu Nowego Testamentu.</w:t>
      </w:r>
    </w:p>
  </w:footnote>
  <w:footnote w:id="199">
    <w:p>
      <w:pPr>
        <w:pStyle w:val="FootnoteText"/>
      </w:pPr>
      <w:r>
        <w:rPr>
          <w:rStyle w:val="FootnoteReference"/>
        </w:rPr>
        <w:footnoteRef/>
      </w:r>
      <w:r>
        <w:t xml:space="preserve"> </w:t>
      </w:r>
      <w:r>
        <w:t xml:space="preserve">W każdym dochodzeniu naukowym należy dokonać rygorystycznego rozróżnienia między dowodami, założeniami a interpretacją. Ponieważ założenia mają ogromny wpływ na interpretację dowodów, wręcz ją kontrolują (dowody powinny być takie same dla wszystkich), każdy uczciwy badacz musi otwarcie przedstawić swoje założenia. Bez wątpienia zbyt wielkim oczekiwaniem jest, by grzesznicy ujawnili swoje motywy na światło dzienne (Ewangelia Jana 3,20).</w:t>
      </w:r>
    </w:p>
  </w:footnote>
  <w:footnote w:id="200">
    <w:p>
      <w:pPr>
        <w:pStyle w:val="FootnoteText"/>
      </w:pPr>
      <w:r>
        <w:rPr>
          <w:rStyle w:val="FootnoteReference"/>
        </w:rPr>
        <w:footnoteRef/>
      </w:r>
      <w:r>
        <w:t xml:space="preserve"> </w:t>
      </w:r>
      <w:r>
        <w:t xml:space="preserve">Hort wyrządził tej dziedzinie znaczną szkodę, postulując teoretyczne typy tekstu, pozbawione dowodów, a następnie traktując je jako ustalone fakty.</w:t>
      </w:r>
    </w:p>
  </w:footnote>
  <w:footnote w:id="201">
    <w:p>
      <w:pPr>
        <w:pStyle w:val="FootnoteText"/>
      </w:pPr>
      <w:r>
        <w:rPr>
          <w:rStyle w:val="FootnoteReference"/>
        </w:rPr>
        <w:footnoteRef/>
      </w:r>
      <w:r>
        <w:t xml:space="preserve"> </w:t>
      </w:r>
      <w:r>
        <w:t xml:space="preserve">Kolacjonowanie Robinsona pokazuje, że Soden „uregulował” dane.</w:t>
      </w:r>
    </w:p>
  </w:footnote>
  <w:footnote w:id="202">
    <w:p>
      <w:pPr>
        <w:pStyle w:val="FootnoteText"/>
      </w:pPr>
      <w:r>
        <w:rPr>
          <w:rStyle w:val="FootnoteReference"/>
        </w:rPr>
        <w:footnoteRef/>
      </w:r>
      <w:r>
        <w:t xml:space="preserve"> </w:t>
      </w:r>
      <w:r>
        <w:t xml:space="preserve">Dlaczego „zacząłem podejrzewać, że coś tu jest nie tak”? Ponieważ</w:t>
      </w:r>
      <w:r>
        <w:t xml:space="preserve"> </w:t>
      </w:r>
      <w:r>
        <w:rPr>
          <w:bCs/>
          <w:b/>
        </w:rPr>
        <w:t xml:space="preserve">M</w:t>
      </w:r>
      <w:r>
        <w:rPr>
          <w:vertAlign w:val="superscript"/>
          <w:bCs/>
          <w:b/>
        </w:rPr>
        <w:t xml:space="preserve">7</w:t>
      </w:r>
      <w:r>
        <w:t xml:space="preserve"> </w:t>
      </w:r>
      <w:r>
        <w:t xml:space="preserve">jest wyraźnie starszy niż</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w</w:t>
      </w:r>
      <w:r>
        <w:t xml:space="preserve"> </w:t>
      </w:r>
      <w:r>
        <w:rPr>
          <w:iCs/>
          <w:i/>
        </w:rPr>
        <w:t xml:space="preserve">PA</w:t>
      </w:r>
      <w:r>
        <w:t xml:space="preserve">, a</w:t>
      </w:r>
      <w:r>
        <w:t xml:space="preserve"> </w:t>
      </w:r>
      <w:r>
        <w:rPr>
          <w:bCs/>
          <w:b/>
        </w:rPr>
        <w:t xml:space="preserve">M</w:t>
      </w:r>
      <w:r>
        <w:rPr>
          <w:vertAlign w:val="superscript"/>
          <w:bCs/>
          <w:b/>
        </w:rPr>
        <w:t xml:space="preserve">c</w:t>
      </w:r>
      <w:r>
        <w:t xml:space="preserve"> </w:t>
      </w:r>
      <w:r>
        <w:t xml:space="preserve">niż</w:t>
      </w:r>
      <w:r>
        <w:t xml:space="preserve"> </w:t>
      </w:r>
      <w:r>
        <w:rPr>
          <w:bCs/>
          <w:b/>
        </w:rPr>
        <w:t xml:space="preserve">M</w:t>
      </w:r>
      <w:r>
        <w:rPr>
          <w:vertAlign w:val="superscript"/>
          <w:bCs/>
          <w:b/>
        </w:rPr>
        <w:t xml:space="preserve">a-b</w:t>
      </w:r>
      <w:r>
        <w:t xml:space="preserve"> </w:t>
      </w:r>
      <w:r>
        <w:t xml:space="preserve">i</w:t>
      </w:r>
      <w:r>
        <w:t xml:space="preserve"> </w:t>
      </w:r>
      <w:r>
        <w:rPr>
          <w:bCs/>
          <w:b/>
        </w:rPr>
        <w:t xml:space="preserve">M</w:t>
      </w:r>
      <w:r>
        <w:rPr>
          <w:vertAlign w:val="superscript"/>
          <w:bCs/>
          <w:b/>
        </w:rPr>
        <w:t xml:space="preserve">d-e</w:t>
      </w:r>
      <w:r>
        <w:t xml:space="preserve"> </w:t>
      </w:r>
      <w:r>
        <w:t xml:space="preserve">w Objawieniu Jana, lecz von Soden twierdził, że</w:t>
      </w:r>
      <w:r>
        <w:t xml:space="preserve"> </w:t>
      </w:r>
      <w:r>
        <w:rPr>
          <w:bCs/>
          <w:b/>
        </w:rPr>
        <w:t xml:space="preserve">K</w:t>
      </w:r>
      <w:r>
        <w:rPr>
          <w:vertAlign w:val="superscript"/>
          <w:bCs/>
          <w:b/>
        </w:rPr>
        <w:t xml:space="preserve">r</w:t>
      </w:r>
      <w:r>
        <w:t xml:space="preserve"> </w:t>
      </w:r>
      <w:r>
        <w:t xml:space="preserve">było rewizją</w:t>
      </w:r>
      <w:r>
        <w:t xml:space="preserve"> </w:t>
      </w:r>
      <w:r>
        <w:rPr>
          <w:bCs/>
          <w:b/>
        </w:rPr>
        <w:t xml:space="preserve">K</w:t>
      </w:r>
      <w:r>
        <w:rPr>
          <w:vertAlign w:val="superscript"/>
          <w:bCs/>
          <w:b/>
        </w:rPr>
        <w:t xml:space="preserve">x</w:t>
      </w:r>
      <w:r>
        <w:t xml:space="preserve"> </w:t>
      </w:r>
      <w:r>
        <w:t xml:space="preserve">(jak mogło być rewizją, skoro było starsze?).</w:t>
      </w:r>
    </w:p>
  </w:footnote>
  <w:footnote w:id="203">
    <w:p>
      <w:pPr>
        <w:pStyle w:val="FootnoteText"/>
      </w:pPr>
      <w:r>
        <w:rPr>
          <w:rStyle w:val="FootnoteReference"/>
        </w:rPr>
        <w:footnoteRef/>
      </w:r>
      <w:r>
        <w:t xml:space="preserve"> </w:t>
      </w:r>
      <w:r>
        <w:t xml:space="preserve">Minuskuł 18 ma niższy numer i również zawiera cały Nowy Testament, lecz w Objawieniu Jana odbiega od tego typu tekstu.</w:t>
      </w:r>
    </w:p>
  </w:footnote>
  <w:footnote w:id="205">
    <w:p>
      <w:pPr>
        <w:pStyle w:val="FootnoteText"/>
      </w:pPr>
      <w:r>
        <w:rPr>
          <w:rStyle w:val="FootnoteReference"/>
        </w:rPr>
        <w:footnoteRef/>
      </w:r>
      <w:r>
        <w:t xml:space="preserve"> </w:t>
      </w:r>
      <w:r>
        <w:t xml:space="preserve">Informacje te wzięto z mojego greckiego Tekstu i aparatu krytycznego.</w:t>
      </w:r>
    </w:p>
  </w:footnote>
  <w:footnote w:id="206">
    <w:p>
      <w:pPr>
        <w:pStyle w:val="FootnoteText"/>
      </w:pPr>
      <w:r>
        <w:rPr>
          <w:rStyle w:val="FootnoteReference"/>
        </w:rPr>
        <w:footnoteRef/>
      </w:r>
      <w:r>
        <w:t xml:space="preserve"> </w:t>
      </w:r>
      <w:r>
        <w:t xml:space="preserve">To jest jedyne miejsce w całym Nowym Testamencie, gdzie Rodzina 35 się rozszczepia — występuje pięć istotnych wariantów (plus dwa drobne). Zwykle, gdy rodzina jest podzielona, występują tylko dwa warianty. Szczegółowe omówienie tego zestawu wariantów znajduje się w moim artykule „Where to place a comma—Acts 12:25”, dostępnym na mojej stronie: www.prunch.org. Znajduje się on również w „Dodatku” do</w:t>
      </w:r>
      <w:r>
        <w:t xml:space="preserve"> </w:t>
      </w:r>
      <w:r>
        <w:rPr>
          <w:iCs/>
          <w:i/>
        </w:rPr>
        <w:t xml:space="preserve">The Sovereign Creator Has Spoken</w:t>
      </w:r>
      <w:r>
        <w:t xml:space="preserve">, a także w „Dodatku II” w</w:t>
      </w:r>
      <w:r>
        <w:t xml:space="preserve"> </w:t>
      </w:r>
      <w:r>
        <w:rPr>
          <w:iCs/>
          <w:i/>
        </w:rPr>
        <w:t xml:space="preserve">The Greek New Testament According to Family 35</w:t>
      </w:r>
      <w:r>
        <w:t xml:space="preserve">.</w:t>
      </w:r>
    </w:p>
  </w:footnote>
  <w:footnote w:id="208">
    <w:p>
      <w:pPr>
        <w:pStyle w:val="FootnoteText"/>
      </w:pPr>
      <w:r>
        <w:rPr>
          <w:rStyle w:val="FootnoteReference"/>
        </w:rPr>
        <w:footnoteRef/>
      </w:r>
      <w:r>
        <w:t xml:space="preserve"> </w:t>
      </w:r>
      <w:r>
        <w:t xml:space="preserve">Pamiętasz Kartezjusza? „Myślę, więc jestem”.</w:t>
      </w:r>
    </w:p>
  </w:footnote>
  <w:footnote w:id="209">
    <w:p>
      <w:pPr>
        <w:pStyle w:val="FootnoteText"/>
      </w:pPr>
      <w:r>
        <w:rPr>
          <w:rStyle w:val="FootnoteReference"/>
        </w:rPr>
        <w:footnoteRef/>
      </w:r>
      <w:r>
        <w:t xml:space="preserve"> </w:t>
      </w:r>
      <w:r>
        <w:t xml:space="preserve">Obszernie pisałem na temat biblijnej walki duchowej. Większość tych treści można znaleźć w mojej książce</w:t>
      </w:r>
      <w:r>
        <w:t xml:space="preserve"> </w:t>
      </w:r>
      <w:r>
        <w:rPr>
          <w:iCs/>
          <w:i/>
        </w:rPr>
        <w:t xml:space="preserve">Essays on Discipleship, Missions and Spiritual Warfare</w:t>
      </w:r>
      <w:r>
        <w:t xml:space="preserve">, wydanie drugie, 2017. Jest ona również dostępna na mojej stronie internetowej www.prunch.org (lub www.prunch.com.br). Na początek powinieneś rozważyć List do Efezjan 2,2 wraz z Ewangelią Łukasza 8,12 oraz 2 Listem do Koryntian 4,3-4.</w:t>
      </w:r>
    </w:p>
  </w:footnote>
  <w:footnote w:id="210">
    <w:p>
      <w:pPr>
        <w:pStyle w:val="FootnoteText"/>
      </w:pPr>
      <w:r>
        <w:rPr>
          <w:rStyle w:val="FootnoteReference"/>
        </w:rPr>
        <w:footnoteRef/>
      </w:r>
      <w:r>
        <w:t xml:space="preserve"> </w:t>
      </w:r>
      <w:r>
        <w:t xml:space="preserve">E.M. Goulburn,</w:t>
      </w:r>
      <w:r>
        <w:t xml:space="preserve"> </w:t>
      </w:r>
      <w:r>
        <w:rPr>
          <w:iCs/>
          <w:i/>
        </w:rPr>
        <w:t xml:space="preserve">Life of Dean Burgon</w:t>
      </w:r>
      <w:r>
        <w:t xml:space="preserve"> </w:t>
      </w:r>
      <w:r>
        <w:t xml:space="preserve">(Londyn: John Murray, 1892, 2 tomy), I, vii.</w:t>
      </w:r>
    </w:p>
  </w:footnote>
  <w:footnote w:id="211">
    <w:p>
      <w:pPr>
        <w:pStyle w:val="FootnoteText"/>
      </w:pPr>
      <w:r>
        <w:rPr>
          <w:rStyle w:val="FootnoteReference"/>
        </w:rPr>
        <w:footnoteRef/>
      </w:r>
      <w:r>
        <w:t xml:space="preserve"> </w:t>
      </w:r>
      <w:r>
        <w:t xml:space="preserve">Leo Vaganay,</w:t>
      </w:r>
      <w:r>
        <w:t xml:space="preserve"> </w:t>
      </w:r>
      <w:r>
        <w:rPr>
          <w:iCs/>
          <w:i/>
        </w:rPr>
        <w:t xml:space="preserve">An Introduction to the Textual Criticism of the New Testament</w:t>
      </w:r>
      <w:r>
        <w:t xml:space="preserve">, tłum. B.V. Miller (Londyn: Sands and Co., Ltd., 1937), s. 48.</w:t>
      </w:r>
    </w:p>
  </w:footnote>
  <w:footnote w:id="212">
    <w:p>
      <w:pPr>
        <w:pStyle w:val="FootnoteText"/>
      </w:pPr>
      <w:r>
        <w:rPr>
          <w:rStyle w:val="FootnoteReference"/>
        </w:rPr>
        <w:footnoteRef/>
      </w:r>
      <w:r>
        <w:t xml:space="preserve"> </w:t>
      </w:r>
      <w:r>
        <w:t xml:space="preserve">Większość „uczonych” i profesorów to w rzeczywistości „papugi”, które jedynie powtarzają to, czego ich nauczono — nigdy nie wrócili do źródła, aby sprawdzić, czy to prawda. Ilu „uczonych” zajmujących się greckim Nowym Testamentem skolacjonowało choć jeden grecki manuskrypt? (Czy Hort skolacjonował jakiekolwiek manuskrypty?) Ślepo przyjmują to, co napisano na ten temat, być może nie zdając sobie sprawy, że większość tego, co napisano, została napisana przez „papugi”.</w:t>
      </w:r>
    </w:p>
  </w:footnote>
  <w:footnote w:id="213">
    <w:p>
      <w:pPr>
        <w:pStyle w:val="FootnoteText"/>
      </w:pPr>
      <w:r>
        <w:rPr>
          <w:rStyle w:val="FootnoteReference"/>
        </w:rPr>
        <w:footnoteRef/>
      </w:r>
      <w:r>
        <w:t xml:space="preserve"> </w:t>
      </w:r>
      <w:r>
        <w:t xml:space="preserve">Gdy byłem studentem seminarium teologicznego, uczono nas, że nigdy nie powinniśmy kwestionować motywów innej osoby. Naprawdę, jak sądzisz, skąd wzięła się ta „doktryna”?</w:t>
      </w:r>
    </w:p>
  </w:footnote>
  <w:footnote w:id="214">
    <w:p>
      <w:pPr>
        <w:pStyle w:val="FootnoteText"/>
      </w:pPr>
      <w:r>
        <w:rPr>
          <w:rStyle w:val="FootnoteReference"/>
        </w:rPr>
        <w:footnoteRef/>
      </w:r>
      <w:r>
        <w:t xml:space="preserve"> </w:t>
      </w:r>
      <w:r>
        <w:t xml:space="preserve">To prawda. Uważam się za badacza tekstu, Tekst stoi nade mną. Krytyk stoi nad tekstem. Nie mam teorii krytyki tekstu, moja teoria dotyczy zachowania tekstu.</w:t>
      </w:r>
    </w:p>
  </w:footnote>
  <w:footnote w:id="215">
    <w:p>
      <w:pPr>
        <w:pStyle w:val="FootnoteText"/>
      </w:pPr>
      <w:r>
        <w:rPr>
          <w:rStyle w:val="FootnoteReference"/>
        </w:rPr>
        <w:footnoteRef/>
      </w:r>
      <w:r>
        <w:t xml:space="preserve"> </w:t>
      </w:r>
      <w:r>
        <w:t xml:space="preserve">Ponieważ Szatan zmusza swoje sługi do mijania się z prawdą, nie oczekuję, że będą mnie traktować uczciwie.</w:t>
      </w:r>
    </w:p>
  </w:footnote>
  <w:footnote w:id="216">
    <w:p>
      <w:pPr>
        <w:pStyle w:val="FootnoteText"/>
      </w:pPr>
      <w:r>
        <w:rPr>
          <w:rStyle w:val="FootnoteReference"/>
        </w:rPr>
        <w:footnoteRef/>
      </w:r>
      <w:r>
        <w:t xml:space="preserve"> </w:t>
      </w:r>
      <w:r>
        <w:t xml:space="preserve">List do Hebrajczyków 1,10, Ewangelia Jana 1,10 oraz List do Kolosan 1,16 wyjaśniają, że spośród trzech Osób tworzących Bóstwo Jehowa Syn był głównym sprawcą stworzenia naszej planety i naszej rasy. Jest zatem Źródłem wszelkiej prawdziwej wiedzy dotyczącej życia na tej planecie, jak jasno stwierdza List do Kolosan 2,3: „w którym ukryte są wszystkie skarby mądrości i wiedzy”.</w:t>
      </w:r>
    </w:p>
  </w:footnote>
  <w:footnote w:id="218">
    <w:p>
      <w:pPr>
        <w:pStyle w:val="FootnoteText"/>
      </w:pPr>
      <w:r>
        <w:rPr>
          <w:rStyle w:val="FootnoteReference"/>
        </w:rPr>
        <w:footnoteRef/>
      </w:r>
      <w:r>
        <w:t xml:space="preserve"> </w:t>
      </w:r>
      <w:r>
        <w:t xml:space="preserve">„Preliminary Observations regarding the</w:t>
      </w:r>
      <w:r>
        <w:t xml:space="preserve"> </w:t>
      </w:r>
      <w:r>
        <w:rPr>
          <w:iCs/>
          <w:i/>
        </w:rPr>
        <w:t xml:space="preserve">Pericope Adulterae</w:t>
      </w:r>
      <w:r>
        <w:t xml:space="preserve"> </w:t>
      </w:r>
      <w:r>
        <w:t xml:space="preserve">based upon Fresh Collations of nearly all Continuous-Text Manuscripts and over One Hundred Lectionaries”, referat przedstawiony Evangelical Theological Society w listopadzie 1998 roku, s. 12-13. Otrzymałem jednak od Maurice’a Robinsona następujące wyjaśnienie: „Prosiłbym, aby w przypadku cytowania mojego nazwiska w związku z różnymi artykułami dotyczącymi</w:t>
      </w:r>
      <w:r>
        <w:t xml:space="preserve"> </w:t>
      </w:r>
      <w:r>
        <w:rPr>
          <w:bCs/>
          <w:b/>
        </w:rPr>
        <w:t xml:space="preserve">K</w:t>
      </w:r>
      <w:r>
        <w:rPr>
          <w:vertAlign w:val="superscript"/>
          <w:bCs/>
          <w:b/>
        </w:rPr>
        <w:t xml:space="preserve">r</w:t>
      </w:r>
      <w:r>
        <w:t xml:space="preserve"> </w:t>
      </w:r>
      <w:r>
        <w:t xml:space="preserve">lub</w:t>
      </w:r>
      <w:r>
        <w:t xml:space="preserve"> </w:t>
      </w:r>
      <w:r>
        <w:rPr>
          <w:bCs/>
          <w:b/>
        </w:rPr>
        <w:t xml:space="preserve">M</w:t>
      </w:r>
      <w:r>
        <w:rPr>
          <w:vertAlign w:val="superscript"/>
          <w:bCs/>
          <w:b/>
        </w:rPr>
        <w:t xml:space="preserve">7</w:t>
      </w:r>
      <w:r>
        <w:t xml:space="preserve"> </w:t>
      </w:r>
      <w:r>
        <w:t xml:space="preserve">jasno zaznaczać, że nie zgadzam się z pańską oceną</w:t>
      </w:r>
      <w:r>
        <w:t xml:space="preserve"> </w:t>
      </w:r>
      <w:r>
        <w:rPr>
          <w:bCs/>
          <w:b/>
        </w:rPr>
        <w:t xml:space="preserve">K</w:t>
      </w:r>
      <w:r>
        <w:rPr>
          <w:vertAlign w:val="superscript"/>
          <w:bCs/>
          <w:b/>
        </w:rPr>
        <w:t xml:space="preserve">r</w:t>
      </w:r>
      <w:r>
        <w:t xml:space="preserve"> </w:t>
      </w:r>
      <w:r>
        <w:t xml:space="preserve">ani</w:t>
      </w:r>
      <w:r>
        <w:t xml:space="preserve"> </w:t>
      </w:r>
      <w:r>
        <w:rPr>
          <w:bCs/>
          <w:b/>
        </w:rPr>
        <w:t xml:space="preserve">M</w:t>
      </w:r>
      <w:r>
        <w:rPr>
          <w:vertAlign w:val="superscript"/>
          <w:bCs/>
          <w:b/>
        </w:rPr>
        <w:t xml:space="preserve">7</w:t>
      </w:r>
      <w:r>
        <w:t xml:space="preserve">. Dotyczy to w szczególności artykułu «Preliminary Considerations regarding the</w:t>
      </w:r>
      <w:r>
        <w:t xml:space="preserve"> </w:t>
      </w:r>
      <w:r>
        <w:rPr>
          <w:iCs/>
          <w:i/>
        </w:rPr>
        <w:t xml:space="preserve">Pericope Adulterae</w:t>
      </w:r>
      <w:r>
        <w:t xml:space="preserve">», nie należy się nim posługiwać, aby sugerować, że uważam linię</w:t>
      </w:r>
      <w:r>
        <w:t xml:space="preserve"> </w:t>
      </w:r>
      <w:r>
        <w:rPr>
          <w:bCs/>
          <w:b/>
        </w:rPr>
        <w:t xml:space="preserve">M</w:t>
      </w:r>
      <w:r>
        <w:rPr>
          <w:vertAlign w:val="superscript"/>
          <w:bCs/>
          <w:b/>
        </w:rPr>
        <w:t xml:space="preserve">7</w:t>
      </w:r>
      <w:r>
        <w:t xml:space="preserve"> </w:t>
      </w:r>
      <w:r>
        <w:t xml:space="preserve">lub tekst</w:t>
      </w:r>
      <w:r>
        <w:t xml:space="preserve"> </w:t>
      </w:r>
      <w:r>
        <w:rPr>
          <w:bCs/>
          <w:b/>
        </w:rPr>
        <w:t xml:space="preserve">K</w:t>
      </w:r>
      <w:r>
        <w:rPr>
          <w:vertAlign w:val="superscript"/>
          <w:bCs/>
          <w:b/>
        </w:rPr>
        <w:t xml:space="preserve">r</w:t>
      </w:r>
      <w:r>
        <w:t xml:space="preserve"> </w:t>
      </w:r>
      <w:r>
        <w:t xml:space="preserve">za wczesne. Byłoby to całkowicie błędne, ponieważ wraz z niemal wszystkimi innymi uważam, że</w:t>
      </w:r>
      <w:r>
        <w:t xml:space="preserve"> </w:t>
      </w:r>
      <w:r>
        <w:rPr>
          <w:bCs/>
          <w:b/>
        </w:rPr>
        <w:t xml:space="preserve">K</w:t>
      </w:r>
      <w:r>
        <w:rPr>
          <w:vertAlign w:val="superscript"/>
          <w:bCs/>
          <w:b/>
        </w:rPr>
        <w:t xml:space="preserve">r</w:t>
      </w:r>
      <w:r>
        <w:t xml:space="preserve">/</w:t>
      </w:r>
      <w:r>
        <w:rPr>
          <w:bCs/>
          <w:b/>
        </w:rPr>
        <w:t xml:space="preserve">M</w:t>
      </w:r>
      <w:r>
        <w:rPr>
          <w:vertAlign w:val="superscript"/>
          <w:bCs/>
          <w:b/>
        </w:rPr>
        <w:t xml:space="preserve">7</w:t>
      </w:r>
      <w:r>
        <w:t xml:space="preserve"> </w:t>
      </w:r>
      <w:r>
        <w:t xml:space="preserve">są rzeczywiście późnymi tekstami, odzwierciedlającymi działalność recenzyjną, która rozpoczęła się ogólnie w XII wieku (być może z bazowymi egzemplarzami z XI wieku, ale nie wcześniejszymi)”. (Zakładając, że był szczery, gdy pisał ten artykuł, zastanawiam się, jaki nowy dowód otrzymał, że zmienił zdanie — jego język jest tam z pewnością dostatecznie jasny. Co więcej, przez dwa miesiące miałem w rękach kopię jego kolacjonowań, spędziłem wiele z tego czasu na ich dokładnym studiowaniu i nie znalazłem powodu, by kwestionować jego wnioski z artykułu z listopada 1998 roku).</w:t>
      </w:r>
    </w:p>
  </w:footnote>
  <w:footnote w:id="219">
    <w:p>
      <w:pPr>
        <w:pStyle w:val="FootnoteText"/>
      </w:pPr>
      <w:r>
        <w:rPr>
          <w:rStyle w:val="FootnoteReference"/>
        </w:rPr>
        <w:footnoteRef/>
      </w:r>
      <w:r>
        <w:t xml:space="preserve"> </w:t>
      </w:r>
      <w:r>
        <w:rPr>
          <w:iCs/>
          <w:i/>
        </w:rPr>
        <w:t xml:space="preserve">Tamże</w:t>
      </w:r>
      <w:r>
        <w:t xml:space="preserve">, s. 13.</w:t>
      </w:r>
    </w:p>
  </w:footnote>
  <w:footnote w:id="220">
    <w:p>
      <w:pPr>
        <w:pStyle w:val="FootnoteText"/>
      </w:pPr>
      <w:r>
        <w:rPr>
          <w:rStyle w:val="FootnoteReference"/>
        </w:rPr>
        <w:footnoteRef/>
      </w:r>
      <w:r>
        <w:t xml:space="preserve"> </w:t>
      </w:r>
      <w:r>
        <w:t xml:space="preserve">W przypadku przykładów z Listu Jakuba korzystałem również z</w:t>
      </w:r>
      <w:r>
        <w:t xml:space="preserve"> </w:t>
      </w:r>
      <w:r>
        <w:rPr>
          <w:iCs/>
          <w:i/>
        </w:rPr>
        <w:t xml:space="preserve">Editio Critica Maior</w:t>
      </w:r>
      <w:r>
        <w:t xml:space="preserve">.</w:t>
      </w:r>
    </w:p>
  </w:footnote>
  <w:footnote w:id="221">
    <w:p>
      <w:pPr>
        <w:pStyle w:val="FootnoteText"/>
      </w:pPr>
      <w:r>
        <w:rPr>
          <w:rStyle w:val="FootnoteReference"/>
        </w:rPr>
        <w:footnoteRef/>
      </w:r>
      <w:r>
        <w:t xml:space="preserve"> </w:t>
      </w:r>
      <w:r>
        <w:t xml:space="preserve">Ktoś może zaprotestować, że starożytne są odczyty, a nie typy tekstu, lecz jeśli dany typ tekstu jest wyraźnie niezależny, a powiązania między wczesnymi świadkami nieustannie się zmieniają, to ma on starożytne odczyty, ponieważ sam jest starożytny. W przypadku</w:t>
      </w:r>
      <w:r>
        <w:t xml:space="preserve"> </w:t>
      </w:r>
      <w:r>
        <w:rPr>
          <w:bCs/>
          <w:b/>
        </w:rPr>
        <w:t xml:space="preserve">K</w:t>
      </w:r>
      <w:r>
        <w:rPr>
          <w:vertAlign w:val="superscript"/>
          <w:bCs/>
          <w:b/>
        </w:rPr>
        <w:t xml:space="preserve">r</w:t>
      </w:r>
      <w:r>
        <w:t xml:space="preserve"> </w:t>
      </w:r>
      <w:r>
        <w:t xml:space="preserve">istnieją zaś setki zestawów wariantów, w których jego odczyt ma wyraźne wczesne poświadczenie. (Przypomnij sobie, że</w:t>
      </w:r>
      <w:r>
        <w:t xml:space="preserve"> </w:t>
      </w:r>
      <w:r>
        <w:rPr>
          <w:bCs/>
          <w:b/>
        </w:rPr>
        <w:t xml:space="preserve">M</w:t>
      </w:r>
      <w:r>
        <w:t xml:space="preserve"> </w:t>
      </w:r>
      <w:r>
        <w:t xml:space="preserve">Alanda oraz</w:t>
      </w:r>
      <w:r>
        <w:t xml:space="preserve"> </w:t>
      </w:r>
      <w:r>
        <w:rPr>
          <w:bCs/>
          <w:b/>
        </w:rPr>
        <w:t xml:space="preserve">K</w:t>
      </w:r>
      <w:r>
        <w:t xml:space="preserve"> </w:t>
      </w:r>
      <w:r>
        <w:t xml:space="preserve">Sodena obejmują</w:t>
      </w:r>
      <w:r>
        <w:t xml:space="preserve"> </w:t>
      </w:r>
      <w:r>
        <w:rPr>
          <w:bCs/>
          <w:b/>
        </w:rPr>
        <w:t xml:space="preserve">K</w:t>
      </w:r>
      <w:r>
        <w:rPr>
          <w:vertAlign w:val="superscript"/>
          <w:bCs/>
          <w:b/>
        </w:rPr>
        <w:t xml:space="preserve">r</w:t>
      </w:r>
      <w:r>
        <w:t xml:space="preserve"> </w:t>
      </w:r>
      <w:r>
        <w:t xml:space="preserve">— biednego typu tekstu nie należy obarczać odpowiedzialnością za sposób, w jaki traktują go współcześni uczeni). Jeśli można obiektywnie wykazać, że typ tekstu ma setki wczesnych odczytów, lecz nie można obiektywnie wykazać, że ma choć jeden późny, na jakiej podstawie można uznać go za późny?</w:t>
      </w:r>
    </w:p>
  </w:footnote>
  <w:footnote w:id="222">
    <w:p>
      <w:pPr>
        <w:pStyle w:val="FootnoteText"/>
      </w:pPr>
      <w:r>
        <w:rPr>
          <w:rStyle w:val="FootnoteReference"/>
        </w:rPr>
        <w:footnoteRef/>
      </w:r>
      <w:r>
        <w:t xml:space="preserve"> </w:t>
      </w:r>
      <w:r>
        <w:t xml:space="preserve">Mam również co najmniej stronę przykładów z Objawienia Jana, które potwierdzają, że</w:t>
      </w:r>
      <w:r>
        <w:t xml:space="preserve"> </w:t>
      </w:r>
      <w:r>
        <w:rPr>
          <w:bCs/>
          <w:b/>
        </w:rPr>
        <w:t xml:space="preserve">K</w:t>
      </w:r>
      <w:r>
        <w:rPr>
          <w:vertAlign w:val="superscript"/>
          <w:bCs/>
          <w:b/>
        </w:rPr>
        <w:t xml:space="preserve">r</w:t>
      </w:r>
      <w:r>
        <w:t xml:space="preserve"> </w:t>
      </w:r>
      <w:r>
        <w:t xml:space="preserve">(</w:t>
      </w:r>
      <w:r>
        <w:rPr>
          <w:bCs/>
          <w:b/>
        </w:rPr>
        <w:t xml:space="preserve">M</w:t>
      </w:r>
      <w:r>
        <w:rPr>
          <w:vertAlign w:val="superscript"/>
          <w:bCs/>
          <w:b/>
        </w:rPr>
        <w:t xml:space="preserve">c</w:t>
      </w:r>
      <w:r>
        <w:t xml:space="preserve">) także w tej księdze jest niezależny i pochodzi z III wieku.</w:t>
      </w:r>
    </w:p>
  </w:footnote>
  <w:footnote w:id="223">
    <w:p>
      <w:pPr>
        <w:pStyle w:val="FootnoteText"/>
      </w:pPr>
      <w:r>
        <w:rPr>
          <w:rStyle w:val="FootnoteReference"/>
        </w:rPr>
        <w:footnoteRef/>
      </w:r>
      <w:r>
        <w:t xml:space="preserve"> </w:t>
      </w:r>
      <w:r>
        <w:rPr>
          <w:iCs/>
          <w:i/>
        </w:rPr>
        <w:t xml:space="preserve">Tamże</w:t>
      </w:r>
      <w:r>
        <w:t xml:space="preserve">.</w:t>
      </w:r>
    </w:p>
  </w:footnote>
  <w:footnote w:id="225">
    <w:p>
      <w:pPr>
        <w:pStyle w:val="FootnoteText"/>
      </w:pPr>
      <w:r>
        <w:rPr>
          <w:rStyle w:val="FootnoteReference"/>
        </w:rPr>
        <w:footnoteRef/>
      </w:r>
      <w:r>
        <w:t xml:space="preserve"> </w:t>
      </w:r>
      <w:r>
        <w:t xml:space="preserve">„External Evidence and New Testament Criticism”,</w:t>
      </w:r>
      <w:r>
        <w:t xml:space="preserve"> </w:t>
      </w:r>
      <w:r>
        <w:rPr>
          <w:iCs/>
          <w:i/>
        </w:rPr>
        <w:t xml:space="preserve">Studies in the History of the Text of the New Testament</w:t>
      </w:r>
      <w:r>
        <w:t xml:space="preserve">, red. B.L. Daniels i M.J. Suggs (Salt Lake City: University of Utah Press, 1967), s. 8.</w:t>
      </w:r>
    </w:p>
  </w:footnote>
  <w:footnote w:id="226">
    <w:p>
      <w:pPr>
        <w:pStyle w:val="FootnoteText"/>
      </w:pPr>
      <w:r>
        <w:rPr>
          <w:rStyle w:val="FootnoteReference"/>
        </w:rPr>
        <w:footnoteRef/>
      </w:r>
      <w:r>
        <w:t xml:space="preserve"> </w:t>
      </w:r>
      <w:r>
        <w:t xml:space="preserve">„The Significance of Grouping of New Testament Manuscripts”,</w:t>
      </w:r>
      <w:r>
        <w:t xml:space="preserve"> </w:t>
      </w:r>
      <w:r>
        <w:rPr>
          <w:iCs/>
          <w:i/>
        </w:rPr>
        <w:t xml:space="preserve">New Testament Studies</w:t>
      </w:r>
      <w:r>
        <w:t xml:space="preserve">, IV (1957-1958).</w:t>
      </w:r>
    </w:p>
  </w:footnote>
  <w:footnote w:id="227">
    <w:p>
      <w:pPr>
        <w:pStyle w:val="FootnoteText"/>
      </w:pPr>
      <w:r>
        <w:rPr>
          <w:rStyle w:val="FootnoteReference"/>
        </w:rPr>
        <w:footnoteRef/>
      </w:r>
      <w:r>
        <w:t xml:space="preserve"> </w:t>
      </w:r>
      <w:r>
        <w:t xml:space="preserve">Colwell, „The Significance of Grouping of New Testament Manuscripts”,</w:t>
      </w:r>
      <w:r>
        <w:t xml:space="preserve"> </w:t>
      </w:r>
      <w:r>
        <w:rPr>
          <w:iCs/>
          <w:i/>
        </w:rPr>
        <w:t xml:space="preserve">New Testament Studies</w:t>
      </w:r>
      <w:r>
        <w:t xml:space="preserve">, IV (1957-1958), s. 86-87.</w:t>
      </w:r>
    </w:p>
  </w:footnote>
  <w:footnote w:id="228">
    <w:p>
      <w:pPr>
        <w:pStyle w:val="FootnoteText"/>
      </w:pPr>
      <w:r>
        <w:rPr>
          <w:rStyle w:val="FootnoteReference"/>
        </w:rPr>
        <w:footnoteRef/>
      </w:r>
      <w:r>
        <w:t xml:space="preserve"> </w:t>
      </w:r>
      <w:r>
        <w:t xml:space="preserve">„The Text of the Church?”,</w:t>
      </w:r>
      <w:r>
        <w:t xml:space="preserve"> </w:t>
      </w:r>
      <w:r>
        <w:rPr>
          <w:iCs/>
          <w:i/>
        </w:rPr>
        <w:t xml:space="preserve">Trinity Journal</w:t>
      </w:r>
      <w:r>
        <w:t xml:space="preserve">, 1987, 8NS:138.</w:t>
      </w:r>
    </w:p>
  </w:footnote>
  <w:footnote w:id="229">
    <w:p>
      <w:pPr>
        <w:pStyle w:val="FootnoteText"/>
      </w:pPr>
      <w:r>
        <w:rPr>
          <w:rStyle w:val="FootnoteReference"/>
        </w:rPr>
        <w:footnoteRef/>
      </w:r>
      <w:r>
        <w:t xml:space="preserve"> </w:t>
      </w:r>
      <w:r>
        <w:t xml:space="preserve">K. i B. Aland,</w:t>
      </w:r>
      <w:r>
        <w:t xml:space="preserve"> </w:t>
      </w:r>
      <w:r>
        <w:rPr>
          <w:iCs/>
          <w:i/>
        </w:rPr>
        <w:t xml:space="preserve">The Text of the New Testament</w:t>
      </w:r>
      <w:r>
        <w:t xml:space="preserve"> </w:t>
      </w:r>
      <w:r>
        <w:t xml:space="preserve">(Grand Rapids: Eerdmans, 1981), s. 52-53.</w:t>
      </w:r>
    </w:p>
  </w:footnote>
  <w:footnote w:id="230">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231">
    <w:p>
      <w:pPr>
        <w:pStyle w:val="FootnoteText"/>
      </w:pPr>
      <w:r>
        <w:rPr>
          <w:rStyle w:val="FootnoteReference"/>
        </w:rPr>
        <w:footnoteRef/>
      </w:r>
      <w:r>
        <w:t xml:space="preserve"> </w:t>
      </w:r>
      <w:r>
        <w:rPr>
          <w:iCs/>
          <w:i/>
        </w:rPr>
        <w:t xml:space="preserve">Concerning the Text of the Apocalypse</w:t>
      </w:r>
      <w:r>
        <w:t xml:space="preserve">, 2 tomy (Londyn: Bernard Quaritch, 1929).</w:t>
      </w:r>
    </w:p>
  </w:footnote>
  <w:footnote w:id="232">
    <w:p>
      <w:pPr>
        <w:pStyle w:val="FootnoteText"/>
      </w:pPr>
      <w:r>
        <w:rPr>
          <w:rStyle w:val="FootnoteReference"/>
        </w:rPr>
        <w:footnoteRef/>
      </w:r>
      <w:r>
        <w:t xml:space="preserve"> </w:t>
      </w:r>
      <w:r>
        <w:t xml:space="preserve">Fragmenty oraz manuskrypty idiosynkratyczne wykazują jednak, że wszelkie zawarte w nich warianty istniały w czasie, gdy je wytworzono. Wykazują istnienie, a nie wartość.</w:t>
      </w:r>
    </w:p>
  </w:footnote>
  <w:footnote w:id="233">
    <w:p>
      <w:pPr>
        <w:pStyle w:val="FootnoteText"/>
      </w:pPr>
      <w:r>
        <w:rPr>
          <w:rStyle w:val="FootnoteReference"/>
        </w:rPr>
        <w:footnoteRef/>
      </w:r>
      <w:r>
        <w:t xml:space="preserve"> </w:t>
      </w:r>
      <w:r>
        <w:t xml:space="preserve">Na podstawie badań przeprowadzonych przeze mnie w INTF dodałem 10 manuskryptów do tych 33. Spośród 43 jeden jest zaledwie fragmentem, ale zawiera pierwszy diagnostyczny odczyt rodziny.</w:t>
      </w:r>
    </w:p>
  </w:footnote>
  <w:footnote w:id="234">
    <w:p>
      <w:pPr>
        <w:pStyle w:val="FootnoteText"/>
      </w:pPr>
      <w:r>
        <w:rPr>
          <w:rStyle w:val="FootnoteReference"/>
        </w:rPr>
        <w:footnoteRef/>
      </w:r>
      <w:r>
        <w:t xml:space="preserve"> </w:t>
      </w:r>
      <w:r>
        <w:t xml:space="preserve">Powinienem wspomnieć, że Hoskier skolacjonował 14 manuskryptów, których nie włączyłem do dziewięciu grup (z różnych powodów). Jeśli nie należą do linii przekazu ani same nie tworzą odrębnej grupy, są bez znaczenia.</w:t>
      </w:r>
    </w:p>
  </w:footnote>
  <w:footnote w:id="235">
    <w:p>
      <w:pPr>
        <w:pStyle w:val="FootnoteText"/>
      </w:pPr>
      <w:r>
        <w:rPr>
          <w:rStyle w:val="FootnoteReference"/>
        </w:rPr>
        <w:footnoteRef/>
      </w:r>
      <w:r>
        <w:t xml:space="preserve"> </w:t>
      </w:r>
      <w:r>
        <w:t xml:space="preserve">Dla porządku, wydanie</w:t>
      </w:r>
      <w:r>
        <w:t xml:space="preserve"> </w:t>
      </w:r>
      <w:r>
        <w:rPr>
          <w:iCs/>
          <w:i/>
        </w:rPr>
        <w:t xml:space="preserve">TuT</w:t>
      </w:r>
      <w:r>
        <w:t xml:space="preserve"> </w:t>
      </w:r>
      <w:r>
        <w:t xml:space="preserve">posługuje się „większością względną”. Aby dojść do tej „</w:t>
      </w:r>
      <w:r>
        <w:rPr>
          <w:iCs/>
          <w:i/>
        </w:rPr>
        <w:t xml:space="preserve">rM</w:t>
      </w:r>
      <w:r>
        <w:t xml:space="preserve">”, dodano NA</w:t>
      </w:r>
      <w:r>
        <w:rPr>
          <w:vertAlign w:val="superscript"/>
        </w:rPr>
        <w:t xml:space="preserve">28</w:t>
      </w:r>
      <w:r>
        <w:t xml:space="preserve"> </w:t>
      </w:r>
      <w:r>
        <w:t xml:space="preserve">jako czwartą linię, ale posłużono się także względami „wewnętrznymi”. Za „Koine” opowiedziano się 98 razy, za „kompluteńskim” 95 razy, za „Andreasem” 79 razy, a za NA</w:t>
      </w:r>
      <w:r>
        <w:rPr>
          <w:vertAlign w:val="superscript"/>
        </w:rPr>
        <w:t xml:space="preserve">28</w:t>
      </w:r>
      <w:r>
        <w:t xml:space="preserve"> </w:t>
      </w:r>
      <w:r>
        <w:t xml:space="preserve">41 razy (wyodrębniono to z dwunastu kombinacji). Jedenaście razy opowiedziano się wyłącznie za „Koine”, jedyną linią potraktowaną w ten sposób.</w:t>
      </w:r>
    </w:p>
  </w:footnote>
  <w:footnote w:id="237">
    <w:p>
      <w:pPr>
        <w:pStyle w:val="FootnoteText"/>
      </w:pPr>
      <w:r>
        <w:rPr>
          <w:rStyle w:val="FootnoteReference"/>
        </w:rPr>
        <w:footnoteRef/>
      </w:r>
      <w:r>
        <w:t xml:space="preserve"> </w:t>
      </w:r>
      <w:r>
        <w:rPr>
          <w:iCs/>
          <w:i/>
        </w:rPr>
        <w:t xml:space="preserve">Editio Critica Maior</w:t>
      </w:r>
      <w:r>
        <w:t xml:space="preserve">, red. The Institute for New Testament Textual Research (Stuttgart: Deutsche Bibelgesellschaft, 1997), tom IV, Listy Ogólne.</w:t>
      </w:r>
    </w:p>
  </w:footnote>
  <w:footnote w:id="238">
    <w:p>
      <w:pPr>
        <w:pStyle w:val="FootnoteText"/>
      </w:pPr>
      <w:r>
        <w:rPr>
          <w:rStyle w:val="FootnoteReference"/>
        </w:rPr>
        <w:footnoteRef/>
      </w:r>
      <w:r>
        <w:t xml:space="preserve"> </w:t>
      </w:r>
      <w:r>
        <w:t xml:space="preserve">Ta liczba jest poprawna, po prostu tak się składa, że jest taka sama.</w:t>
      </w:r>
    </w:p>
  </w:footnote>
  <w:footnote w:id="239">
    <w:p>
      <w:pPr>
        <w:pStyle w:val="FootnoteText"/>
      </w:pPr>
      <w:r>
        <w:rPr>
          <w:rStyle w:val="FootnoteReference"/>
        </w:rPr>
        <w:footnoteRef/>
      </w:r>
      <w:r>
        <w:t xml:space="preserve"> </w:t>
      </w:r>
      <w:r>
        <w:t xml:space="preserve">Jako dalszy dowód ich niezależności wymieniam odczyty singularne każdego z tych uncjałów (pięć nie ma żadnych):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pPr>
          </w:p>
        </w:tc>
        <w:tc>
          <w:tcPr/>
          <w:p>
            <w:pPr>
              <w:pStyle w:val="Compact"/>
              <w:jc w:val="right"/>
            </w:pPr>
            <w:r>
              <w:t xml:space="preserve">List Jakuba</w:t>
            </w:r>
          </w:p>
        </w:tc>
        <w:tc>
          <w:tcPr/>
          <w:p>
            <w:pPr>
              <w:pStyle w:val="Compact"/>
              <w:jc w:val="right"/>
            </w:pPr>
            <w:r>
              <w:t xml:space="preserve">1 List Piotra</w:t>
            </w:r>
          </w:p>
        </w:tc>
        <w:tc>
          <w:tcPr/>
          <w:p>
            <w:pPr>
              <w:pStyle w:val="Compact"/>
              <w:jc w:val="right"/>
            </w:pPr>
            <w:r>
              <w:t xml:space="preserve">2 List Piotra</w:t>
            </w:r>
          </w:p>
        </w:tc>
        <w:tc>
          <w:tcPr/>
          <w:p>
            <w:pPr>
              <w:pStyle w:val="Compact"/>
              <w:jc w:val="right"/>
            </w:pPr>
            <w:r>
              <w:t xml:space="preserve">1 List Jana</w:t>
            </w:r>
          </w:p>
        </w:tc>
        <w:tc>
          <w:tcPr/>
          <w:p>
            <w:pPr>
              <w:pStyle w:val="Compact"/>
              <w:jc w:val="right"/>
            </w:pPr>
            <w:r>
              <w:t xml:space="preserve">2 i 3 List Jana</w:t>
            </w:r>
          </w:p>
        </w:tc>
        <w:tc>
          <w:tcPr/>
          <w:p>
            <w:pPr>
              <w:pStyle w:val="Compact"/>
              <w:jc w:val="right"/>
            </w:pPr>
            <w:r>
              <w:t xml:space="preserve">List Judy</w:t>
            </w:r>
          </w:p>
        </w:tc>
        <w:tc>
          <w:tcPr/>
          <w:p>
            <w:pPr>
              <w:pStyle w:val="Compact"/>
              <w:jc w:val="right"/>
            </w:pPr>
            <w:r>
              <w:rPr>
                <w:bCs/>
                <w:b/>
              </w:rPr>
              <w:t xml:space="preserve">Łącznie</w:t>
            </w:r>
          </w:p>
        </w:tc>
      </w:tr>
      <w:tr>
        <w:tc>
          <w:tcPr/>
          <w:p>
            <w:pPr>
              <w:pStyle w:val="Compact"/>
              <w:jc w:val="left"/>
            </w:pPr>
            <w:r>
              <w:t xml:space="preserve">P</w:t>
            </w:r>
            <w:r>
              <w:rPr>
                <w:vertAlign w:val="superscript"/>
              </w:rPr>
              <w:t xml:space="preserve">72</w:t>
            </w:r>
          </w:p>
        </w:tc>
        <w:tc>
          <w:tcPr/>
          <w:p>
            <w:pPr>
              <w:pStyle w:val="Compact"/>
            </w:pPr>
          </w:p>
        </w:tc>
        <w:tc>
          <w:tcPr/>
          <w:p>
            <w:pPr>
              <w:pStyle w:val="Compact"/>
              <w:jc w:val="right"/>
            </w:pPr>
            <w:r>
              <w:t xml:space="preserve">33</w:t>
            </w:r>
          </w:p>
        </w:tc>
        <w:tc>
          <w:tcPr/>
          <w:p>
            <w:pPr>
              <w:pStyle w:val="Compact"/>
              <w:jc w:val="right"/>
            </w:pPr>
            <w:r>
              <w:t xml:space="preserve">12</w:t>
            </w:r>
          </w:p>
        </w:tc>
        <w:tc>
          <w:tcPr/>
          <w:p>
            <w:pPr>
              <w:pStyle w:val="Compact"/>
            </w:pPr>
          </w:p>
        </w:tc>
        <w:tc>
          <w:tcPr/>
          <w:p>
            <w:pPr>
              <w:pStyle w:val="Compact"/>
            </w:pPr>
          </w:p>
        </w:tc>
        <w:tc>
          <w:tcPr/>
          <w:p>
            <w:pPr>
              <w:pStyle w:val="Compact"/>
              <w:jc w:val="right"/>
            </w:pPr>
            <w:r>
              <w:t xml:space="preserve">17</w:t>
            </w:r>
          </w:p>
        </w:tc>
        <w:tc>
          <w:tcPr/>
          <w:p>
            <w:pPr>
              <w:pStyle w:val="Compact"/>
              <w:jc w:val="right"/>
            </w:pPr>
            <w:r>
              <w:rPr>
                <w:bCs/>
                <w:b/>
              </w:rPr>
              <w:t xml:space="preserve">62</w:t>
            </w:r>
          </w:p>
        </w:tc>
      </w:tr>
      <w:tr>
        <w:tc>
          <w:tcPr/>
          <w:p>
            <w:pPr>
              <w:pStyle w:val="Compact"/>
              <w:jc w:val="left"/>
            </w:pPr>
            <w:r>
              <w:t xml:space="preserve">P</w:t>
            </w:r>
            <w:r>
              <w:rPr>
                <w:vertAlign w:val="superscript"/>
              </w:rPr>
              <w:t xml:space="preserve">78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jc w:val="right"/>
            </w:pPr>
            <w:r>
              <w:rPr>
                <w:bCs/>
                <w:b/>
              </w:rPr>
              <w:t xml:space="preserve">2</w:t>
            </w:r>
          </w:p>
        </w:tc>
      </w:tr>
      <w:tr>
        <w:tc>
          <w:tcPr/>
          <w:p>
            <w:pPr>
              <w:pStyle w:val="Compact"/>
              <w:jc w:val="left"/>
            </w:pPr>
            <w:r>
              <w:t xml:space="preserve">ℵ</w:t>
            </w:r>
          </w:p>
        </w:tc>
        <w:tc>
          <w:tcPr/>
          <w:p>
            <w:pPr>
              <w:pStyle w:val="Compact"/>
              <w:jc w:val="right"/>
            </w:pPr>
            <w:r>
              <w:t xml:space="preserve">11</w:t>
            </w:r>
          </w:p>
        </w:tc>
        <w:tc>
          <w:tcPr/>
          <w:p>
            <w:pPr>
              <w:pStyle w:val="Compact"/>
              <w:jc w:val="right"/>
            </w:pPr>
            <w:r>
              <w:t xml:space="preserve">25</w:t>
            </w:r>
          </w:p>
        </w:tc>
        <w:tc>
          <w:tcPr/>
          <w:p>
            <w:pPr>
              <w:pStyle w:val="Compact"/>
              <w:jc w:val="right"/>
            </w:pPr>
            <w:r>
              <w:t xml:space="preserve">13</w:t>
            </w:r>
          </w:p>
        </w:tc>
        <w:tc>
          <w:tcPr/>
          <w:p>
            <w:pPr>
              <w:pStyle w:val="Compact"/>
              <w:jc w:val="right"/>
            </w:pPr>
            <w:r>
              <w:t xml:space="preserve">18</w:t>
            </w:r>
          </w:p>
        </w:tc>
        <w:tc>
          <w:tcPr/>
          <w:p>
            <w:pPr>
              <w:pStyle w:val="Compact"/>
              <w:jc w:val="right"/>
            </w:pPr>
            <w:r>
              <w:t xml:space="preserve">5</w:t>
            </w:r>
          </w:p>
        </w:tc>
        <w:tc>
          <w:tcPr/>
          <w:p>
            <w:pPr>
              <w:pStyle w:val="Compact"/>
              <w:jc w:val="right"/>
            </w:pPr>
            <w:r>
              <w:t xml:space="preserve">4</w:t>
            </w:r>
          </w:p>
        </w:tc>
        <w:tc>
          <w:tcPr/>
          <w:p>
            <w:pPr>
              <w:pStyle w:val="Compact"/>
              <w:jc w:val="right"/>
            </w:pPr>
            <w:r>
              <w:rPr>
                <w:bCs/>
                <w:b/>
              </w:rPr>
              <w:t xml:space="preserve">76</w:t>
            </w:r>
          </w:p>
        </w:tc>
      </w:tr>
      <w:tr>
        <w:tc>
          <w:tcPr/>
          <w:p>
            <w:pPr>
              <w:pStyle w:val="Compact"/>
              <w:jc w:val="left"/>
            </w:pPr>
            <w:r>
              <w:t xml:space="preserve">A</w:t>
            </w:r>
          </w:p>
        </w:tc>
        <w:tc>
          <w:tcPr/>
          <w:p>
            <w:pPr>
              <w:pStyle w:val="Compact"/>
              <w:jc w:val="right"/>
            </w:pPr>
            <w:r>
              <w:t xml:space="preserve">8</w:t>
            </w:r>
          </w:p>
        </w:tc>
        <w:tc>
          <w:tcPr/>
          <w:p>
            <w:pPr>
              <w:pStyle w:val="Compact"/>
            </w:pPr>
          </w:p>
        </w:tc>
        <w:tc>
          <w:tcPr/>
          <w:p>
            <w:pPr>
              <w:pStyle w:val="Compact"/>
              <w:jc w:val="right"/>
            </w:pPr>
            <w:r>
              <w:t xml:space="preserve">5</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w:t>
            </w:r>
          </w:p>
        </w:tc>
        <w:tc>
          <w:tcPr/>
          <w:p>
            <w:pPr>
              <w:pStyle w:val="Compact"/>
              <w:jc w:val="right"/>
            </w:pPr>
            <w:r>
              <w:rPr>
                <w:bCs/>
                <w:b/>
              </w:rPr>
              <w:t xml:space="preserve">27</w:t>
            </w:r>
          </w:p>
        </w:tc>
      </w:tr>
      <w:tr>
        <w:tc>
          <w:tcPr/>
          <w:p>
            <w:pPr>
              <w:pStyle w:val="Compact"/>
              <w:jc w:val="left"/>
            </w:pPr>
            <w:r>
              <w:t xml:space="preserve">B</w:t>
            </w:r>
          </w:p>
        </w:tc>
        <w:tc>
          <w:tcPr/>
          <w:p>
            <w:pPr>
              <w:pStyle w:val="Compact"/>
              <w:jc w:val="right"/>
            </w:pPr>
            <w:r>
              <w:t xml:space="preserve">7</w:t>
            </w:r>
          </w:p>
        </w:tc>
        <w:tc>
          <w:tcPr/>
          <w:p>
            <w:pPr>
              <w:pStyle w:val="Compact"/>
              <w:jc w:val="right"/>
            </w:pPr>
            <w:r>
              <w:t xml:space="preserve">10</w:t>
            </w:r>
          </w:p>
        </w:tc>
        <w:tc>
          <w:tcPr/>
          <w:p>
            <w:pPr>
              <w:pStyle w:val="Compact"/>
              <w:jc w:val="right"/>
            </w:pPr>
            <w:r>
              <w:t xml:space="preserve">3</w:t>
            </w:r>
          </w:p>
        </w:tc>
        <w:tc>
          <w:tcPr/>
          <w:p>
            <w:pPr>
              <w:pStyle w:val="Compact"/>
              <w:jc w:val="right"/>
            </w:pPr>
            <w:r>
              <w:t xml:space="preserve">8</w:t>
            </w:r>
          </w:p>
        </w:tc>
        <w:tc>
          <w:tcPr/>
          <w:p>
            <w:pPr>
              <w:pStyle w:val="Compact"/>
              <w:jc w:val="right"/>
            </w:pPr>
            <w:r>
              <w:t xml:space="preserve">4</w:t>
            </w:r>
          </w:p>
        </w:tc>
        <w:tc>
          <w:tcPr/>
          <w:p>
            <w:pPr>
              <w:pStyle w:val="Compact"/>
              <w:jc w:val="right"/>
            </w:pPr>
            <w:r>
              <w:t xml:space="preserve">5</w:t>
            </w:r>
          </w:p>
        </w:tc>
        <w:tc>
          <w:tcPr/>
          <w:p>
            <w:pPr>
              <w:pStyle w:val="Compact"/>
              <w:jc w:val="right"/>
            </w:pPr>
            <w:r>
              <w:rPr>
                <w:bCs/>
                <w:b/>
              </w:rPr>
              <w:t xml:space="preserve">37</w:t>
            </w:r>
          </w:p>
        </w:tc>
      </w:tr>
      <w:tr>
        <w:tc>
          <w:tcPr/>
          <w:p>
            <w:pPr>
              <w:pStyle w:val="Compact"/>
              <w:jc w:val="left"/>
            </w:pPr>
            <w:r>
              <w:t xml:space="preserve">C</w:t>
            </w:r>
          </w:p>
        </w:tc>
        <w:tc>
          <w:tcPr/>
          <w:p>
            <w:pPr>
              <w:pStyle w:val="Compact"/>
              <w:jc w:val="right"/>
            </w:pPr>
            <w:r>
              <w:t xml:space="preserve">3</w:t>
            </w:r>
          </w:p>
        </w:tc>
        <w:tc>
          <w:tcPr/>
          <w:p>
            <w:pPr>
              <w:pStyle w:val="Compact"/>
              <w:jc w:val="right"/>
            </w:pPr>
            <w:r>
              <w:t xml:space="preserve">7</w:t>
            </w:r>
          </w:p>
        </w:tc>
        <w:tc>
          <w:tcPr/>
          <w:p>
            <w:pPr>
              <w:pStyle w:val="Compact"/>
              <w:jc w:val="right"/>
            </w:pPr>
            <w:r>
              <w:t xml:space="preserve">7</w:t>
            </w:r>
          </w:p>
        </w:tc>
        <w:tc>
          <w:tcPr/>
          <w:p>
            <w:pPr>
              <w:pStyle w:val="Compact"/>
              <w:jc w:val="right"/>
            </w:pPr>
            <w:r>
              <w:t xml:space="preserve">5</w:t>
            </w:r>
          </w:p>
        </w:tc>
        <w:tc>
          <w:tcPr/>
          <w:p>
            <w:pPr>
              <w:pStyle w:val="Compact"/>
              <w:jc w:val="right"/>
            </w:pPr>
            <w:r>
              <w:t xml:space="preserve">2</w:t>
            </w:r>
          </w:p>
        </w:tc>
        <w:tc>
          <w:tcPr/>
          <w:p>
            <w:pPr>
              <w:pStyle w:val="Compact"/>
            </w:pPr>
          </w:p>
        </w:tc>
        <w:tc>
          <w:tcPr/>
          <w:p>
            <w:pPr>
              <w:pStyle w:val="Compact"/>
              <w:jc w:val="right"/>
            </w:pPr>
            <w:r>
              <w:rPr>
                <w:bCs/>
                <w:b/>
              </w:rPr>
              <w:t xml:space="preserve">24</w:t>
            </w:r>
          </w:p>
        </w:tc>
      </w:tr>
      <w:tr>
        <w:tc>
          <w:tcPr/>
          <w:p>
            <w:pPr>
              <w:pStyle w:val="Compact"/>
              <w:jc w:val="left"/>
            </w:pPr>
            <w:r>
              <w:t xml:space="preserve">048</w:t>
            </w: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pPr>
          </w:p>
        </w:tc>
        <w:tc>
          <w:tcPr/>
          <w:p>
            <w:pPr>
              <w:pStyle w:val="Compact"/>
              <w:jc w:val="right"/>
            </w:pPr>
            <w:r>
              <w:rPr>
                <w:bCs/>
                <w:b/>
              </w:rPr>
              <w:t xml:space="preserve">9</w:t>
            </w:r>
          </w:p>
        </w:tc>
      </w:tr>
    </w:tbl>
  </w:footnote>
  <w:footnote w:id="241">
    <w:p>
      <w:pPr>
        <w:pStyle w:val="FootnoteText"/>
      </w:pPr>
      <w:r>
        <w:rPr>
          <w:rStyle w:val="FootnoteReference"/>
        </w:rPr>
        <w:footnoteRef/>
      </w:r>
      <w:r>
        <w:t xml:space="preserve"> </w:t>
      </w:r>
      <w:r>
        <w:t xml:space="preserve">Jest to jedyne miejsce w całym Nowym Testamencie, w którym Rodzina 35 się rozszczepia — występuje pięć istotnych wariantów (oraz dwa drobne). Zwykle tam, gdzie rodzina jest podzielona, występują tylko dwa warianty. Szczegółowe omówienie tego zestawu wariantów znajduje się w artykule „Where to place a comma—Acts 12:25”.</w:t>
      </w:r>
    </w:p>
  </w:footnote>
  <w:footnote w:id="244">
    <w:p>
      <w:pPr>
        <w:pStyle w:val="FootnoteText"/>
      </w:pPr>
      <w:r>
        <w:rPr>
          <w:rStyle w:val="FootnoteReference"/>
        </w:rPr>
        <w:footnoteRef/>
      </w:r>
      <w:r>
        <w:t xml:space="preserve"> </w:t>
      </w:r>
      <w:r>
        <w:t xml:space="preserve">Słowniki podają różne definicje terminu „kaczka dziennikarska”, ale wszystkie są zgodne, że jest to fałszywa informacja, i sugerują, że została stworzona ze złośliwym zamiarem. Oczywiście ci, którzy powtarzają taką kaczkę, mogą czynić to bez złej woli, choć robią to bez sprawdzenia dowodów.</w:t>
      </w:r>
    </w:p>
  </w:footnote>
  <w:footnote w:id="245">
    <w:p>
      <w:pPr>
        <w:pStyle w:val="FootnoteText"/>
      </w:pPr>
      <w:r>
        <w:rPr>
          <w:rStyle w:val="FootnoteReference"/>
        </w:rPr>
        <w:footnoteRef/>
      </w:r>
      <w:r>
        <w:t xml:space="preserve"> </w:t>
      </w:r>
      <w:r>
        <w:t xml:space="preserve">Kirsopp Lake,</w:t>
      </w:r>
      <w:r>
        <w:t xml:space="preserve"> </w:t>
      </w:r>
      <w:r>
        <w:rPr>
          <w:iCs/>
          <w:i/>
        </w:rPr>
        <w:t xml:space="preserve">The Text of the New Testament</w:t>
      </w:r>
      <w:r>
        <w:t xml:space="preserve">, wydanie szóste zrewidowane przez Silvę New (Londyn: Rivingtons, 1959), s. 53.</w:t>
      </w:r>
    </w:p>
  </w:footnote>
  <w:footnote w:id="246">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w:t>
      </w:r>
      <w:r>
        <w:t xml:space="preserve"> </w:t>
      </w:r>
      <w:r>
        <w:rPr>
          <w:iCs/>
          <w:i/>
        </w:rPr>
        <w:t xml:space="preserve">Introduction</w:t>
      </w:r>
      <w:r>
        <w:t xml:space="preserve">, s. 133.</w:t>
      </w:r>
    </w:p>
  </w:footnote>
  <w:footnote w:id="247">
    <w:p>
      <w:pPr>
        <w:pStyle w:val="FootnoteText"/>
      </w:pPr>
      <w:r>
        <w:rPr>
          <w:rStyle w:val="FootnoteReference"/>
        </w:rPr>
        <w:footnoteRef/>
      </w:r>
      <w:r>
        <w:t xml:space="preserve"> </w:t>
      </w:r>
      <w:r>
        <w:t xml:space="preserve">Hort zasugerował wprawdzie Lucjana z Antiochii jako głównego sprawcę — sugestia była zarówno bezpodstawna, jak i niepoważna, ponieważ tak naprawdę nie przyjrzał się dowodom dostępnym w tamtym czasie. (Gdyby powtórzył tę sugestię dzisiaj, byłaby jawnie absurdalna).</w:t>
      </w:r>
    </w:p>
  </w:footnote>
  <w:footnote w:id="248">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sprawdzonych przez Robinsona. Nie obejmuje to lekcjonarzy, których również sprawdził sporą liczbę. (Są to mikrofilmy przechowywane przez</w:t>
      </w:r>
      <w:r>
        <w:t xml:space="preserve"> </w:t>
      </w:r>
      <w:r>
        <w:rPr>
          <w:iCs/>
          <w:i/>
        </w:rPr>
        <w:t xml:space="preserve">Institut</w:t>
      </w:r>
      <w:r>
        <w:t xml:space="preserve"> </w:t>
      </w:r>
      <w:r>
        <w:t xml:space="preserve">w Münster. Wiemy obecnie, że istnieje znacznie więcej zachowanych manuskryptów, a prawdopodobnie jeszcze więcej takich, które nie są jeszcze „zachowane”). Niestety, o ile wiem, Robinson nie opublikował dotąd swoich kolacjonowań, udostępniając je tym samym ogółowi.</w:t>
      </w:r>
    </w:p>
  </w:footnote>
  <w:footnote w:id="249">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w:t>
      </w:r>
    </w:p>
  </w:footnote>
  <w:footnote w:id="250">
    <w:p>
      <w:pPr>
        <w:pStyle w:val="FootnoteText"/>
      </w:pPr>
      <w:r>
        <w:rPr>
          <w:rStyle w:val="FootnoteReference"/>
        </w:rPr>
        <w:footnoteRef/>
      </w:r>
      <w:r>
        <w:t xml:space="preserve"> </w:t>
      </w:r>
      <w:r>
        <w:rPr>
          <w:iCs/>
          <w:i/>
        </w:rPr>
        <w:t xml:space="preserve">Eight American Praxapostoloi</w:t>
      </w:r>
      <w:r>
        <w:t xml:space="preserve"> </w:t>
      </w:r>
      <w:r>
        <w:t xml:space="preserve">(Kenneth W. Clark, Chicago: The University of Chicago Press, 1941), s. 12.</w:t>
      </w:r>
    </w:p>
  </w:footnote>
  <w:footnote w:id="251">
    <w:p>
      <w:pPr>
        <w:pStyle w:val="FootnoteText"/>
      </w:pPr>
      <w:r>
        <w:rPr>
          <w:rStyle w:val="FootnoteReference"/>
        </w:rPr>
        <w:footnoteRef/>
      </w:r>
      <w:r>
        <w:t xml:space="preserve"> </w:t>
      </w:r>
      <w:r>
        <w:t xml:space="preserve">Zobacz także część „Archetyp w Listach Ogólnych —</w:t>
      </w:r>
      <w:r>
        <w:t xml:space="preserve"> </w:t>
      </w:r>
      <w:r>
        <w:rPr>
          <w:bCs/>
          <w:b/>
        </w:rPr>
        <w:t xml:space="preserve">f</w:t>
      </w:r>
      <w:r>
        <w:rPr>
          <w:vertAlign w:val="superscript"/>
          <w:bCs/>
          <w:b/>
        </w:rPr>
        <w:t xml:space="preserve">35</w:t>
      </w:r>
      <w:r>
        <w:t xml:space="preserve"> </w:t>
      </w:r>
      <w:r>
        <w:t xml:space="preserve">tak,</w:t>
      </w:r>
      <w:r>
        <w:t xml:space="preserve"> </w:t>
      </w:r>
      <w:r>
        <w:rPr>
          <w:bCs/>
          <w:b/>
        </w:rPr>
        <w:t xml:space="preserve">K</w:t>
      </w:r>
      <w:r>
        <w:rPr>
          <w:vertAlign w:val="superscript"/>
          <w:bCs/>
          <w:b/>
        </w:rPr>
        <w:t xml:space="preserve">x</w:t>
      </w:r>
      <w:r>
        <w:t xml:space="preserve"> </w:t>
      </w:r>
      <w:r>
        <w:t xml:space="preserve">nie” w części III.</w:t>
      </w:r>
    </w:p>
  </w:footnote>
  <w:footnote w:id="252">
    <w:p>
      <w:pPr>
        <w:pStyle w:val="FootnoteText"/>
      </w:pPr>
      <w:r>
        <w:rPr>
          <w:rStyle w:val="FootnoteReference"/>
        </w:rPr>
        <w:footnoteRef/>
      </w:r>
      <w:r>
        <w:t xml:space="preserve"> </w:t>
      </w:r>
      <w:r>
        <w:t xml:space="preserve">Mam na myśli artykuł, który podejmie kwestię „poziomu wierności” i „współczynnika jakości”, porównując na tej podstawie różne linie przekazu. Dlaczego na przykład przeciętny manuskrypt</w:t>
      </w:r>
      <w:r>
        <w:t xml:space="preserve"> </w:t>
      </w:r>
      <w:r>
        <w:rPr>
          <w:bCs/>
          <w:b/>
        </w:rPr>
        <w:t xml:space="preserve">f</w:t>
      </w:r>
      <w:r>
        <w:rPr>
          <w:vertAlign w:val="superscript"/>
          <w:bCs/>
          <w:b/>
        </w:rPr>
        <w:t xml:space="preserve">35</w:t>
      </w:r>
      <w:r>
        <w:t xml:space="preserve"> </w:t>
      </w:r>
      <w:r>
        <w:t xml:space="preserve">ma tylko jeden wariant na każde dwie strony drukowanego tekstu greckiego, podczas gdy przeciętny manuskrypt masy bizantyjskiej ma co najmniej trzy warianty na stronę, a przeciętny manuskrypt aleksandryjski ponad piętnaście na stronę? Czy sugeruje to coś na temat postawy, poważnego traktowania swojej pracy? Przez „postawę” rozumiem konkretnie stosunek do kopiowanego egzemplarza — czy był on przedmiotem szacunku lub czci?</w:t>
      </w:r>
    </w:p>
  </w:footnote>
  <w:footnote w:id="253">
    <w:p>
      <w:pPr>
        <w:pStyle w:val="FootnoteText"/>
      </w:pPr>
      <w:r>
        <w:rPr>
          <w:rStyle w:val="FootnoteReference"/>
        </w:rPr>
        <w:footnoteRef/>
      </w:r>
      <w:r>
        <w:t xml:space="preserve"> </w:t>
      </w:r>
      <w:r>
        <w:rPr>
          <w:iCs/>
          <w:i/>
        </w:rPr>
        <w:t xml:space="preserve">The Identity of the New Testament Text IV</w:t>
      </w:r>
      <w:r>
        <w:t xml:space="preserve">, s. 84.</w:t>
      </w:r>
    </w:p>
  </w:footnote>
  <w:footnote w:id="254">
    <w:p>
      <w:pPr>
        <w:pStyle w:val="FootnoteText"/>
      </w:pPr>
      <w:r>
        <w:rPr>
          <w:rStyle w:val="FootnoteReference"/>
        </w:rPr>
        <w:footnoteRef/>
      </w:r>
      <w:r>
        <w:t xml:space="preserve"> </w:t>
      </w:r>
      <w:r>
        <w:t xml:space="preserve">J.W. Burgon,</w:t>
      </w:r>
      <w:r>
        <w:t xml:space="preserve"> </w:t>
      </w:r>
      <w:r>
        <w:rPr>
          <w:iCs/>
          <w:i/>
        </w:rPr>
        <w:t xml:space="preserve">The Revision Revised</w:t>
      </w:r>
      <w:r>
        <w:t xml:space="preserve"> </w:t>
      </w:r>
      <w:r>
        <w:t xml:space="preserve">(Londyn: John Murray, 1883), s. 293.</w:t>
      </w:r>
    </w:p>
  </w:footnote>
  <w:footnote w:id="255">
    <w:p>
      <w:pPr>
        <w:pStyle w:val="FootnoteText"/>
      </w:pPr>
      <w:r>
        <w:rPr>
          <w:rStyle w:val="FootnoteReference"/>
        </w:rPr>
        <w:footnoteRef/>
      </w:r>
      <w:r>
        <w:t xml:space="preserve"> </w:t>
      </w:r>
      <w:r>
        <w:t xml:space="preserve">F.G. Kenyon,</w:t>
      </w:r>
      <w:r>
        <w:t xml:space="preserve"> </w:t>
      </w:r>
      <w:r>
        <w:rPr>
          <w:iCs/>
          <w:i/>
        </w:rPr>
        <w:t xml:space="preserve">Handbook to the Textual Criticism of the Greek Bible</w:t>
      </w:r>
      <w:r>
        <w:t xml:space="preserve">, wyd. 2 (Grand Rapids: Wm. B. Eerdmans Publishing Co., 1951), s. 324-325. Podczas gdy Burgon był zdecydowanym obrońcą Tradycyjnego Tekstu Nowego Testamentu, Kenyon z całą pewnością nim nie był, będąc zwolennikiem tak zwanego „tekstu krytycznego”.</w:t>
      </w:r>
    </w:p>
  </w:footnote>
  <w:footnote w:id="257">
    <w:p>
      <w:pPr>
        <w:pStyle w:val="FootnoteText"/>
      </w:pPr>
      <w:r>
        <w:rPr>
          <w:rStyle w:val="FootnoteReference"/>
        </w:rPr>
        <w:footnoteRef/>
      </w:r>
      <w:r>
        <w:t xml:space="preserve"> </w:t>
      </w:r>
      <w:r>
        <w:t xml:space="preserve">Hermann F. von Soden,</w:t>
      </w:r>
      <w:r>
        <w:t xml:space="preserve"> </w:t>
      </w:r>
      <w:r>
        <w:rPr>
          <w:iCs/>
          <w:i/>
        </w:rPr>
        <w:t xml:space="preserve">Die Schriften des Neuen Testaments</w:t>
      </w:r>
      <w:r>
        <w:t xml:space="preserve">, 2 tomy (Getynga: Vandenhoeck und Ruprecht, 1911), s. 757-765. (Jego niemiecki jest trudny do czytania).</w:t>
      </w:r>
    </w:p>
  </w:footnote>
  <w:footnote w:id="258">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259">
    <w:p>
      <w:pPr>
        <w:pStyle w:val="FootnoteText"/>
      </w:pPr>
      <w:r>
        <w:rPr>
          <w:rStyle w:val="FootnoteReference"/>
        </w:rPr>
        <w:footnoteRef/>
      </w:r>
      <w:r>
        <w:t xml:space="preserve"> </w:t>
      </w:r>
      <w:r>
        <w:t xml:space="preserve">Alexander Roberts i James Donaldson, red.,</w:t>
      </w:r>
      <w:r>
        <w:t xml:space="preserve"> </w:t>
      </w:r>
      <w:r>
        <w:rPr>
          <w:iCs/>
          <w:i/>
        </w:rPr>
        <w:t xml:space="preserve">The Ante-Nicean Fathers</w:t>
      </w:r>
      <w:r>
        <w:t xml:space="preserve">, wydanie amerykańskie (Nowy Jork: Christian Literature Co., 1906), t. I, s. 186.</w:t>
      </w:r>
    </w:p>
  </w:footnote>
  <w:footnote w:id="260">
    <w:p>
      <w:pPr>
        <w:pStyle w:val="FootnoteText"/>
      </w:pPr>
      <w:r>
        <w:rPr>
          <w:rStyle w:val="FootnoteReference"/>
        </w:rPr>
        <w:footnoteRef/>
      </w:r>
      <w:r>
        <w:t xml:space="preserve"> </w:t>
      </w:r>
      <w:r>
        <w:t xml:space="preserve">Osobista wiadomość od dr. Michaela C. Loehrera.</w:t>
      </w:r>
    </w:p>
  </w:footnote>
  <w:footnote w:id="261">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(Berlin: Walter de Gruyter, 1994).</w:t>
      </w:r>
    </w:p>
  </w:footnote>
  <w:footnote w:id="262">
    <w:p>
      <w:pPr>
        <w:pStyle w:val="FootnoteText"/>
      </w:pPr>
      <w:r>
        <w:rPr>
          <w:rStyle w:val="FootnoteReference"/>
        </w:rPr>
        <w:footnoteRef/>
      </w:r>
      <w:r>
        <w:t xml:space="preserve"> </w:t>
      </w:r>
      <w:r>
        <w:t xml:space="preserve">Barbara Aland, Gerd Mink i Klaus Wachtel, red.,</w:t>
      </w:r>
      <w:r>
        <w:t xml:space="preserve"> </w:t>
      </w:r>
      <w:r>
        <w:rPr>
          <w:iCs/>
          <w:i/>
        </w:rPr>
        <w:t xml:space="preserve">Novum Testamentum Graecum, Editio Critica Maior</w:t>
      </w:r>
      <w:r>
        <w:t xml:space="preserve"> </w:t>
      </w:r>
      <w:r>
        <w:t xml:space="preserve">(Stuttgart: Deutsche Bibelgesellschaft, 1997).</w:t>
      </w:r>
    </w:p>
  </w:footnote>
  <w:footnote w:id="263">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tekstu ciągłego sprawdzonych przez Robinsona. Sprawdził on również pewną liczbę lekcjonarzy.</w:t>
      </w:r>
    </w:p>
  </w:footnote>
  <w:footnote w:id="264">
    <w:p>
      <w:pPr>
        <w:pStyle w:val="FootnoteText"/>
      </w:pPr>
      <w:r>
        <w:rPr>
          <w:rStyle w:val="FootnoteReference"/>
        </w:rPr>
        <w:footnoteRef/>
      </w:r>
      <w:r>
        <w:t xml:space="preserve"> </w:t>
      </w:r>
      <w:r>
        <w:t xml:space="preserve">Ponieważ nie da się obiektywnie wykazać, że</w:t>
      </w:r>
      <w:r>
        <w:t xml:space="preserve"> </w:t>
      </w:r>
      <w:r>
        <w:rPr>
          <w:bCs/>
          <w:b/>
        </w:rPr>
        <w:t xml:space="preserve">M</w:t>
      </w:r>
      <w:r>
        <w:rPr>
          <w:vertAlign w:val="superscript"/>
          <w:bCs/>
          <w:b/>
        </w:rPr>
        <w:t xml:space="preserve">7</w:t>
      </w:r>
      <w:r>
        <w:t xml:space="preserve"> </w:t>
      </w:r>
      <w:r>
        <w:t xml:space="preserve">zależy od</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nie powinno się przywoływać tej wyimaginowanej zależności jako istotnej dla wieku i natury tego typu tekstu.</w:t>
      </w:r>
    </w:p>
  </w:footnote>
  <w:footnote w:id="265">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w:t>
      </w:r>
    </w:p>
  </w:footnote>
  <w:footnote w:id="266">
    <w:p>
      <w:pPr>
        <w:pStyle w:val="FootnoteText"/>
      </w:pPr>
      <w:r>
        <w:rPr>
          <w:rStyle w:val="FootnoteReference"/>
        </w:rPr>
        <w:footnoteRef/>
      </w:r>
      <w:r>
        <w:t xml:space="preserve"> </w:t>
      </w:r>
      <w:r>
        <w:t xml:space="preserve">Ignorowanie jasnych dowodów, na które zwrócono komuś uwagę, i dalsze rozpowszechnianie twierdzenia, o którym wie się, że jest fałszywe, jest przewrotnością.</w:t>
      </w:r>
    </w:p>
  </w:footnote>
  <w:footnote w:id="267">
    <w:p>
      <w:pPr>
        <w:pStyle w:val="FootnoteText"/>
      </w:pPr>
      <w:r>
        <w:rPr>
          <w:rStyle w:val="FootnoteReference"/>
        </w:rPr>
        <w:footnoteRef/>
      </w:r>
      <w:r>
        <w:t xml:space="preserve"> </w:t>
      </w:r>
      <w:r>
        <w:t xml:space="preserve">Nawiasem mówiąc, powszechnie wiadomo, że lekcjonarze nie zawierają lekcji z Objawienia Jana. Niewiele osób wie, że niektóre manuskrypty</w:t>
      </w:r>
      <w:r>
        <w:t xml:space="preserve"> </w:t>
      </w:r>
      <w:r>
        <w:rPr>
          <w:bCs/>
          <w:b/>
        </w:rPr>
        <w:t xml:space="preserve">f</w:t>
      </w:r>
      <w:r>
        <w:rPr>
          <w:vertAlign w:val="superscript"/>
          <w:bCs/>
          <w:b/>
        </w:rPr>
        <w:t xml:space="preserve">35</w:t>
      </w:r>
      <w:r>
        <w:t xml:space="preserve"> </w:t>
      </w:r>
      <w:r>
        <w:t xml:space="preserve">zawierają aparat liturgiczny w Objawieniu Jana. Czy nie jest to coś, co zasługuje na dalsze badanie?</w:t>
      </w:r>
    </w:p>
  </w:footnote>
  <w:footnote w:id="269">
    <w:p>
      <w:pPr>
        <w:pStyle w:val="FootnoteText"/>
      </w:pPr>
      <w:r>
        <w:rPr>
          <w:rStyle w:val="FootnoteReference"/>
        </w:rPr>
        <w:footnoteRef/>
      </w:r>
      <w:r>
        <w:t xml:space="preserve"> </w:t>
      </w:r>
      <w:r>
        <w:t xml:space="preserve">Ustaliłem archetypalną formę</w:t>
      </w:r>
      <w:r>
        <w:t xml:space="preserve"> </w:t>
      </w:r>
      <w:r>
        <w:rPr>
          <w:bCs/>
          <w:b/>
        </w:rPr>
        <w:t xml:space="preserve">f</w:t>
      </w:r>
      <w:r>
        <w:rPr>
          <w:vertAlign w:val="superscript"/>
          <w:bCs/>
          <w:b/>
        </w:rPr>
        <w:t xml:space="preserve">35</w:t>
      </w:r>
      <w:r>
        <w:t xml:space="preserve"> </w:t>
      </w:r>
      <w:r>
        <w:t xml:space="preserve">dla Ewangelii Marka na podstawie pełnych kolacjonowań 53 przedstawicieli rodziny przedstawionych w poniższej tabeli. Wyniki zapisano w moim pełnym aparacie</w:t>
      </w:r>
      <w:r>
        <w:t xml:space="preserve"> </w:t>
      </w:r>
      <w:r>
        <w:rPr>
          <w:bCs/>
          <w:b/>
        </w:rPr>
        <w:t xml:space="preserve">f</w:t>
      </w:r>
      <w:r>
        <w:rPr>
          <w:vertAlign w:val="superscript"/>
          <w:bCs/>
          <w:b/>
        </w:rPr>
        <w:t xml:space="preserve">35</w:t>
      </w:r>
      <w:r>
        <w:t xml:space="preserve"> </w:t>
      </w:r>
      <w:r>
        <w:t xml:space="preserve">dla Ewangelii Marka. Istnieje siedem podziałów oscylujących wokół 20%, przy czym cztery z nich są alternatywnymi pisowniami tego samego słowa. Istnieją dwa podziały oscylujące wokół 25%. Żaden z tych dziewięciu nie jest poważnym kandydatem do formy archetypalnej. Istnieje tylko jeden poważny podział, oscylujący wokół 40%, w 13,31. Czy czasownik odnoszący się do „nieba i ziemi” ma liczbę pojedynczą czy mnogą? W języku angielskim tłumaczeniem obu jest „przeminą”, są to więc dwa sposoby powiedzenia tego samego. Chociaż liczba mnoga ma znaczne rozmieszczenie geograficzne, liczba pojedyncza ma znacznie większe. Po obu stronach są dobrzy przedstawiciele, lecz pięć najlepszych kopii ma liczbę pojedynczą. Spośród pięciu manuskryptów z XI wieku cztery mają liczbę pojedynczą. Po zsumowaniu wszystkiego pierwszeństwo otrzymuje liczba pojedyncza.</w:t>
      </w:r>
    </w:p>
  </w:footnote>
  <w:footnote w:id="270">
    <w:p>
      <w:pPr>
        <w:pStyle w:val="FootnoteText"/>
      </w:pPr>
      <w:r>
        <w:rPr>
          <w:rStyle w:val="FootnoteReference"/>
        </w:rPr>
        <w:footnoteRef/>
      </w:r>
      <w:r>
        <w:t xml:space="preserve"> </w:t>
      </w:r>
      <w:r>
        <w:t xml:space="preserve">Komuś, kto nigdy nie kolacjonował greckiego manuskryptu, mogę powiedzieć, że jest to niewolnicza praca, zwykła harówka. Skolacjonowanie jednej kopii księgi wielkości Ewangelii Marka zajmuje kilka dni. Dlaczego więc to robię? Podstawowym względem jest przekonanie, że księgi Nowego Testamentu są natchnione przez Boga, są spisanym objawieniem Suwerennego Stwórcy. Takie objawienie ma obiektywny autorytet i ważne staje się posiadanie precyzyjnych oryginalnych sformułowań. Gdyby Ewangelia Marka była jedynie fragmentem zwykłej literatury starożytnej, precyzyjne oryginalne sformułowania nie miałyby większego znaczenia. I co z tego? Jaką czyniłoby to różnicę?</w:t>
      </w:r>
    </w:p>
  </w:footnote>
  <w:footnote w:id="271">
    <w:p>
      <w:pPr>
        <w:pStyle w:val="FootnoteText"/>
      </w:pPr>
      <w:r>
        <w:rPr>
          <w:rStyle w:val="FootnoteReference"/>
        </w:rPr>
        <w:footnoteRef/>
      </w:r>
      <w:r>
        <w:t xml:space="preserve"> </w:t>
      </w:r>
      <w:r>
        <w:t xml:space="preserve">Zauważ, że jego „średni” tekst nie obejmowałby odczytu tam, gdzie podział wewnętrzny był taki, iż nie istniała większość, a skoro użył tylko sześciu manuskryptów, co robił, gdy dzieliły się po równo?</w:t>
      </w:r>
    </w:p>
  </w:footnote>
  <w:footnote w:id="272">
    <w:p>
      <w:pPr>
        <w:pStyle w:val="FootnoteText"/>
      </w:pPr>
      <w:r>
        <w:rPr>
          <w:rStyle w:val="FootnoteReference"/>
        </w:rPr>
        <w:footnoteRef/>
      </w:r>
      <w:r>
        <w:t xml:space="preserve"> </w:t>
      </w:r>
      <w:r>
        <w:t xml:space="preserve">E.C. Colwell, „The Significance of Grouping of New Testament Manuscripts”,</w:t>
      </w:r>
      <w:r>
        <w:t xml:space="preserve"> </w:t>
      </w:r>
      <w:r>
        <w:rPr>
          <w:iCs/>
          <w:i/>
        </w:rPr>
        <w:t xml:space="preserve">New Testament Studies</w:t>
      </w:r>
      <w:r>
        <w:t xml:space="preserve"> </w:t>
      </w:r>
      <w:r>
        <w:t xml:space="preserve">IV (1957-1958), s. 86-87. Por. także Colwell, „Genealogical Method”, s. 119-123. Colwell podąża za Kenyonem i używa określenia „typ tekstu Beta” w odniesieniu do dzisiejszego tekstu „aleksandryjskiego”, podczas gdy Hort używał określenia „grupa b” w odniesieniu do swojego tekstu „zachodniego”.</w:t>
      </w:r>
    </w:p>
  </w:footnote>
  <w:footnote w:id="273">
    <w:p>
      <w:pPr>
        <w:pStyle w:val="FootnoteText"/>
      </w:pPr>
      <w:r>
        <w:rPr>
          <w:rStyle w:val="FootnoteReference"/>
        </w:rPr>
        <w:footnoteRef/>
      </w:r>
      <w:r>
        <w:t xml:space="preserve"> </w:t>
      </w:r>
      <w:r>
        <w:t xml:space="preserve">Zauważ, że łączna reprezentacja tego typu tekstu wynosi zaledwie trzynaście manuskryptów (w Ewangeliach) i liczba ta nie wzrosła znacząco od czasów Colwella (sześćdziesiąt lat temu) — przypomnijmy jednak, że nie ma on możliwego do wykazania archetypu. Dla kontrastu skolacjonowane przeze mnie pięćdziesiąt jeden manuskryptów</w:t>
      </w:r>
      <w:r>
        <w:t xml:space="preserve"> </w:t>
      </w:r>
      <w:r>
        <w:rPr>
          <w:bCs/>
          <w:b/>
        </w:rPr>
        <w:t xml:space="preserve">f</w:t>
      </w:r>
      <w:r>
        <w:rPr>
          <w:vertAlign w:val="superscript"/>
          <w:bCs/>
          <w:b/>
        </w:rPr>
        <w:t xml:space="preserve">35</w:t>
      </w:r>
      <w:r>
        <w:t xml:space="preserve"> </w:t>
      </w:r>
      <w:r>
        <w:t xml:space="preserve">reprezentuje tylko około 20% zachowanych przedstawicieli rodziny w Ewangeliach (około 250 manuskryptów). Pozostaje się przekonać, ile dalszych rodzin w obrębie masy bizantyjskiej można zidentyfikować jako mające jedną możliwą do wykazania formę archetypalną, na podstawie pełnego kolacjonowania wszystkich jej przedstawicieli (albo przynajmniej wystarczającej ich części, by ustalić archetyp). Dla tomów</w:t>
      </w:r>
      <w:r>
        <w:t xml:space="preserve"> </w:t>
      </w:r>
      <w:r>
        <w:rPr>
          <w:iCs/>
          <w:i/>
        </w:rPr>
        <w:t xml:space="preserve">TuT</w:t>
      </w:r>
      <w:r>
        <w:t xml:space="preserve"> </w:t>
      </w:r>
      <w:r>
        <w:t xml:space="preserve">obejmujących pierwszych dziesięć rozdziałów Ewangelii Jana</w:t>
      </w:r>
      <w:r>
        <w:t xml:space="preserve"> </w:t>
      </w:r>
      <w:r>
        <w:rPr>
          <w:iCs/>
          <w:i/>
        </w:rPr>
        <w:t xml:space="preserve">INTF</w:t>
      </w:r>
      <w:r>
        <w:t xml:space="preserve"> </w:t>
      </w:r>
      <w:r>
        <w:t xml:space="preserve">skolacjonował około 1875 manuskryptów dla 153 zestawów wariantów. Strony 54-90 pierwszego tomu zawierają listę „grupowań” manuskryptów, poza ich</w:t>
      </w:r>
      <w:r>
        <w:t xml:space="preserve"> </w:t>
      </w:r>
      <w:r>
        <w:rPr>
          <w:bCs/>
          <w:b/>
        </w:rPr>
        <w:t xml:space="preserve">K</w:t>
      </w:r>
      <w:r>
        <w:rPr>
          <w:vertAlign w:val="superscript"/>
          <w:bCs/>
          <w:b/>
        </w:rPr>
        <w:t xml:space="preserve">r</w:t>
      </w:r>
      <w:r>
        <w:t xml:space="preserve"> </w:t>
      </w:r>
      <w:r>
        <w:t xml:space="preserve">największa grupa ma 53 manuskrypty i przewodzi jej manuskrypt 2103. Liczba grup jest oszałamiająca. Ponadto, z nielicznymi wyjątkami, grupy lub rodziny zidentyfikowane przez von Sodena i innych ograniczają się do Ewangelii, nie istnieją w 27 księgach tworzących nasz kanon Nowego Testamentu. Jeśli jednak Bóg natchnął wszystkie 27 ksiąg, musiał zachować wszystkie 27 ksiąg (bo po co w przeciwnym razie je natchnąć). Ponieważ Autograf jest archetypem w najpełniejszym znaczeniu, każdy kandydat do tego zachowania powinien mieć archetyp, archetyp ustalony empirycznie, i to dla wszystkich 27 ksiąg — w chwili pisania tych słów istnieje tylko jeden: Rodzina 35.</w:t>
      </w:r>
    </w:p>
  </w:footnote>
  <w:footnote w:id="274">
    <w:p>
      <w:pPr>
        <w:pStyle w:val="FootnoteText"/>
      </w:pPr>
      <w:r>
        <w:rPr>
          <w:rStyle w:val="FootnoteReference"/>
        </w:rPr>
        <w:footnoteRef/>
      </w:r>
      <w:r>
        <w:t xml:space="preserve"> </w:t>
      </w:r>
      <w:r>
        <w:t xml:space="preserve">Podaję miejsce pozyskania manuskryptu, jeśli różni się ono od miejsca jego obecnego przechowywania, na podstawie dostępnych informacji.</w:t>
      </w:r>
    </w:p>
  </w:footnote>
  <w:footnote w:id="275">
    <w:p>
      <w:pPr>
        <w:pStyle w:val="FootnoteText"/>
      </w:pPr>
      <w:r>
        <w:rPr>
          <w:rStyle w:val="FootnoteReference"/>
        </w:rPr>
        <w:footnoteRef/>
      </w:r>
      <w:r>
        <w:t xml:space="preserve"> </w:t>
      </w:r>
      <w:r>
        <w:t xml:space="preserve">Powtarzam tutaj zdanie z akapitu Colwella: „Wyniki te przekonująco pokazują, że każda próba odtworzenia archetypu typu tekstu Beta na podstawie ilościowej jest skazana na niepowodzenie”. „Wyniki te przekonująco pokazują” coś jeszcze: kopistów tych nie obciążał żaden szczególny szacunek ani wzgląd na to, co kopiowali. Oczywiście nie wierzyli, że kopiują święty tekst, co każe się zastanowić, dlaczego poświęcali temu czas i materiał. Widzę jedno wyjaśnienie, które ma sens: celowo wypaczali tekst, przypuszczalnie pod wpływem szatańskim lub demonicznym. Dla kontrastu staranność, z jaką większość kopistów</w:t>
      </w:r>
      <w:r>
        <w:t xml:space="preserve"> </w:t>
      </w:r>
      <w:r>
        <w:rPr>
          <w:bCs/>
          <w:b/>
        </w:rPr>
        <w:t xml:space="preserve">f</w:t>
      </w:r>
      <w:r>
        <w:rPr>
          <w:vertAlign w:val="superscript"/>
          <w:bCs/>
          <w:b/>
        </w:rPr>
        <w:t xml:space="preserve">35</w:t>
      </w:r>
      <w:r>
        <w:t xml:space="preserve"> </w:t>
      </w:r>
      <w:r>
        <w:t xml:space="preserve">wykonywała swoją pracę, wskazuje na wysoki stopień szacunku dla kopiowanego tekstu. Gdyby Bogu zależało na zachowaniu Jego Tekstu, jakiego rodzaju kopisty by użył? Jakiego rodzaju kopistę Duch Święty chroniłby i błogosławił? (Ponieważ istnieją zarówno Bóg, jak i Szatan, ktoś, kto wyklucza czynnik nadprzyrodzony ze swojego modelu, jest skrajnie naiwny).</w:t>
      </w:r>
    </w:p>
  </w:footnote>
  <w:footnote w:id="277">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279">
    <w:p>
      <w:pPr>
        <w:pStyle w:val="FootnoteText"/>
      </w:pPr>
      <w:r>
        <w:rPr>
          <w:rStyle w:val="FootnoteReference"/>
        </w:rPr>
        <w:footnoteRef/>
      </w:r>
      <w:r>
        <w:t xml:space="preserve"> </w:t>
      </w:r>
      <w:r>
        <w:t xml:space="preserve">11 manuskryptów × 16 rozdziałów = 171 rozdziałów, tych jedenaście manuskryptów razem potrzebowało aż 171 rozdziałów, aby wprowadzić tyle wariantów, ile Kodeks B zdołał wprowadzić w jednym! Oznacza to, że Kodeks B jest 171 razy gorszy niż jedenastu przedstawicieli</w:t>
      </w:r>
      <w:r>
        <w:t xml:space="preserve"> </w:t>
      </w:r>
      <w:r>
        <w:rPr>
          <w:bCs/>
          <w:b/>
        </w:rPr>
        <w:t xml:space="preserve">f</w:t>
      </w:r>
      <w:r>
        <w:rPr>
          <w:vertAlign w:val="superscript"/>
          <w:bCs/>
          <w:b/>
        </w:rPr>
        <w:t xml:space="preserve">35</w:t>
      </w:r>
      <w:r>
        <w:t xml:space="preserve"> </w:t>
      </w:r>
      <w:r>
        <w:t xml:space="preserve">razem wziętych. A jednak są tacy, którzy twierdzili, że B jest naszym „najlepszym” manuskryptem!</w:t>
      </w:r>
    </w:p>
  </w:footnote>
  <w:footnote w:id="280">
    <w:p>
      <w:pPr>
        <w:pStyle w:val="FootnoteText"/>
      </w:pPr>
      <w:r>
        <w:rPr>
          <w:rStyle w:val="FootnoteReference"/>
        </w:rPr>
        <w:footnoteRef/>
      </w:r>
      <w:r>
        <w:t xml:space="preserve"> </w:t>
      </w:r>
      <w:r>
        <w:t xml:space="preserve">To znaczy, że jedenaście manuskryptów ma między sobą szesnaście wariantów w całej księdze, czyli średnio po 1,5 wariantu na każdy manuskrypt w całej księdze.</w:t>
      </w:r>
    </w:p>
  </w:footnote>
  <w:footnote w:id="284">
    <w:p>
      <w:pPr>
        <w:pStyle w:val="FootnoteText"/>
      </w:pPr>
      <w:r>
        <w:rPr>
          <w:rStyle w:val="FootnoteReference"/>
        </w:rPr>
        <w:footnoteRef/>
      </w:r>
      <w:r>
        <w:t xml:space="preserve"> </w:t>
      </w:r>
      <w:r>
        <w:rPr>
          <w:iCs/>
          <w:i/>
        </w:rPr>
        <w:t xml:space="preserve">New Testament Greek Manuscripts—Romans</w:t>
      </w:r>
      <w:r>
        <w:t xml:space="preserve"> </w:t>
      </w:r>
      <w:r>
        <w:t xml:space="preserve">(Pasadena, Kalifornia: William Carey International University Press, 2001). W Ewangeliach Kodeks A jest marginalnie bizantyjski, lecz w Listach uznaje się go za dobrej jakości manuskrypt aleksandryjski. (Wydaje mi się, że pamiętam wyrażoną opinię, iż jest lepszy niż Alef, a nawet B).</w:t>
      </w:r>
    </w:p>
  </w:footnote>
  <w:footnote w:id="285">
    <w:p>
      <w:pPr>
        <w:pStyle w:val="FootnoteText"/>
      </w:pPr>
      <w:r>
        <w:rPr>
          <w:rStyle w:val="FootnoteReference"/>
        </w:rPr>
        <w:footnoteRef/>
      </w:r>
      <w:r>
        <w:t xml:space="preserve"> </w:t>
      </w:r>
      <w:r>
        <w:t xml:space="preserve">Komuś, kto nigdy nie kolacjonował greckiego manuskryptu, mogę powiedzieć, że jest to niewolnicza praca, zwykła harówka. Skolacjonowanie jednej kopii księgi wielkości Listu do Rzymian może zająć dwa pełne dni. Dlaczego więc to robię? Podstawowym względem jest przekonanie, że księgi Nowego Testamentu są natchnione przez Boga, są spisanym objawieniem Suwerennego Stwórcy. Takie objawienie ma obiektywny autorytet i ważne staje się posiadanie precyzyjnych oryginalnych sformułowań. Gdyby List do Rzymian był jedynie fragmentem zwykłej literatury starożytnej, precyzyjne oryginalne sformułowania nie miałyby większego znaczenia. I co z tego? Jaką czyniłoby to różnicę?</w:t>
      </w:r>
    </w:p>
  </w:footnote>
  <w:footnote w:id="286">
    <w:p>
      <w:pPr>
        <w:pStyle w:val="FootnoteText"/>
      </w:pPr>
      <w:r>
        <w:rPr>
          <w:rStyle w:val="FootnoteReference"/>
        </w:rPr>
        <w:footnoteRef/>
      </w:r>
      <w:r>
        <w:t xml:space="preserve"> </w:t>
      </w:r>
      <w:r>
        <w:t xml:space="preserve">Podaję miejsce pozyskania manuskryptu, jeśli różni się ono od miejsca jego obecnego przechowywania, na podstawie dostępnych informacji.</w:t>
      </w:r>
    </w:p>
  </w:footnote>
  <w:footnote w:id="287">
    <w:p>
      <w:pPr>
        <w:pStyle w:val="FootnoteText"/>
      </w:pPr>
      <w:r>
        <w:rPr>
          <w:rStyle w:val="FootnoteReference"/>
        </w:rPr>
        <w:footnoteRef/>
      </w:r>
      <w:r>
        <w:t xml:space="preserve"> </w:t>
      </w:r>
      <w:r>
        <w:t xml:space="preserve">Zawiera tylko 1,1-11,22.</w:t>
      </w:r>
    </w:p>
  </w:footnote>
  <w:footnote w:id="288">
    <w:p>
      <w:pPr>
        <w:pStyle w:val="FootnoteText"/>
      </w:pPr>
      <w:r>
        <w:rPr>
          <w:rStyle w:val="FootnoteReference"/>
        </w:rPr>
        <w:footnoteRef/>
      </w:r>
      <w:r>
        <w:t xml:space="preserve"> </w:t>
      </w:r>
      <w:r>
        <w:t xml:space="preserve">Jeśli mogę zapożyczyć stwierdzenie Colwella: „Wyniki te przekonująco pokazują, że każda próba odtworzenia archetypu typu tekstu Beta (aleksandryjskiego) na podstawie ilościowej jest skazana na niepowodzenie”. „Wyniki te przekonująco pokazują” coś jeszcze: kopistów tych nie obciążał żaden szczególny szacunek ani wzgląd na to, co kopiowali. Oczywiście nie wierzyli, że kopiują święty tekst, co każe się zastanowić, dlaczego poświęcali temu czas i materiał. Widzę jedno wyjaśnienie, które ma sens: celowo wypaczali tekst, przypuszczalnie pod wpływem szatańskim lub demonicznym. Dla kontrastu staranność, z jaką większość kopistów</w:t>
      </w:r>
      <w:r>
        <w:t xml:space="preserve"> </w:t>
      </w:r>
      <w:r>
        <w:rPr>
          <w:bCs/>
          <w:b/>
        </w:rPr>
        <w:t xml:space="preserve">f</w:t>
      </w:r>
      <w:r>
        <w:rPr>
          <w:vertAlign w:val="superscript"/>
          <w:bCs/>
          <w:b/>
        </w:rPr>
        <w:t xml:space="preserve">35</w:t>
      </w:r>
      <w:r>
        <w:t xml:space="preserve"> </w:t>
      </w:r>
      <w:r>
        <w:t xml:space="preserve">wykonywała swoją pracę, wskazuje na wysoki stopień szacunku dla kopiowanego tekstu. Gdyby Bogu zależało na zachowaniu Jego Tekstu, jakiego rodzaju kopisty by użył? Jakiego rodzaju kopistę Duch Święty chroniłby i błogosławił? (Ponieważ istnieją zarówno Bóg, jak i Szatan, ktoś, kto wyklucza czynnik nadprzyrodzony ze swojego modelu, jest skrajnie naiwny).</w:t>
      </w:r>
    </w:p>
  </w:footnote>
  <w:footnote w:id="290">
    <w:p>
      <w:pPr>
        <w:pStyle w:val="FootnoteText"/>
      </w:pPr>
      <w:r>
        <w:rPr>
          <w:rStyle w:val="FootnoteReference"/>
        </w:rPr>
        <w:footnoteRef/>
      </w:r>
      <w:r>
        <w:t xml:space="preserve"> </w:t>
      </w:r>
      <w:r>
        <w:t xml:space="preserve">Patrząc na powyższą listę, widać, że współczynnik staranności kopisty się zmieniał, około połowa zmian wystąpiła w ostatnich dwóch rozdziałach, między 5,13 a 9,15 nie ma żadnych zmian, przez cztery rozdziały wykonywał więc doskonałą pracę. W rozdziale 16 najwyraźniej uległ jakiemuś wpływowi zewnętrznemu. Mimo wszystko 1892 jest odpowiednim przedstawicielem oryginalnych sformułowań Listu do Rzymian.</w:t>
      </w:r>
    </w:p>
  </w:footnote>
  <w:footnote w:id="291">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292">
    <w:p>
      <w:pPr>
        <w:pStyle w:val="FootnoteText"/>
      </w:pPr>
      <w:r>
        <w:rPr>
          <w:rStyle w:val="FootnoteReference"/>
        </w:rPr>
        <w:footnoteRef/>
      </w:r>
      <w:r>
        <w:t xml:space="preserve"> </w:t>
      </w:r>
      <w:r>
        <w:t xml:space="preserve">Dobrze jednak pamiętać o tym, co napisano w 2 Liście do Koryntian 4,7: mamy „skarb” w „glinianych naczyniach”. Nawet mając w ręku doskonały Tekst, z powodu naszych wrodzonych ograniczeń nie jesteśmy zdolni w pełni go wykorzystać. Kto z nas może zagwarantować doskonałą interpretację tego doskonałego Tekstu? Potrzebna jest pokora.</w:t>
      </w:r>
    </w:p>
  </w:footnote>
  <w:footnote w:id="294">
    <w:p>
      <w:pPr>
        <w:pStyle w:val="FootnoteText"/>
      </w:pPr>
      <w:r>
        <w:rPr>
          <w:rStyle w:val="FootnoteReference"/>
        </w:rPr>
        <w:footnoteRef/>
      </w:r>
      <w:r>
        <w:t xml:space="preserve"> </w:t>
      </w:r>
      <w:r>
        <w:t xml:space="preserve">Jeśli podzielimy 43 przez 18, otrzymamy średnio około 2,4 wariantu dla każdego z osiemnastu manuskryptów w całej księdze. Jeśli weźmiemy przeciętny manuskrypt taki jak 204 (spośród tych 18), z jego trzema wariantami, i porównamy go z Kodeksem Alef, z jego 133 wariantami, 204 potrzebowałby aż 44 ksiąg wielkości Listu do Rzymian, aby wytworzyć tyle odejść od swojego archetypu, ile Alef wytworzył od swojego hipotetycznego archetypu w jednej księdze. 204 potrzebowałby aż 56 takich ksiąg, aby wytworzyć tyle takich odejść, co Kodeks B, i 68 w przypadku Kodeksu A! Naprawdę, łagodny czytelniku, jaką obiektywną podstawę może ktokolwiek przywołać dla preferowania tekstu „aleksandryjskiego”? Czynienie tego na podstawie subiektywnej preferencji jest zwykłym zabobonem.</w:t>
      </w:r>
    </w:p>
  </w:footnote>
  <w:footnote w:id="295">
    <w:p>
      <w:pPr>
        <w:pStyle w:val="FootnoteText"/>
      </w:pPr>
      <w:r>
        <w:rPr>
          <w:rStyle w:val="FootnoteReference"/>
        </w:rPr>
        <w:footnoteRef/>
      </w:r>
      <w:r>
        <w:t xml:space="preserve"> </w:t>
      </w:r>
      <w:r>
        <w:t xml:space="preserve">To znaczy, że osiemnaście manuskryptów ma między sobą piętnaście wariantów w całej księdze, czyli średnio po 0,83 wariantu na każdy manuskrypt w całej księdze — zaiste, niewiarygodnie staranny przekaz.</w:t>
      </w:r>
    </w:p>
  </w:footnote>
  <w:footnote w:id="301">
    <w:p>
      <w:pPr>
        <w:pStyle w:val="FootnoteText"/>
      </w:pPr>
      <w:r>
        <w:rPr>
          <w:rStyle w:val="FootnoteReference"/>
        </w:rPr>
        <w:footnoteRef/>
      </w:r>
      <w:r>
        <w:t xml:space="preserve"> </w:t>
      </w:r>
      <w:r>
        <w:t xml:space="preserve">Podaję miejsce i datę zgodnie z</w:t>
      </w:r>
      <w:r>
        <w:t xml:space="preserve"> </w:t>
      </w:r>
      <w:r>
        <w:rPr>
          <w:iCs/>
          <w:i/>
        </w:rPr>
        <w:t xml:space="preserve">Kurzgefasste Liste</w:t>
      </w:r>
      <w:r>
        <w:t xml:space="preserve"> </w:t>
      </w:r>
      <w:r>
        <w:t xml:space="preserve">(1994), chociaż muszę przyznać, że czasami mam wątpliwości co do dokładności datowania.</w:t>
      </w:r>
    </w:p>
  </w:footnote>
  <w:footnote w:id="302">
    <w:p>
      <w:pPr>
        <w:pStyle w:val="FootnoteText"/>
      </w:pPr>
      <w:r>
        <w:rPr>
          <w:rStyle w:val="FootnoteReference"/>
        </w:rPr>
        <w:footnoteRef/>
      </w:r>
      <w:r>
        <w:t xml:space="preserve"> </w:t>
      </w:r>
      <w:r>
        <w:t xml:space="preserve">Chociaż 18 znajduje się obecnie w Paryżu, został sporządzony w Konstantynopolu.</w:t>
      </w:r>
    </w:p>
  </w:footnote>
  <w:footnote w:id="303">
    <w:p>
      <w:pPr>
        <w:pStyle w:val="FootnoteText"/>
      </w:pPr>
      <w:r>
        <w:rPr>
          <w:rStyle w:val="FootnoteReference"/>
        </w:rPr>
        <w:footnoteRef/>
      </w:r>
      <w:r>
        <w:t xml:space="preserve"> </w:t>
      </w:r>
      <w:r>
        <w:t xml:space="preserve">Chociaż 35 znajduje się obecnie w Paryżu, został pozyskany na obszarze egejskim.</w:t>
      </w:r>
    </w:p>
  </w:footnote>
  <w:footnote w:id="305">
    <w:p>
      <w:pPr>
        <w:pStyle w:val="FootnoteText"/>
      </w:pPr>
      <w:r>
        <w:rPr>
          <w:rStyle w:val="FootnoteReference"/>
        </w:rPr>
        <w:footnoteRef/>
      </w:r>
      <w:r>
        <w:t xml:space="preserve"> </w:t>
      </w:r>
      <w:r>
        <w:t xml:space="preserve">18, 928, 1864 i 2723 sporządzono odpowiednio w Konstantynopolu, Dionysiu, Stavronikicie i Trikali — uważam za praktycznie niemożliwe, by miały wspólny egzemplarz (oczywiście mogą łączyć się gdzieś dalej wstecz w linii).</w:t>
      </w:r>
    </w:p>
  </w:footnote>
  <w:footnote w:id="306">
    <w:p>
      <w:pPr>
        <w:pStyle w:val="FootnoteText"/>
      </w:pPr>
      <w:r>
        <w:rPr>
          <w:rStyle w:val="FootnoteReference"/>
        </w:rPr>
        <w:footnoteRef/>
      </w:r>
      <w:r>
        <w:t xml:space="preserve"> </w:t>
      </w:r>
      <w:r>
        <w:t xml:space="preserve">W rzeczywistości skolacjonowałem już 39 przedstawicieli rodziny dla 1 Listu do Tesaloniczan i 38 dla 2 Listu do Tesaloniczan. Prawdopodobnie reprezentują co najmniej 40% wszystkich zachowanych członków rodziny, naprawdę nie może więc być wątpliwości, że poprawnie reprezentują archetyp rodziny.</w:t>
      </w:r>
    </w:p>
  </w:footnote>
  <w:footnote w:id="307">
    <w:p>
      <w:pPr>
        <w:pStyle w:val="FootnoteText"/>
      </w:pPr>
      <w:r>
        <w:rPr>
          <w:rStyle w:val="FootnoteReference"/>
        </w:rPr>
        <w:footnoteRef/>
      </w:r>
      <w:r>
        <w:t xml:space="preserve"> </w:t>
      </w:r>
      <w:r>
        <w:t xml:space="preserve">Znalezienie na końcu manuskryptu kolofonu, w którym kopista wzywa Boga, prosząc Go o miłosierdzie, a nawet o uznanie i błogosławieństwo, nie jest niczym niezwykłym.</w:t>
      </w:r>
    </w:p>
  </w:footnote>
  <w:footnote w:id="309">
    <w:p>
      <w:pPr>
        <w:pStyle w:val="FootnoteText"/>
      </w:pPr>
      <w:r>
        <w:rPr>
          <w:rStyle w:val="FootnoteReference"/>
        </w:rPr>
        <w:footnoteRef/>
      </w:r>
      <w:r>
        <w:t xml:space="preserve"> </w:t>
      </w:r>
      <w:r>
        <w:t xml:space="preserve">444 jest manuskryptem mieszanym. W Liście Jakuba oraz 1 i 2 Liście Piotra w ogóle nie należy do</w:t>
      </w:r>
      <w:r>
        <w:t xml:space="preserve"> </w:t>
      </w:r>
      <w:r>
        <w:rPr>
          <w:bCs/>
          <w:b/>
        </w:rPr>
        <w:t xml:space="preserve">f</w:t>
      </w:r>
      <w:r>
        <w:rPr>
          <w:vertAlign w:val="superscript"/>
          <w:bCs/>
          <w:b/>
        </w:rPr>
        <w:t xml:space="preserve">35</w:t>
      </w:r>
      <w:r>
        <w:t xml:space="preserve">, natomiast w 1 Liście Jana jest bardzo marginalnym członkiem rodziny.</w:t>
      </w:r>
    </w:p>
  </w:footnote>
  <w:footnote w:id="311">
    <w:p>
      <w:pPr>
        <w:pStyle w:val="FootnoteText"/>
      </w:pPr>
      <w:r>
        <w:rPr>
          <w:rStyle w:val="FootnoteReference"/>
        </w:rPr>
        <w:footnoteRef/>
      </w:r>
      <w:r>
        <w:t xml:space="preserve"> </w:t>
      </w:r>
      <w:r>
        <w:t xml:space="preserve">Wykazałem to już wyżej dla Listów do Tesaloniczan i jestem w stanie uczynić to samo dla wszystkich ksiąg Nowego Testamentu. Oczywiście im dłuższa księga, tym większe prawdopodobieństwo, że kopista popełni jeden czy dwa nieumyślne błędy. Mimo to mam doskonałą kopię Listu do Rzymian (dość obszernego i złożonego) oraz jedną Ewangelii Mateusza (ni mniej, ni więcej, tylko Ewangelii!).</w:t>
      </w:r>
    </w:p>
  </w:footnote>
  <w:footnote w:id="312">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315">
    <w:p>
      <w:pPr>
        <w:pStyle w:val="FootnoteText"/>
      </w:pPr>
      <w:r>
        <w:rPr>
          <w:rStyle w:val="FootnoteReference"/>
        </w:rPr>
        <w:footnoteRef/>
      </w:r>
      <w:r>
        <w:t xml:space="preserve"> </w:t>
      </w:r>
      <w:r>
        <w:t xml:space="preserve">Profil Rodziny 35 znajduje się w Dodatku B do mojego</w:t>
      </w:r>
      <w:r>
        <w:t xml:space="preserve"> </w:t>
      </w:r>
      <w:r>
        <w:rPr>
          <w:iCs/>
          <w:i/>
        </w:rPr>
        <w:t xml:space="preserve">Identity IV</w:t>
      </w:r>
      <w:r>
        <w:t xml:space="preserve">, dostępnego bezpłatnie na mojej stronie www.prunch.org, lecz został również uwzględniony jako druga część niniejszej części II. Pełny archetyp jest wydrukowany w moim</w:t>
      </w:r>
      <w:r>
        <w:t xml:space="preserve"> </w:t>
      </w:r>
      <w:r>
        <w:rPr>
          <w:iCs/>
          <w:i/>
        </w:rPr>
        <w:t xml:space="preserve">The Greek New Testament according to Family 35</w:t>
      </w:r>
      <w:r>
        <w:t xml:space="preserve">.</w:t>
      </w:r>
    </w:p>
  </w:footnote>
  <w:footnote w:id="316">
    <w:p>
      <w:pPr>
        <w:pStyle w:val="FootnoteText"/>
      </w:pPr>
      <w:r>
        <w:rPr>
          <w:rStyle w:val="FootnoteReference"/>
        </w:rPr>
        <w:footnoteRef/>
      </w:r>
      <w:r>
        <w:t xml:space="preserve"> </w:t>
      </w:r>
      <w:r>
        <w:t xml:space="preserve">Zaledwie 49 w całym Nowym Testamencie jest po prostu zdumiewające.</w:t>
      </w:r>
    </w:p>
  </w:footnote>
  <w:footnote w:id="317">
    <w:p>
      <w:pPr>
        <w:pStyle w:val="FootnoteText"/>
      </w:pPr>
      <w:r>
        <w:rPr>
          <w:rStyle w:val="FootnoteReference"/>
        </w:rPr>
        <w:footnoteRef/>
      </w:r>
      <w:r>
        <w:t xml:space="preserve"> </w:t>
      </w:r>
      <w:r>
        <w:t xml:space="preserve">Wartości procentowe w nawiasach okrągłych zaczerpnięto z</w:t>
      </w:r>
      <w:r>
        <w:t xml:space="preserve"> </w:t>
      </w:r>
      <w:r>
        <w:rPr>
          <w:iCs/>
          <w:i/>
        </w:rPr>
        <w:t xml:space="preserve">Text und Textwert</w:t>
      </w:r>
      <w:r>
        <w:t xml:space="preserve">, natomiast te w nawiasach kwadratowych są moimi własnymi ekstrapolacjami.</w:t>
      </w:r>
    </w:p>
  </w:footnote>
  <w:footnote w:id="318">
    <w:p>
      <w:pPr>
        <w:pStyle w:val="FootnoteText"/>
      </w:pPr>
      <w:r>
        <w:rPr>
          <w:rStyle w:val="FootnoteReference"/>
        </w:rPr>
        <w:footnoteRef/>
      </w:r>
      <w:r>
        <w:t xml:space="preserve"> </w:t>
      </w:r>
      <w:r>
        <w:t xml:space="preserve">W Objawieniu Jana nie podaję wartości procentowych, ponieważ przedstawiam dowody w kategoriach rodzin, zainteresowany czytelnik powinien sprawdzić dowody w moim Tekście greckim.</w:t>
      </w:r>
    </w:p>
  </w:footnote>
  <w:footnote w:id="319">
    <w:p>
      <w:pPr>
        <w:pStyle w:val="FootnoteText"/>
      </w:pPr>
      <w:r>
        <w:rPr>
          <w:rStyle w:val="FootnoteReference"/>
        </w:rPr>
        <w:footnoteRef/>
      </w:r>
      <w:r>
        <w:t xml:space="preserve"> </w:t>
      </w:r>
      <w:r>
        <w:t xml:space="preserve">Dotyczy to wszystkich 49 powyższych przypadków. Czytelnik nie zostałby w żadnym miejscu całego Nowego Testamentu wprowadzony w błąd co do zamierzonego znaczenia!</w:t>
      </w:r>
    </w:p>
  </w:footnote>
  <w:footnote w:id="322">
    <w:p>
      <w:pPr>
        <w:pStyle w:val="FootnoteText"/>
      </w:pPr>
      <w:r>
        <w:rPr>
          <w:rStyle w:val="FootnoteReference"/>
        </w:rPr>
        <w:footnoteRef/>
      </w:r>
      <w:r>
        <w:t xml:space="preserve"> </w:t>
      </w:r>
      <w:r>
        <w:t xml:space="preserve">Czy wszystkie pojedyncze wzorce, a właściwie szeroka różnorodność wzorców (co najmniej 24), nie wskazują, że przekaz był normalny? Nie było narzuconej zgodności.</w:t>
      </w:r>
    </w:p>
  </w:footnote>
  <w:footnote w:id="324">
    <w:p>
      <w:pPr>
        <w:pStyle w:val="FootnoteText"/>
      </w:pPr>
      <w:r>
        <w:rPr>
          <w:rStyle w:val="FootnoteReference"/>
        </w:rPr>
        <w:footnoteRef/>
      </w:r>
      <w:r>
        <w:t xml:space="preserve"> </w:t>
      </w:r>
      <w:r>
        <w:t xml:space="preserve">„New Testament Textual Criticism: Search for Method”, praca magisterska M.Div., Princeton Theological Seminary, 1981, s. 40 — z kopii, którą przesłał mi osobiście.</w:t>
      </w:r>
    </w:p>
  </w:footnote>
  <w:footnote w:id="325">
    <w:p>
      <w:pPr>
        <w:pStyle w:val="FootnoteText"/>
      </w:pPr>
      <w:r>
        <w:rPr>
          <w:rStyle w:val="FootnoteReference"/>
        </w:rPr>
        <w:footnoteRef/>
      </w:r>
      <w:r>
        <w:t xml:space="preserve"> </w:t>
      </w:r>
      <w:r>
        <w:t xml:space="preserve">Istnieje stosunkowo niewiele manuskryptów (około 60) całego Nowego Testamentu (oraz około 150 dalszych, które mają wszystko oprócz Objawienia Jana), ze względu na objętość (oraz fizyczną i finansową trudność zgromadzenia wystarczającej ilości skóry) cztery Ewangelie kopiowano jako jednostkę, podobnie Listy Pawła (łącznie z Listem do Hebrajczyków) i Listy Ogólne. Dzieje Apostolskie zazwyczaj łączono z Listami Ogólnymi, lecz nie zawsze, istnieje też wiele manuskryptów (ponad 300), które łączą Dzieje Apostolskie, Pawła i Listy Ogólne. Objawienie Jana dodawano tu i ówdzie.</w:t>
      </w:r>
    </w:p>
  </w:footnote>
  <w:footnote w:id="326">
    <w:p>
      <w:pPr>
        <w:pStyle w:val="FootnoteText"/>
      </w:pPr>
      <w:r>
        <w:rPr>
          <w:rStyle w:val="FootnoteReference"/>
        </w:rPr>
        <w:footnoteRef/>
      </w:r>
      <w:r>
        <w:t xml:space="preserve"> </w:t>
      </w:r>
      <w:r>
        <w:t xml:space="preserve">Na pierwszy rzut oka, lecz po właściwym ponownym zdefiniowaniu druga może być łatwiejsza.</w:t>
      </w:r>
    </w:p>
  </w:footnote>
  <w:footnote w:id="327">
    <w:p>
      <w:pPr>
        <w:pStyle w:val="FootnoteText"/>
      </w:pPr>
      <w:r>
        <w:rPr>
          <w:rStyle w:val="FootnoteReference"/>
        </w:rPr>
        <w:footnoteRef/>
      </w:r>
      <w:r>
        <w:t xml:space="preserve"> </w:t>
      </w:r>
      <w:r>
        <w:t xml:space="preserve">Ponieważ Autografy nie zawierały podziałów na rozdziały ani wersety, a nawet podziału na słowa (sądząc po najwcześniejszych zachowanych manuskryptach), nic mniej niż cała księga nie będzie przekonujące.</w:t>
      </w:r>
    </w:p>
  </w:footnote>
  <w:footnote w:id="328">
    <w:p>
      <w:pPr>
        <w:pStyle w:val="FootnoteText"/>
      </w:pPr>
      <w:r>
        <w:rPr>
          <w:rStyle w:val="FootnoteReference"/>
        </w:rPr>
        <w:footnoteRef/>
      </w:r>
      <w:r>
        <w:t xml:space="preserve"> </w:t>
      </w:r>
      <w:r>
        <w:rPr>
          <w:iCs/>
          <w:i/>
        </w:rPr>
        <w:t xml:space="preserve">The Identity of the New Testament Text</w:t>
      </w:r>
      <w:r>
        <w:t xml:space="preserve"> </w:t>
      </w:r>
      <w:r>
        <w:t xml:space="preserve">(Nashville: Thomas Nelson Inc., Publishers, 1977) — obecnie jednak proszę zobaczyć niniejsze wydanie,</w:t>
      </w:r>
      <w:r>
        <w:t xml:space="preserve"> </w:t>
      </w:r>
      <w:r>
        <w:rPr>
          <w:iCs/>
          <w:i/>
        </w:rPr>
        <w:t xml:space="preserve">The Identity of the New Testament Text IV</w:t>
      </w:r>
      <w:r>
        <w:t xml:space="preserve">.</w:t>
      </w:r>
    </w:p>
  </w:footnote>
  <w:footnote w:id="329">
    <w:p>
      <w:pPr>
        <w:pStyle w:val="FootnoteText"/>
      </w:pPr>
      <w:r>
        <w:rPr>
          <w:rStyle w:val="FootnoteReference"/>
        </w:rPr>
        <w:footnoteRef/>
      </w:r>
      <w:r>
        <w:t xml:space="preserve"> </w:t>
      </w:r>
      <w:r>
        <w:t xml:space="preserve">Sam skolacjonowałem wszystkie czterdzieści trzy manuskrypty.</w:t>
      </w:r>
    </w:p>
  </w:footnote>
  <w:footnote w:id="330">
    <w:p>
      <w:pPr>
        <w:pStyle w:val="FootnoteText"/>
      </w:pPr>
      <w:r>
        <w:rPr>
          <w:rStyle w:val="FootnoteReference"/>
        </w:rPr>
        <w:footnoteRef/>
      </w:r>
      <w:r>
        <w:t xml:space="preserve"> </w:t>
      </w:r>
      <w:r>
        <w:t xml:space="preserve">Pomimo całej swojej nieokiełznanej odmienności 664 ma wszystkie diagnostyczne odczyty</w:t>
      </w:r>
      <w:r>
        <w:t xml:space="preserve"> </w:t>
      </w:r>
      <w:r>
        <w:rPr>
          <w:bCs/>
          <w:b/>
        </w:rPr>
        <w:t xml:space="preserve">f</w:t>
      </w:r>
      <w:r>
        <w:rPr>
          <w:vertAlign w:val="superscript"/>
          <w:bCs/>
          <w:b/>
        </w:rPr>
        <w:t xml:space="preserve">35</w:t>
      </w:r>
      <w:r>
        <w:t xml:space="preserve">, a zatem wyraźnie jest członkiem rodziny (choć niedbałym i rozwiązłym).</w:t>
      </w:r>
    </w:p>
  </w:footnote>
  <w:footnote w:id="331">
    <w:p>
      <w:pPr>
        <w:pStyle w:val="FootnoteText"/>
      </w:pPr>
      <w:r>
        <w:rPr>
          <w:rStyle w:val="FootnoteReference"/>
        </w:rPr>
        <w:footnoteRef/>
      </w:r>
      <w:r>
        <w:t xml:space="preserve"> </w:t>
      </w:r>
      <w:r>
        <w:t xml:space="preserve">W 986 brakuje 1 Listu Piotra 1,23-2,15.</w:t>
      </w:r>
    </w:p>
  </w:footnote>
  <w:footnote w:id="332">
    <w:p>
      <w:pPr>
        <w:pStyle w:val="FootnoteText"/>
      </w:pPr>
      <w:r>
        <w:rPr>
          <w:rStyle w:val="FootnoteReference"/>
        </w:rPr>
        <w:footnoteRef/>
      </w:r>
      <w:r>
        <w:t xml:space="preserve"> </w:t>
      </w:r>
      <w:r>
        <w:t xml:space="preserve">Manuskrypt 1754 ustępuje niedbałością jedynie 664, lecz wyraźnie jest członkiem rodziny.</w:t>
      </w:r>
    </w:p>
  </w:footnote>
  <w:footnote w:id="334">
    <w:p>
      <w:pPr>
        <w:pStyle w:val="FootnoteText"/>
      </w:pPr>
      <w:r>
        <w:rPr>
          <w:rStyle w:val="FootnoteReference"/>
        </w:rPr>
        <w:footnoteRef/>
      </w:r>
      <w:r>
        <w:t xml:space="preserve"> </w:t>
      </w:r>
      <w:r>
        <w:t xml:space="preserve">Zanim sam skolacjonowałem rękopis kursywny 18, byłem ograniczony do kolacjonowania odzwierciedlonego w</w:t>
      </w:r>
      <w:r>
        <w:t xml:space="preserve"> </w:t>
      </w:r>
      <w:r>
        <w:rPr>
          <w:iCs/>
          <w:i/>
        </w:rPr>
        <w:t xml:space="preserve">TuT</w:t>
      </w:r>
      <w:r>
        <w:t xml:space="preserve"> </w:t>
      </w:r>
      <w:r>
        <w:t xml:space="preserve">(</w:t>
      </w:r>
      <w:r>
        <w:rPr>
          <w:iCs/>
          <w:i/>
        </w:rPr>
        <w:t xml:space="preserve">Text und Textwert der Griechischen Handschriften des Neuen Testaments</w:t>
      </w:r>
      <w:r>
        <w:t xml:space="preserve"> </w:t>
      </w:r>
      <w:r>
        <w:t xml:space="preserve">[red. Kurt Aland, Berlin: Walter de Gruyter, 1987], tomy 9 i 11), które najwyraźniej przypisuje kopiście dwa błędy, jestem przekonany, że nie ma żadnego.</w:t>
      </w:r>
    </w:p>
  </w:footnote>
  <w:footnote w:id="335">
    <w:p>
      <w:pPr>
        <w:pStyle w:val="FootnoteText"/>
      </w:pPr>
      <w:r>
        <w:rPr>
          <w:rStyle w:val="FootnoteReference"/>
        </w:rPr>
        <w:footnoteRef/>
      </w:r>
      <w:r>
        <w:t xml:space="preserve"> </w:t>
      </w:r>
      <w:r>
        <w:t xml:space="preserve">W Liście Jakuba istnieją tylko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 znajdujących się w Dodatku.</w:t>
      </w:r>
    </w:p>
  </w:footnote>
  <w:footnote w:id="336">
    <w:p>
      <w:pPr>
        <w:pStyle w:val="FootnoteText"/>
      </w:pPr>
      <w:r>
        <w:rPr>
          <w:rStyle w:val="FootnoteReference"/>
        </w:rPr>
        <w:footnoteRef/>
      </w:r>
      <w:r>
        <w:t xml:space="preserve"> </w:t>
      </w:r>
      <w:r>
        <w:t xml:space="preserve">W 1 Liście Piotra istnieje osiem znaczących podziałów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37">
    <w:p>
      <w:pPr>
        <w:pStyle w:val="FootnoteText"/>
      </w:pPr>
      <w:r>
        <w:rPr>
          <w:rStyle w:val="FootnoteReference"/>
        </w:rPr>
        <w:footnoteRef/>
      </w:r>
      <w:r>
        <w:t xml:space="preserve"> </w:t>
      </w:r>
      <w:r>
        <w:t xml:space="preserve">W 2 Liście Piotra istnieją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38">
    <w:p>
      <w:pPr>
        <w:pStyle w:val="FootnoteText"/>
      </w:pPr>
      <w:r>
        <w:rPr>
          <w:rStyle w:val="FootnoteReference"/>
        </w:rPr>
        <w:footnoteRef/>
      </w:r>
      <w:r>
        <w:t xml:space="preserve"> </w:t>
      </w:r>
      <w:r>
        <w:t xml:space="preserve">W 1 Liście Jana istnieją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41">
    <w:p>
      <w:pPr>
        <w:pStyle w:val="FootnoteText"/>
      </w:pPr>
      <w:r>
        <w:rPr>
          <w:rStyle w:val="FootnoteReference"/>
        </w:rPr>
        <w:footnoteRef/>
      </w:r>
      <w:r>
        <w:t xml:space="preserve"> </w:t>
      </w:r>
      <w:r>
        <w:t xml:space="preserve">Jeśli ktoś chciałby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 — twierdzenie Horta, że jego tekst „syryjski” był wynikiem recenzji „lucjańskiej”, jest klasycznym przykładem (Burgon protestował wówczas przeciw całkowitemu brakowi dowodów i od tamtej pory nikt żadnych nie przedstawił). Przypominam czytelnikowi, że dowód należy rygorystycznie odróżniać od założenia wstępnego i interpretacji.</w:t>
      </w:r>
    </w:p>
  </w:footnote>
  <w:footnote w:id="342">
    <w:p>
      <w:pPr>
        <w:pStyle w:val="FootnoteText"/>
      </w:pPr>
      <w:r>
        <w:rPr>
          <w:rStyle w:val="FootnoteReference"/>
        </w:rPr>
        <w:footnoteRef/>
      </w:r>
      <w:r>
        <w:t xml:space="preserve"> </w:t>
      </w:r>
      <w:r>
        <w:t xml:space="preserve">Byłoby to prawdą dla tekstu archetypalnego każdej grupy 70-80 manuskryptów lub nawet mniejszej. Tym bardziej, jeśli archetyp jest Autografem.</w:t>
      </w:r>
    </w:p>
  </w:footnote>
  <w:footnote w:id="346">
    <w:p>
      <w:pPr>
        <w:pStyle w:val="FootnoteText"/>
      </w:pPr>
      <w:r>
        <w:rPr>
          <w:rStyle w:val="FootnoteReference"/>
        </w:rPr>
        <w:footnoteRef/>
      </w:r>
      <w:r>
        <w:t xml:space="preserve"> </w:t>
      </w:r>
      <w:r>
        <w:t xml:space="preserve">W rzeczy samej, dla Listu Jakuba redaktorzy uwzględnili 70 manuskryptów, które sklasyfikowali jako bizantyjskie, lecz dla 1 Listu Piotra zmniejszyli tę liczbę do 51, a dla 2 Listu Piotra do 44. Dla 1 Listu Jana zmniejszono ją do 41 — można by dojść do wniosku, że Barbara była jeszcze bardziej radykalna niż Kurt w swojej pogardzie dla manuskryptów bizantyjskich.</w:t>
      </w:r>
    </w:p>
  </w:footnote>
  <w:footnote w:id="347">
    <w:p>
      <w:pPr>
        <w:pStyle w:val="FootnoteText"/>
      </w:pPr>
      <w:r>
        <w:rPr>
          <w:rStyle w:val="FootnoteReference"/>
        </w:rPr>
        <w:footnoteRef/>
      </w:r>
      <w:r>
        <w:t xml:space="preserve"> </w:t>
      </w:r>
      <w:r>
        <w:t xml:space="preserve">Rozumiem, że ktoś może powiedzieć: „Chwileczkę, na jakiej podstawie mówi pan, że wszystkie te niezależne manuskrypty reprezentują linie przekazu?”. Otóż poświadczane przez nie odczyty nie są tego rodzaju, by kopista wymyślił je z własnej inicjatywy. Jeśli kopista go nie wymyślił, odczyt znajdował się w jego egzemplarzu. Jeśli odczyt znajdował się w jego egzemplarzu, mamy linię przekazu. Aby spróbować ocenić długość „linii” oraz wszelkie relacje między nimi, potrzebujemy pełnych kolacjonowań znacznie większej liczby manuskryptów.</w:t>
      </w:r>
    </w:p>
  </w:footnote>
  <w:footnote w:id="349">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sprawdzonych przez Robinsona. (Są to mikrofilmy przechowywane przez</w:t>
      </w:r>
      <w:r>
        <w:t xml:space="preserve"> </w:t>
      </w:r>
      <w:r>
        <w:rPr>
          <w:iCs/>
          <w:i/>
        </w:rPr>
        <w:t xml:space="preserve">Institut</w:t>
      </w:r>
      <w:r>
        <w:t xml:space="preserve"> </w:t>
      </w:r>
      <w:r>
        <w:t xml:space="preserve">w Münster. Wiemy obecnie, że istnieje znacznie więcej zachowanych manuskryptów, a prawdopodobnie jeszcze więcej takich, które nie są jeszcze „zachowane”).</w:t>
      </w:r>
    </w:p>
  </w:footnote>
  <w:footnote w:id="355">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w:t>
      </w:r>
      <w:r>
        <w:t xml:space="preserve"> </w:t>
      </w:r>
      <w:r>
        <w:rPr>
          <w:iCs/>
          <w:i/>
        </w:rPr>
        <w:t xml:space="preserve">Introduction</w:t>
      </w:r>
      <w:r>
        <w:t xml:space="preserve">, s. 133.</w:t>
      </w:r>
    </w:p>
  </w:footnote>
  <w:footnote w:id="356">
    <w:p>
      <w:pPr>
        <w:pStyle w:val="FootnoteText"/>
      </w:pPr>
      <w:r>
        <w:rPr>
          <w:rStyle w:val="FootnoteReference"/>
        </w:rPr>
        <w:footnoteRef/>
      </w:r>
      <w:r>
        <w:t xml:space="preserve"> </w:t>
      </w:r>
      <w:r>
        <w:t xml:space="preserve">Hort zasugerował wprawdzie Lucjana z Antiochii jako głównego sprawcę — sugestia była zarówno bezpodstawna, jak i niepoważna, ponieważ tak naprawdę nie przyjrzał się dowodom dostępnym w tamtym czasie. (Gdyby powtórzył tę sugestię dzisiaj, byłaby jawnie absurdalna).</w:t>
      </w:r>
    </w:p>
  </w:footnote>
  <w:footnote w:id="357">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 1987), tomy 9 i 11.</w:t>
      </w:r>
    </w:p>
  </w:footnote>
  <w:footnote w:id="359">
    <w:p>
      <w:pPr>
        <w:pStyle w:val="FootnoteText"/>
      </w:pPr>
      <w:r>
        <w:rPr>
          <w:rStyle w:val="FootnoteReference"/>
        </w:rPr>
        <w:footnoteRef/>
      </w:r>
      <w:r>
        <w:t xml:space="preserve"> </w:t>
      </w:r>
      <w:r>
        <w:t xml:space="preserve">Dla progu 95% tracimy kolejnych 35 manuskryptów, 385 ÷ 525 daje 73%. 75% manuskryptów odzwierciedla bardzo silną zgodność, a mimo to większość ma prywatne profile.</w:t>
      </w:r>
    </w:p>
  </w:footnote>
  <w:footnote w:id="360">
    <w:p>
      <w:pPr>
        <w:pStyle w:val="FootnoteText"/>
      </w:pPr>
      <w:r>
        <w:rPr>
          <w:rStyle w:val="FootnoteReference"/>
        </w:rPr>
        <w:footnoteRef/>
      </w:r>
      <w:r>
        <w:t xml:space="preserve"> </w:t>
      </w:r>
      <w:r>
        <w:t xml:space="preserve">K. Lake, R.P. Blake i Silva New, „The Caesarean Text of the Gospel of Mark”,</w:t>
      </w:r>
      <w:r>
        <w:t xml:space="preserve"> </w:t>
      </w:r>
      <w:r>
        <w:rPr>
          <w:iCs/>
          <w:i/>
        </w:rPr>
        <w:t xml:space="preserve">Harvard Theological Review</w:t>
      </w:r>
      <w:r>
        <w:t xml:space="preserve"> </w:t>
      </w:r>
      <w:r>
        <w:t xml:space="preserve">XXI (1928), s. 348-349.</w:t>
      </w:r>
    </w:p>
  </w:footnote>
  <w:footnote w:id="361">
    <w:p>
      <w:pPr>
        <w:pStyle w:val="FootnoteText"/>
      </w:pPr>
      <w:r>
        <w:rPr>
          <w:rStyle w:val="FootnoteReference"/>
        </w:rPr>
        <w:footnoteRef/>
      </w:r>
      <w:r>
        <w:t xml:space="preserve"> </w:t>
      </w:r>
      <w:r>
        <w:t xml:space="preserve">Osobiście odwiedziłem półwysep góry Athos w 2014 roku i mogę zagwarantować, że istnieje tam dwadzieścia niezależnych klasztorów oraz pewna liczba podporządkowanych.</w:t>
      </w:r>
    </w:p>
  </w:footnote>
  <w:footnote w:id="362">
    <w:p>
      <w:pPr>
        <w:pStyle w:val="FootnoteText"/>
      </w:pPr>
      <w:r>
        <w:rPr>
          <w:rStyle w:val="FootnoteReference"/>
        </w:rPr>
        <w:footnoteRef/>
      </w:r>
      <w:r>
        <w:t xml:space="preserve"> </w:t>
      </w:r>
      <w:r>
        <w:rPr>
          <w:iCs/>
          <w:i/>
        </w:rPr>
        <w:t xml:space="preserve">TuT</w:t>
      </w:r>
      <w:r>
        <w:t xml:space="preserve"> </w:t>
      </w:r>
      <w:r>
        <w:t xml:space="preserve">wymienia po jednym manuskrypcie dla Andreas i Dimitriu, lecz ich nie skolacjonował. Esfigmenu ma dodatkowe trzy manuskrypty, których nie skolacjonowano.</w:t>
      </w:r>
    </w:p>
  </w:footnote>
  <w:footnote w:id="364">
    <w:p>
      <w:pPr>
        <w:pStyle w:val="FootnoteText"/>
      </w:pPr>
      <w:r>
        <w:rPr>
          <w:rStyle w:val="FootnoteReference"/>
        </w:rPr>
        <w:footnoteRef/>
      </w:r>
      <w:r>
        <w:t xml:space="preserve"> </w:t>
      </w:r>
      <w:r>
        <w:t xml:space="preserve">Uważam wysoki współczynnik „chaotyczności” za cechę definiującą „aleksandryjskość”.</w:t>
      </w:r>
    </w:p>
  </w:footnote>
  <w:footnote w:id="365">
    <w:p>
      <w:pPr>
        <w:pStyle w:val="FootnoteText"/>
      </w:pPr>
      <w:r>
        <w:rPr>
          <w:rStyle w:val="FootnoteReference"/>
        </w:rPr>
        <w:footnoteRef/>
      </w:r>
      <w:r>
        <w:t xml:space="preserve"> </w:t>
      </w:r>
      <w:r>
        <w:rPr>
          <w:iCs/>
          <w:i/>
        </w:rPr>
        <w:t xml:space="preserve">TuT</w:t>
      </w:r>
      <w:r>
        <w:t xml:space="preserve"> </w:t>
      </w:r>
      <w:r>
        <w:t xml:space="preserve">uwzględnia dwa fragmenty uncjalne z VI wieku: 0285 ma jeden odczyt (spośród 98), a 0296 dwa. Tak skąpa podstawa pozwala nam jedynie zgadywać, że nie są bizantyjskie.</w:t>
      </w:r>
    </w:p>
  </w:footnote>
  <w:footnote w:id="366">
    <w:p>
      <w:pPr>
        <w:pStyle w:val="FootnoteText"/>
      </w:pPr>
      <w:r>
        <w:rPr>
          <w:rStyle w:val="FootnoteReference"/>
        </w:rPr>
        <w:footnoteRef/>
      </w:r>
      <w:r>
        <w:t xml:space="preserve"> </w:t>
      </w:r>
      <w:r>
        <w:t xml:space="preserve">Oczywiście Alef znajduje się obecnie w Londynie, lecz stał się zachowanym manuskryptem na Synaju, do dziś mnisi w klasztorze św. Katarzyny nazywają Tischendorfa „złodziejem”.</w:t>
      </w:r>
    </w:p>
  </w:footnote>
  <w:footnote w:id="367">
    <w:p>
      <w:pPr>
        <w:pStyle w:val="FootnoteText"/>
      </w:pPr>
      <w:r>
        <w:rPr>
          <w:rStyle w:val="FootnoteReference"/>
        </w:rPr>
        <w:footnoteRef/>
      </w:r>
      <w:r>
        <w:t xml:space="preserve"> </w:t>
      </w:r>
      <w:r>
        <w:t xml:space="preserve">Trzy ostatnie manuskrypty mają bardzo odmienne profile.</w:t>
      </w:r>
    </w:p>
  </w:footnote>
  <w:footnote w:id="368">
    <w:p>
      <w:pPr>
        <w:pStyle w:val="FootnoteText"/>
      </w:pPr>
      <w:r>
        <w:rPr>
          <w:rStyle w:val="FootnoteReference"/>
        </w:rPr>
        <w:footnoteRef/>
      </w:r>
      <w:r>
        <w:t xml:space="preserve"> </w:t>
      </w:r>
      <w:r>
        <w:t xml:space="preserve">Zauważ, że żaden manuskrypt nie osiąga doskonałego wyniku 87 dla LESART 1, a tylko cztery osiągają doskonały wynik 11 dla LESART 1/2.</w:t>
      </w:r>
    </w:p>
  </w:footnote>
  <w:footnote w:id="369">
    <w:p>
      <w:pPr>
        <w:pStyle w:val="FootnoteText"/>
      </w:pPr>
      <w:r>
        <w:rPr>
          <w:rStyle w:val="FootnoteReference"/>
        </w:rPr>
        <w:footnoteRef/>
      </w:r>
      <w:r>
        <w:t xml:space="preserve"> </w:t>
      </w:r>
      <w:r>
        <w:t xml:space="preserve">Pamiętaj, że patrzymy tylko na 98 zestawów wariantów — gdybyśmy mieli pełne kolacjonowania siedmiu ksiąg, niemal pewne jest, że żadne dwa manuskrypty nie byłyby identyczne (ze wszystkich źródeł), być może dla jednej księgi, im mniejszej, tym lepiej, można by znaleźć kilka. (Napisałem powyższe w 2004 roku, gdy dopiero zaczynałem naprawdę zwracać uwagę na</w:t>
      </w:r>
      <w:r>
        <w:t xml:space="preserve"> </w:t>
      </w:r>
      <w:r>
        <w:rPr>
          <w:bCs/>
          <w:b/>
        </w:rPr>
        <w:t xml:space="preserve">f</w:t>
      </w:r>
      <w:r>
        <w:rPr>
          <w:vertAlign w:val="superscript"/>
          <w:bCs/>
          <w:b/>
        </w:rPr>
        <w:t xml:space="preserve">35</w:t>
      </w:r>
      <w:r>
        <w:t xml:space="preserve"> </w:t>
      </w:r>
      <w:r>
        <w:t xml:space="preserve">— w rzeczywistości w obrębie</w:t>
      </w:r>
      <w:r>
        <w:t xml:space="preserve"> </w:t>
      </w:r>
      <w:r>
        <w:rPr>
          <w:u w:val="single"/>
        </w:rPr>
        <w:t xml:space="preserve">tej rodziny, biorąc pod uwagę tylko manuskrypty, które sam skolacjonowałem, możemy powiedzieć, co następuje</w:t>
      </w:r>
      <w:r>
        <w:t xml:space="preserve">: mam kopie trzydziestu identycznych manuskryptów zarówno dla 2, jak i 3 Listu Jana [nie są to identyczne listy], dwudziestu dziewięciu dla Listu do Filemona, dwudziestu dwóch dla Listu Judy, piętnastu dla 2 Listu do Tesaloniczan, dziewięciu dla Listu do Tytusa, po sześć dla Listu do Galacjan, Listu do Kolosan i 1 Listu do Tesaloniczan, po pięć dla Listu do Filipian i 2 Listu Piotra, po cztery dla Listu do Efezjan, Listu Jakuba i 1 Listu Jana, po trzy dla 2 Listu do Tymoteusza i 1 Listu Piotra oraz po dwa dla Listu do Rzymian i 1 Listu do Tymoteusza. W każdym przypadku nie jest to ten sam wybór manuskryptów, a pochodzą one ze wszystkich stron). Poza</w:t>
      </w:r>
      <w:r>
        <w:t xml:space="preserve"> </w:t>
      </w:r>
      <w:r>
        <w:rPr>
          <w:bCs/>
          <w:b/>
        </w:rPr>
        <w:t xml:space="preserve">f</w:t>
      </w:r>
      <w:r>
        <w:rPr>
          <w:vertAlign w:val="superscript"/>
          <w:bCs/>
          <w:b/>
        </w:rPr>
        <w:t xml:space="preserve">35</w:t>
      </w:r>
      <w:r>
        <w:t xml:space="preserve"> </w:t>
      </w:r>
      <w:r>
        <w:t xml:space="preserve">nadal zdziwiłbym się, gdybym znalazł identyczne kopie jakiejkolwiek księgi mającej ponad trzy rozdziały.</w:t>
      </w:r>
    </w:p>
  </w:footnote>
  <w:footnote w:id="370">
    <w:p>
      <w:pPr>
        <w:pStyle w:val="FootnoteText"/>
      </w:pPr>
      <w:r>
        <w:rPr>
          <w:rStyle w:val="FootnoteReference"/>
        </w:rPr>
        <w:footnoteRef/>
      </w:r>
      <w:r>
        <w:t xml:space="preserve"> </w:t>
      </w:r>
      <w:r>
        <w:t xml:space="preserve">Jednak przez stulecia ponad dziesięć osób próbowało go poprawiać, wiedziały więc, że tam był. 1243 i 1241 są niemal równie złe, a sporządzono je odpowiednio w XI i XII wieku.</w:t>
      </w:r>
    </w:p>
  </w:footnote>
  <w:footnote w:id="372">
    <w:p>
      <w:pPr>
        <w:pStyle w:val="FootnoteText"/>
      </w:pPr>
      <w:r>
        <w:rPr>
          <w:rStyle w:val="FootnoteReference"/>
        </w:rPr>
        <w:footnoteRef/>
      </w:r>
      <w:r>
        <w:t xml:space="preserve"> </w:t>
      </w:r>
      <w:r>
        <w:t xml:space="preserve">Ponownie przypominam czytelnikowi, że patrzymy tylko na 98 zestawów wariantów — gdybyśmy mieli pełne kolacjonowania siedmiu ksiąg, niemal pewne jest, że żadne dwa manuskrypty nie byłyby identyczne (dla siedmiu ksiąg, mam identyczne kopie jednej księgi). Przy pełnych kolacjonowaniach tych pięć bez wątpienia również okaże się odrębnych. (Skolacjonowawszy obecnie 43 manuskrypty Rodziny 35 dla siedmiu Listów Ogólnych, mam dwa, które są doskonałe we wszystkich siedmiu księgach, a cztery egzemplarze mogły być takie — pochodzą z różnych miejsc).</w:t>
      </w:r>
    </w:p>
  </w:footnote>
  <w:footnote w:id="375">
    <w:p>
      <w:pPr>
        <w:pStyle w:val="FootnoteText"/>
      </w:pPr>
      <w:r>
        <w:rPr>
          <w:rStyle w:val="FootnoteReference"/>
        </w:rPr>
        <w:footnoteRef/>
      </w:r>
      <w:r>
        <w:t xml:space="preserve"> </w:t>
      </w:r>
      <w:r>
        <w:t xml:space="preserve">Zobacz wyżej „Datowanie</w:t>
      </w:r>
      <w:r>
        <w:t xml:space="preserve"> </w:t>
      </w:r>
      <w:r>
        <w:rPr>
          <w:bCs/>
          <w:b/>
        </w:rPr>
        <w:t xml:space="preserve">K</w:t>
      </w:r>
      <w:r>
        <w:rPr>
          <w:vertAlign w:val="superscript"/>
          <w:bCs/>
          <w:b/>
        </w:rPr>
        <w:t xml:space="preserve">r</w:t>
      </w:r>
      <w:r>
        <w:t xml:space="preserve"> </w:t>
      </w:r>
      <w:r>
        <w:t xml:space="preserve">(alias</w:t>
      </w:r>
      <w:r>
        <w:t xml:space="preserve"> </w:t>
      </w:r>
      <w:r>
        <w:rPr>
          <w:bCs/>
          <w:b/>
        </w:rPr>
        <w:t xml:space="preserve">f</w:t>
      </w:r>
      <w:r>
        <w:rPr>
          <w:vertAlign w:val="superscript"/>
          <w:bCs/>
          <w:b/>
        </w:rPr>
        <w:t xml:space="preserve">35</w:t>
      </w:r>
      <w:r>
        <w:t xml:space="preserve">, dawniej</w:t>
      </w:r>
      <w:r>
        <w:t xml:space="preserve"> </w:t>
      </w:r>
      <w:r>
        <w:rPr>
          <w:bCs/>
          <w:b/>
        </w:rPr>
        <w:t xml:space="preserve">f</w:t>
      </w:r>
      <w:r>
        <w:rPr>
          <w:vertAlign w:val="superscript"/>
          <w:bCs/>
          <w:b/>
        </w:rPr>
        <w:t xml:space="preserve">18</w:t>
      </w:r>
      <w:r>
        <w:t xml:space="preserve">) ponownie rozważone”. (Zobacz także „O tekście</w:t>
      </w:r>
      <w:r>
        <w:t xml:space="preserve"> </w:t>
      </w:r>
      <w:r>
        <w:rPr>
          <w:iCs/>
          <w:i/>
        </w:rPr>
        <w:t xml:space="preserve">Pericope Adulterae</w:t>
      </w:r>
      <w:r>
        <w:t xml:space="preserve">” w części II).</w:t>
      </w:r>
    </w:p>
  </w:footnote>
  <w:footnote w:id="378">
    <w:p>
      <w:pPr>
        <w:pStyle w:val="FootnoteText"/>
      </w:pPr>
      <w:r>
        <w:rPr>
          <w:rStyle w:val="FootnoteReference"/>
        </w:rPr>
        <w:footnoteRef/>
      </w:r>
      <w:r>
        <w:t xml:space="preserve"> </w:t>
      </w:r>
      <w:r>
        <w:t xml:space="preserve">Odkładając na bok odczyty singularne, ponad 50% słów w Tekście będzie miało 100% poświadczenia, 80% słów będzie miało ponad 95% poświadczenia, 90% słów będzie miało ponad 90% poświadczenia, tylko w przypadku około 2% słów poświadczenie spadnie poniżej 80%. Uważam</w:t>
      </w:r>
      <w:r>
        <w:t xml:space="preserve"> </w:t>
      </w:r>
      <w:r>
        <w:rPr>
          <w:bCs/>
          <w:b/>
        </w:rPr>
        <w:t xml:space="preserve">f</w:t>
      </w:r>
      <w:r>
        <w:rPr>
          <w:vertAlign w:val="superscript"/>
          <w:bCs/>
          <w:b/>
        </w:rPr>
        <w:t xml:space="preserve">35</w:t>
      </w:r>
      <w:r>
        <w:t xml:space="preserve"> </w:t>
      </w:r>
      <w:r>
        <w:t xml:space="preserve">za podstawę, od której odeszły, w takim lub innym stopniu, wszystkie inne strumienie przekazu, dlatego ogólnie rzecz biorąc, większość bizantyjska pozostała przy</w:t>
      </w:r>
      <w:r>
        <w:t xml:space="preserve"> </w:t>
      </w:r>
      <w:r>
        <w:rPr>
          <w:bCs/>
          <w:b/>
        </w:rPr>
        <w:t xml:space="preserve">f</w:t>
      </w:r>
      <w:r>
        <w:rPr>
          <w:vertAlign w:val="superscript"/>
          <w:bCs/>
          <w:b/>
        </w:rPr>
        <w:t xml:space="preserve">35</w:t>
      </w:r>
      <w:r>
        <w:t xml:space="preserve">. Wynika z tego, że wykaz obejmuje jedynie przypadki, w których istnieje poważny podział w obrębie większości bizantyjskiej albo w których</w:t>
      </w:r>
      <w:r>
        <w:t xml:space="preserve"> </w:t>
      </w:r>
      <w:r>
        <w:rPr>
          <w:bCs/>
          <w:b/>
        </w:rPr>
        <w:t xml:space="preserve">f</w:t>
      </w:r>
      <w:r>
        <w:rPr>
          <w:vertAlign w:val="superscript"/>
          <w:bCs/>
          <w:b/>
        </w:rPr>
        <w:t xml:space="preserve">35</w:t>
      </w:r>
      <w:r>
        <w:t xml:space="preserve"> </w:t>
      </w:r>
      <w:r>
        <w:t xml:space="preserve">występuje samotnie (lub niemal samotnie) przeciwko tej większości.</w:t>
      </w:r>
    </w:p>
  </w:footnote>
  <w:footnote w:id="379">
    <w:p>
      <w:pPr>
        <w:pStyle w:val="FootnoteText"/>
      </w:pPr>
      <w:r>
        <w:rPr>
          <w:rStyle w:val="FootnoteReference"/>
        </w:rPr>
        <w:footnoteRef/>
      </w:r>
      <w:r>
        <w:t xml:space="preserve"> </w:t>
      </w:r>
      <w:r>
        <w:t xml:space="preserve">Na potrzeby tej części używam</w:t>
      </w:r>
      <w:r>
        <w:t xml:space="preserve"> </w:t>
      </w:r>
      <w:r>
        <w:rPr>
          <w:bCs/>
          <w:b/>
        </w:rPr>
        <w:t xml:space="preserve">K</w:t>
      </w:r>
      <w:r>
        <w:rPr>
          <w:vertAlign w:val="superscript"/>
          <w:bCs/>
          <w:b/>
        </w:rPr>
        <w:t xml:space="preserve">x</w:t>
      </w:r>
      <w:r>
        <w:t xml:space="preserve"> </w:t>
      </w:r>
      <w:r>
        <w:t xml:space="preserve">jako oznaczenia większości bizantyjskiej.</w:t>
      </w:r>
    </w:p>
  </w:footnote>
  <w:footnote w:id="380">
    <w:p>
      <w:pPr>
        <w:pStyle w:val="FootnoteText"/>
      </w:pPr>
      <w:r>
        <w:rPr>
          <w:rStyle w:val="FootnoteReference"/>
        </w:rPr>
        <w:footnoteRef/>
      </w:r>
      <w:r>
        <w:t xml:space="preserve"> </w:t>
      </w:r>
      <w:r>
        <w:t xml:space="preserve">Ponieważ</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różni się od</w:t>
      </w:r>
      <w:r>
        <w:t xml:space="preserve"> </w:t>
      </w:r>
      <w:r>
        <w:rPr>
          <w:bCs/>
          <w:b/>
        </w:rPr>
        <w:t xml:space="preserve">K</w:t>
      </w:r>
      <w:r>
        <w:rPr>
          <w:vertAlign w:val="superscript"/>
          <w:bCs/>
          <w:b/>
        </w:rPr>
        <w:t xml:space="preserve">x</w:t>
      </w:r>
      <w:r>
        <w:t xml:space="preserve">, jej 20% trzeba odjąć od 60%, co pozostawia równy podział w</w:t>
      </w:r>
      <w:r>
        <w:t xml:space="preserve"> </w:t>
      </w:r>
      <w:r>
        <w:rPr>
          <w:bCs/>
          <w:b/>
        </w:rPr>
        <w:t xml:space="preserve">K</w:t>
      </w:r>
      <w:r>
        <w:rPr>
          <w:vertAlign w:val="superscript"/>
          <w:bCs/>
          <w:b/>
        </w:rPr>
        <w:t xml:space="preserve">x</w:t>
      </w:r>
      <w:r>
        <w:t xml:space="preserve">.</w:t>
      </w:r>
    </w:p>
  </w:footnote>
  <w:footnote w:id="381">
    <w:p>
      <w:pPr>
        <w:pStyle w:val="FootnoteText"/>
      </w:pPr>
      <w:r>
        <w:rPr>
          <w:rStyle w:val="FootnoteReference"/>
        </w:rPr>
        <w:footnoteRef/>
      </w:r>
      <w:r>
        <w:t xml:space="preserve"> </w:t>
      </w:r>
      <w:r>
        <w:t xml:space="preserve">Jeśli wszystkie manuskrypty zostaną kiedyś skolacjonowane, mogą wyłonić się pewne mniejsze grupy (w przedziale 5%-10%) z obiektywnie określonym archetypem, lecz bardzo wątpię, by istniała większość manuskryptów mających jeden archetyp, podobnie jak w Objawieniu Jana, gdzie po prostu nie ma</w:t>
      </w:r>
      <w:r>
        <w:t xml:space="preserve"> </w:t>
      </w:r>
      <w:r>
        <w:rPr>
          <w:bCs/>
          <w:b/>
        </w:rPr>
        <w:t xml:space="preserve">K</w:t>
      </w:r>
      <w:r>
        <w:rPr>
          <w:vertAlign w:val="superscript"/>
          <w:bCs/>
          <w:b/>
        </w:rPr>
        <w:t xml:space="preserve">x</w:t>
      </w:r>
      <w:r>
        <w:t xml:space="preserve"> </w:t>
      </w:r>
      <w:r>
        <w:t xml:space="preserve">(istnieje natomiast obiektywnie określona</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w:t>
      </w:r>
    </w:p>
  </w:footnote>
  <w:footnote w:id="382">
    <w:p>
      <w:pPr>
        <w:pStyle w:val="FootnoteText"/>
      </w:pPr>
      <w:r>
        <w:rPr>
          <w:rStyle w:val="FootnoteReference"/>
        </w:rPr>
        <w:footnoteRef/>
      </w:r>
      <w:r>
        <w:t xml:space="preserve"> </w:t>
      </w:r>
      <w:r>
        <w:t xml:space="preserve">E.C. Colwell, „The Significance of Grouping of New Testament Manuscripts”,</w:t>
      </w:r>
      <w:r>
        <w:t xml:space="preserve"> </w:t>
      </w:r>
      <w:r>
        <w:rPr>
          <w:iCs/>
          <w:i/>
        </w:rPr>
        <w:t xml:space="preserve">New Testament Studies</w:t>
      </w:r>
      <w:r>
        <w:t xml:space="preserve">, IV (1957-1958), s. 86-87. W istocie powiedział: „Wyniki te przekonująco pokazują, że każda próba rekonstrukcji archetypu typu tekstu Beta (aleksandryjskiego) na podstawie ilościowej jest skazana na niepowodzenie. Tak zrekonstruowany tekst nie jest zrekonstruowany, lecz skonstruowany, jest sztucznym tworem, który nigdy nie istniał”. (Amen!)</w:t>
      </w:r>
    </w:p>
  </w:footnote>
  <w:footnote w:id="383">
    <w:p>
      <w:pPr>
        <w:pStyle w:val="FootnoteText"/>
      </w:pPr>
      <w:r>
        <w:rPr>
          <w:rStyle w:val="FootnoteReference"/>
        </w:rPr>
        <w:footnoteRef/>
      </w:r>
      <w:r>
        <w:t xml:space="preserve"> </w:t>
      </w:r>
      <w:r>
        <w:t xml:space="preserve">K. i B. Aland,</w:t>
      </w:r>
      <w:r>
        <w:t xml:space="preserve"> </w:t>
      </w:r>
      <w:r>
        <w:rPr>
          <w:iCs/>
          <w:i/>
        </w:rPr>
        <w:t xml:space="preserve">The Text of the New Testament</w:t>
      </w:r>
      <w:r>
        <w:t xml:space="preserve"> </w:t>
      </w:r>
      <w:r>
        <w:t xml:space="preserve">(Grand Rapids: Eerdmans, 1967), s. 55, 64. Mówią o „fantomowym «tekście zachodnim»”.</w:t>
      </w:r>
    </w:p>
  </w:footnote>
  <w:footnote w:id="386">
    <w:p>
      <w:pPr>
        <w:pStyle w:val="FootnoteText"/>
      </w:pPr>
      <w:r>
        <w:rPr>
          <w:rStyle w:val="FootnoteReference"/>
        </w:rPr>
        <w:footnoteRef/>
      </w:r>
      <w:r>
        <w:t xml:space="preserve"> </w:t>
      </w:r>
      <w:r>
        <w:t xml:space="preserve">Burgon,</w:t>
      </w:r>
      <w:r>
        <w:t xml:space="preserve"> </w:t>
      </w:r>
      <w:r>
        <w:rPr>
          <w:iCs/>
          <w:i/>
        </w:rPr>
        <w:t xml:space="preserve">The Traditional Text of the Holy Gospels Vindicated and Established</w:t>
      </w:r>
      <w:r>
        <w:t xml:space="preserve">, opracował, uzupełnił i zredagował Edward Miller (Londyn: George Bell and Sons, 1986), s. 84.</w:t>
      </w:r>
    </w:p>
  </w:footnote>
  <w:footnote w:id="387">
    <w:p>
      <w:pPr>
        <w:pStyle w:val="FootnoteText"/>
      </w:pPr>
      <w:r>
        <w:rPr>
          <w:rStyle w:val="FootnoteReference"/>
        </w:rPr>
        <w:footnoteRef/>
      </w:r>
      <w:r>
        <w:t xml:space="preserve"> </w:t>
      </w:r>
      <w:r>
        <w:t xml:space="preserve">P</w:t>
      </w:r>
      <w:r>
        <w:rPr>
          <w:vertAlign w:val="superscript"/>
        </w:rPr>
        <w:t xml:space="preserve">23</w:t>
      </w:r>
      <w:r>
        <w:t xml:space="preserve">, 0173 i 0246, wszystkie fragmentaryczne, są również cytowane w moim aparacie, lecz nigdy nie zgadzają się z</w:t>
      </w:r>
      <w:r>
        <w:t xml:space="preserve"> </w:t>
      </w:r>
      <w:r>
        <w:rPr>
          <w:bCs/>
          <w:b/>
        </w:rPr>
        <w:t xml:space="preserve">f</w:t>
      </w:r>
      <w:r>
        <w:rPr>
          <w:vertAlign w:val="superscript"/>
          <w:bCs/>
          <w:b/>
        </w:rPr>
        <w:t xml:space="preserve">35</w:t>
      </w:r>
      <w:r>
        <w:t xml:space="preserve"> </w:t>
      </w:r>
      <w:r>
        <w:t xml:space="preserve">przeciwko pozostałym.</w:t>
      </w:r>
    </w:p>
  </w:footnote>
  <w:footnote w:id="390">
    <w:p>
      <w:pPr>
        <w:pStyle w:val="FootnoteText"/>
      </w:pPr>
      <w:r>
        <w:rPr>
          <w:rStyle w:val="FootnoteReference"/>
        </w:rPr>
        <w:footnoteRef/>
      </w:r>
      <w:r>
        <w:t xml:space="preserve"> </w:t>
      </w:r>
      <w:r>
        <w:rPr>
          <w:iCs/>
          <w:i/>
        </w:rPr>
        <w:t xml:space="preserve">Editio Critica Maior</w:t>
      </w:r>
      <w:r>
        <w:t xml:space="preserve">, The Institute for New Testament Textual Research, red. (Stuttgart: Deutsche Bibelgesellschaft, 1997), tom IV, Listy Ogólne.</w:t>
      </w:r>
    </w:p>
  </w:footnote>
  <w:footnote w:id="392">
    <w:p>
      <w:pPr>
        <w:pStyle w:val="FootnoteText"/>
      </w:pPr>
      <w:r>
        <w:rPr>
          <w:rStyle w:val="FootnoteReference"/>
        </w:rPr>
        <w:footnoteRef/>
      </w:r>
      <w:r>
        <w:t xml:space="preserve"> </w:t>
      </w:r>
      <w:r>
        <w:rPr>
          <w:iCs/>
          <w:i/>
        </w:rPr>
        <w:t xml:space="preserve">ECM</w:t>
      </w:r>
      <w:r>
        <w:t xml:space="preserve"> </w:t>
      </w:r>
      <w:r>
        <w:t xml:space="preserve">wymienia wprawdzie dwa jako bizantyjskie (254, 1827), lecz porównanie ich z</w:t>
      </w:r>
      <w:r>
        <w:t xml:space="preserve"> </w:t>
      </w:r>
      <w:r>
        <w:rPr>
          <w:iCs/>
          <w:i/>
        </w:rPr>
        <w:t xml:space="preserve">TuT</w:t>
      </w:r>
      <w:r>
        <w:t xml:space="preserve"> </w:t>
      </w:r>
      <w:r>
        <w:t xml:space="preserve">pokazuje, że w Liście Jakuba nie przekraczają progu 80%.</w:t>
      </w:r>
    </w:p>
  </w:footnote>
  <w:footnote w:id="393">
    <w:p>
      <w:pPr>
        <w:pStyle w:val="FootnoteText"/>
      </w:pPr>
      <w:r>
        <w:rPr>
          <w:rStyle w:val="FootnoteReference"/>
        </w:rPr>
        <w:footnoteRef/>
      </w:r>
      <w:r>
        <w:t xml:space="preserve"> </w:t>
      </w:r>
      <w:r>
        <w:t xml:space="preserve">Ten powracający refren: „moim zdaniem jest najprawdopodobniej oryginalny”, pochodzi z czasu, gdy rozpoczynałem pracę nad Rodziną 35. Na podstawie dowodów, które od tamtej pory zgromadziłem, twierdzę obecnie, że odczyty Rodziny 35 są z pewnością oryginalne.</w:t>
      </w:r>
    </w:p>
  </w:footnote>
  <w:footnote w:id="401">
    <w:p>
      <w:pPr>
        <w:pStyle w:val="FootnoteText"/>
      </w:pPr>
      <w:r>
        <w:rPr>
          <w:rStyle w:val="FootnoteReference"/>
        </w:rPr>
        <w:footnoteRef/>
      </w:r>
      <w:r>
        <w:t xml:space="preserve"> </w:t>
      </w:r>
      <w:r>
        <w:t xml:space="preserve">G.D. Kilpatrick, „Atticism and the Text of the Greek New Testament”,</w:t>
      </w:r>
      <w:r>
        <w:t xml:space="preserve"> </w:t>
      </w:r>
      <w:r>
        <w:rPr>
          <w:iCs/>
          <w:i/>
        </w:rPr>
        <w:t xml:space="preserve">Neutestamentliche Aufsätze</w:t>
      </w:r>
      <w:r>
        <w:t xml:space="preserve"> </w:t>
      </w:r>
      <w:r>
        <w:t xml:space="preserve">(Regensburg: Verlag Friedrich Pustet, 1963), s. 129-130.</w:t>
      </w:r>
    </w:p>
  </w:footnote>
  <w:footnote w:id="406">
    <w:p>
      <w:pPr>
        <w:pStyle w:val="FootnoteText"/>
      </w:pPr>
      <w:r>
        <w:rPr>
          <w:rStyle w:val="FootnoteReference"/>
        </w:rPr>
        <w:footnoteRef/>
      </w:r>
      <w:r>
        <w:t xml:space="preserve"> </w:t>
      </w:r>
      <w:r>
        <w:t xml:space="preserve">Obecność centuriona w Kafarnaum oznacza, że stacjonowali tam rzymscy żołnierze. Ta rzymska placówka była bez wątpienia najważniejszym odbiorcą ryb w mieście. Kontakty z żołnierzami przypuszczalnie odbywały się po grecku, mieli więc podstawy.</w:t>
      </w:r>
    </w:p>
  </w:footnote>
  <w:footnote w:id="433">
    <w:p>
      <w:pPr>
        <w:pStyle w:val="FootnoteText"/>
      </w:pPr>
      <w:r>
        <w:rPr>
          <w:rStyle w:val="FootnoteReference"/>
        </w:rPr>
        <w:footnoteRef/>
      </w:r>
      <w:r>
        <w:t xml:space="preserve"> </w:t>
      </w:r>
      <w:r>
        <w:t xml:space="preserve">Przypominam czytelnikowi, że manuskrypty bizantyjskie określam dla każdej księgi oddzielnie, porównując</w:t>
      </w:r>
      <w:r>
        <w:t xml:space="preserve"> </w:t>
      </w:r>
      <w:r>
        <w:rPr>
          <w:iCs/>
          <w:i/>
        </w:rPr>
        <w:t xml:space="preserve">ECM</w:t>
      </w:r>
      <w:r>
        <w:t xml:space="preserve"> </w:t>
      </w:r>
      <w:r>
        <w:t xml:space="preserve">z</w:t>
      </w:r>
      <w:r>
        <w:t xml:space="preserve"> </w:t>
      </w:r>
      <w:r>
        <w:rPr>
          <w:iCs/>
          <w:i/>
        </w:rPr>
        <w:t xml:space="preserve">TuT</w:t>
      </w:r>
      <w:r>
        <w:t xml:space="preserve">, lecz profil biorę ze wszystkich siedmiu Listów Ogólnych na podstawie</w:t>
      </w:r>
      <w:r>
        <w:t xml:space="preserve"> </w:t>
      </w:r>
      <w:r>
        <w:rPr>
          <w:iCs/>
          <w:i/>
        </w:rPr>
        <w:t xml:space="preserve">TuT</w:t>
      </w:r>
      <w:r>
        <w:t xml:space="preserve">.</w:t>
      </w:r>
    </w:p>
  </w:footnote>
  <w:footnote w:id="440">
    <w:p>
      <w:pPr>
        <w:pStyle w:val="FootnoteText"/>
      </w:pPr>
      <w:r>
        <w:rPr>
          <w:rStyle w:val="FootnoteReference"/>
        </w:rPr>
        <w:footnoteRef/>
      </w:r>
      <w:r>
        <w:t xml:space="preserve"> </w:t>
      </w:r>
      <w:r>
        <w:t xml:space="preserve">Są tacy, którzy lubią argumentować, że żadnej z ksiąg nie napisał wskazany autor, że są one falsyfikatami, wynikiem działalności redakcyjnej rozciągniętej na dziesięciolecia (jeśli nie stulecia). Oczywiście nie było ich tam i nie wiedzą, co naprawdę się wydarzyło, nie powstrzymuje ich to jednak od wygłaszania autorytatywnych sądów.</w:t>
      </w:r>
    </w:p>
  </w:footnote>
  <w:footnote w:id="441">
    <w:p>
      <w:pPr>
        <w:pStyle w:val="FootnoteText"/>
      </w:pPr>
      <w:r>
        <w:rPr>
          <w:rStyle w:val="FootnoteReference"/>
        </w:rPr>
        <w:footnoteRef/>
      </w:r>
      <w:r>
        <w:t xml:space="preserve"> </w:t>
      </w:r>
      <w:r>
        <w:t xml:space="preserve">Prawdopodobnie żadne dwa manuskrypty łacińskiej Wulgaty również nie są identyczne, lecz nie to było przedmiotem sporu. Istotnie, o ile mi wiadomo, nie istnieje sposób ustalenia w każdym szczególe, jakie mogły być oryginalne sformułowania łacińskiej Wulgaty.</w:t>
      </w:r>
    </w:p>
  </w:footnote>
  <w:footnote w:id="442">
    <w:p>
      <w:pPr>
        <w:pStyle w:val="FootnoteText"/>
      </w:pPr>
      <w:r>
        <w:rPr>
          <w:rStyle w:val="FootnoteReference"/>
        </w:rPr>
        <w:footnoteRef/>
      </w:r>
      <w:r>
        <w:t xml:space="preserve"> </w:t>
      </w:r>
      <w:r>
        <w:t xml:space="preserve">Rodzina 35, będąca zdecydowanie największą i najbardziej spójną grupą manuskryptów o możliwym do wykazania archetypie, była słabo reprezentowana w bibliotekach Europy Zachodniej. Zresztą bardzo niewiele manuskryptów jakiegokolwiek typu tekstu skolacjonowano wystarczająco, by umożliwić prześledzenie historii przekazu. Co gorsza, brak pełnych kolacjonowań uniemożliwiał obalenie błędnej hipotezy w rozsądnym czasie.</w:t>
      </w:r>
    </w:p>
  </w:footnote>
  <w:footnote w:id="443">
    <w:p>
      <w:pPr>
        <w:pStyle w:val="FootnoteText"/>
      </w:pPr>
      <w:r>
        <w:rPr>
          <w:rStyle w:val="FootnoteReference"/>
        </w:rPr>
        <w:footnoteRef/>
      </w:r>
      <w:r>
        <w:t xml:space="preserve"> </w:t>
      </w:r>
      <w:r>
        <w:t xml:space="preserve">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footnote>
  <w:footnote w:id="444">
    <w:p>
      <w:pPr>
        <w:pStyle w:val="FootnoteText"/>
      </w:pPr>
      <w:r>
        <w:rPr>
          <w:rStyle w:val="FootnoteReference"/>
        </w:rPr>
        <w:footnoteRef/>
      </w:r>
      <w:r>
        <w:t xml:space="preserve"> </w:t>
      </w:r>
      <w:r>
        <w:t xml:space="preserve">Teoria darwinowska zdawała się szyta na miarę dla tych, którzy chcieli pozbyć się Stwórcy albo jakiegokolwiek wyższego Autorytetu, który mógłby zażądać rozliczenia. „Wyższa krytyka” służyła pozbyciu się autorytatywnego Objawienia, które mogłoby zostać użyte, by zażądać rozliczenia. Buntownicy nie lubią być pociągani do odpowiedzialności.</w:t>
      </w:r>
    </w:p>
  </w:footnote>
  <w:footnote w:id="445">
    <w:p>
      <w:pPr>
        <w:pStyle w:val="FootnoteText"/>
      </w:pPr>
      <w:r>
        <w:rPr>
          <w:rStyle w:val="FootnoteReference"/>
        </w:rPr>
        <w:footnoteRef/>
      </w:r>
      <w:r>
        <w:t xml:space="preserve"> </w:t>
      </w:r>
      <w:r>
        <w:t xml:space="preserve">Odwoływano się do analogii strumienia, według której najczystsza woda byłaby przypuszczalnie najbliżej źródła. W odniesieniu do manuskryptów Nowego Testamentu analogia ta jest jednak błędna i staje się sofizmatem.</w:t>
      </w:r>
    </w:p>
  </w:footnote>
  <w:footnote w:id="446">
    <w:p>
      <w:pPr>
        <w:pStyle w:val="FootnoteText"/>
      </w:pPr>
      <w:r>
        <w:rPr>
          <w:rStyle w:val="FootnoteReference"/>
        </w:rPr>
        <w:footnoteRef/>
      </w:r>
      <w:r>
        <w:t xml:space="preserve"> </w:t>
      </w:r>
      <w:r>
        <w:t xml:space="preserve">John William Burgon osobiście skolacjonował to, co za jego czasów było „pięcioma starymi uncjałami” (ℵ,A,B,C,D). W całej swojej twórczości wielokrotnie zwraca uwagę na</w:t>
      </w:r>
      <w:r>
        <w:t xml:space="preserve"> </w:t>
      </w:r>
      <w:r>
        <w:rPr>
          <w:iCs/>
          <w:i/>
        </w:rPr>
        <w:t xml:space="preserve">concordia discors</w:t>
      </w:r>
      <w:r>
        <w:t xml:space="preserve">, panujące zamieszanie i niezgodność, jakie wczesne uncjały wykazują między sobą. Ewangelia Łukasza 11,2-4 dostarcza jednego przykładu. „«Pięć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 (</w:t>
      </w:r>
      <w:r>
        <w:rPr>
          <w:iCs/>
          <w:i/>
        </w:rPr>
        <w:t xml:space="preserve">The Traditional Text of the Holy Gospels Vindicated and Established</w:t>
      </w:r>
      <w:r>
        <w:t xml:space="preserve">, opracował, uzupełnił i zredagował Edward Miller, Londyn: George Bell and Sons, 1896, s. 84). Owszem, najstarsze naprawdę znaczy najgorsze. Więcej na ten temat znajduje się na stronach 130-136</w:t>
      </w:r>
      <w:r>
        <w:t xml:space="preserve"> </w:t>
      </w:r>
      <w:r>
        <w:rPr>
          <w:iCs/>
          <w:i/>
        </w:rPr>
        <w:t xml:space="preserve">The Identity of the New Testament Text IV</w:t>
      </w:r>
      <w:r>
        <w:t xml:space="preserve">.</w:t>
      </w:r>
    </w:p>
  </w:footnote>
  <w:footnote w:id="447">
    <w:p>
      <w:pPr>
        <w:pStyle w:val="FootnoteText"/>
      </w:pPr>
      <w:r>
        <w:rPr>
          <w:rStyle w:val="FootnoteReference"/>
        </w:rPr>
        <w:footnoteRef/>
      </w:r>
      <w:r>
        <w:t xml:space="preserve"> </w:t>
      </w:r>
      <w:r>
        <w:t xml:space="preserve">Proszę zauważyć, że nie krytykuję Burgona ani innych, robili, co mogli, przy dostępnych im informacjach. Wiedzieli, że teoria Horta i wynikający z niej tekst grecki nie mogą być poprawne.</w:t>
      </w:r>
    </w:p>
  </w:footnote>
  <w:footnote w:id="448">
    <w:p>
      <w:pPr>
        <w:pStyle w:val="FootnoteText"/>
      </w:pPr>
      <w:r>
        <w:rPr>
          <w:rStyle w:val="FootnoteReference"/>
        </w:rPr>
        <w:footnoteRef/>
      </w:r>
      <w:r>
        <w:t xml:space="preserve"> </w:t>
      </w:r>
      <w:r>
        <w:t xml:space="preserve">Dokumentację tego wszystkiego i znacznie więcej, przedstawioną własnymi słowami Horta, można znaleźć w biografii napisanej przez jego syna. A.F. Hort,</w:t>
      </w:r>
      <w:r>
        <w:t xml:space="preserve"> </w:t>
      </w:r>
      <w:r>
        <w:rPr>
          <w:iCs/>
          <w:i/>
        </w:rPr>
        <w:t xml:space="preserve">Life and Letters of Fenton John Anthony Hort</w:t>
      </w:r>
      <w:r>
        <w:t xml:space="preserve"> </w:t>
      </w:r>
      <w:r>
        <w:t xml:space="preserve">(2 tomy, Londyn: Macmillan and Co. Ltd., 1896). Syn szeroko wykorzystał obfitą korespondencję podziwianego przez siebie ojca. (W tamtych czasach dwutomowe „Życie”, w odróżnieniu od jednotomowej „Biografii”, było pośmiertnym symbolem statusu, choć bez większego znaczenia dla zmarłego). Wielu moich czytelników nauczono, podobnie jak mnie, że nie wolno kwestionować ani osądzać cudzych motywów. Ale chwileczkę, skąd wzięła się taka idea? Z pewnością nie pochodzi od Boga, który oczekuje, że człowiek duchowy będzie oceniał wszystko (1 List do Koryntian 2,15). Ponieważ na tym świecie istnieją tylko dwa duchowe królestwa (Ewangelia Mateusza 6,24, 12,30, Ewangelia Łukasza 11,23, 16,13), idea ta pochodzi z drugiej strony. Eliminując motyw, eliminuje się również założenie wstępne, czego Bóg nigdy by nie zrobił, ponieważ założenie wstępne rządzi interpretacją (Ewangelia Mateusza 22,29, Ewangelia Marka 12,24). Dlatego powinniśmy zawsze oczekiwać, że prawdziwy uczony przedstawi swoje założenia wstępne. Wielokrotnie przedstawiałem swoje, lecz oto one ponownie: 1) istnieje Władca i Stwórca wszechświata, 2) przekazał ludzkości spisane objawienie, 3) zachował to objawienie w stanie nienaruszonym do dziś.</w:t>
      </w:r>
    </w:p>
  </w:footnote>
  <w:footnote w:id="449">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 Drugi tom wyjaśnia teorię i powszechnie uważa się go za dzieło Horta.</w:t>
      </w:r>
    </w:p>
  </w:footnote>
  <w:footnote w:id="450">
    <w:p>
      <w:pPr>
        <w:pStyle w:val="FootnoteText"/>
      </w:pPr>
      <w:r>
        <w:rPr>
          <w:rStyle w:val="FootnoteReference"/>
        </w:rPr>
        <w:footnoteRef/>
      </w:r>
      <w:r>
        <w:t xml:space="preserve"> </w:t>
      </w:r>
      <w:r>
        <w:t xml:space="preserve">Dokładne omówienie tej teorii znajduje się w rozdziałach 3 i 4</w:t>
      </w:r>
      <w:r>
        <w:t xml:space="preserve"> </w:t>
      </w:r>
      <w:r>
        <w:rPr>
          <w:iCs/>
          <w:i/>
        </w:rPr>
        <w:t xml:space="preserve">Identity IV</w:t>
      </w:r>
      <w:r>
        <w:t xml:space="preserve">. Rozdziały te niewiele różnią się od tego, czym były w 1977 roku. Minęło ponad czterdzieści lat i o ile mi wiadomo, nikt nie obalił mojego rozmontowania teorii Horta. Nie z braku chęci. Obecnie często słyszy się argument, że krytykowanie Horta jest smaganiem martwego konia, ponieważ panującym paradygmatem jest teraz eklektyzm („uzasadniony” lub „rygorystyczny”). Eklektyzm opiera się jednak wprost na tych samych fałszywych założeniach wstępnych, jest zatem równie błędny.</w:t>
      </w:r>
    </w:p>
  </w:footnote>
  <w:footnote w:id="451">
    <w:p>
      <w:pPr>
        <w:pStyle w:val="FootnoteText"/>
      </w:pPr>
      <w:r>
        <w:rPr>
          <w:rStyle w:val="FootnoteReference"/>
        </w:rPr>
        <w:footnoteRef/>
      </w:r>
      <w:r>
        <w:t xml:space="preserve"> </w:t>
      </w:r>
      <w:r>
        <w:t xml:space="preserve">Zawsze był to ulubiony argument wrogów natchnienia, brzmi on następująco: „Gdyby Bóg natchnął tekst, zachowałby go (po co w przeciwnym razie zadawać sobie trud natchnienia). Nie zachował Nowego Testamentu, a zatem go nie natchnął”. Przyznaję, że jestem skłonny zgodzić się z tym logicznym związkiem, tyle że jestem gotów odwrócić sytuację. Uważam, że potrafię wykazać, iż Bóg rzeczywiście zachował Tekst Nowego Testamentu, musiał go zatem natchnąć!</w:t>
      </w:r>
    </w:p>
  </w:footnote>
  <w:footnote w:id="452">
    <w:p>
      <w:pPr>
        <w:pStyle w:val="FootnoteText"/>
      </w:pPr>
      <w:r>
        <w:rPr>
          <w:rStyle w:val="FootnoteReference"/>
        </w:rPr>
        <w:footnoteRef/>
      </w:r>
      <w:r>
        <w:t xml:space="preserve"> </w:t>
      </w:r>
      <w:r>
        <w:t xml:space="preserve">Powiedziałbym, że ich tekst myli się w odniesieniu do 10% słów — grecki Nowy Testament ma około 140 000 słów, tekst W-H myli się więc w odniesieniu do 14 000 z nich. Powiedziałbym, że będący obecnie w modzie tak zwany tekst „krytyczny” (czytaj: „eklektyczny”) odbiega „tylko” w odniesieniu do około 12 000, co stanowi poprawę (choć niewielką). A tak przy okazji, jak mądre jest używanie Nowego Testamentu przygotowanego przez sługę (lub sługi) Szatana? (Z drugiej strony twierdzę, że Bóg zachował oryginalne sformułowania w takim stopniu, że możemy wiedzieć i wiemy, jakie one są).</w:t>
      </w:r>
    </w:p>
  </w:footnote>
  <w:footnote w:id="453">
    <w:p>
      <w:pPr>
        <w:pStyle w:val="FootnoteText"/>
      </w:pPr>
      <w:r>
        <w:rPr>
          <w:rStyle w:val="FootnoteReference"/>
        </w:rPr>
        <w:footnoteRef/>
      </w:r>
      <w:r>
        <w:t xml:space="preserve"> </w:t>
      </w:r>
      <w:r>
        <w:t xml:space="preserve">Nie powinienem jednak być nadmiernie surowy w krytyce Warfielda, nikt inny również nie wiedział, co robić. Okrutnym faktem było to, że istotne dowody nie istniały wówczas w użytecznej postaci. (Wynika z tego, że każda ówczesna obrona boskiego zachowania musiała opierać się na wierze, wierze, że Bóg w swoim czasie dostarczy dowodów). Część szkody wyrządzonej przez teorię Horta wynikała z jej pogardy dla ogromnej masy późniejszych manuskryptów, nie warto było trudzić się ich kolacjonowaniem i badaniem. Ponieważ to właśnie te pogardzane manuskrypty dostarczają niezbędnych dowodów, ów usypiający skutek teorii Horta opóźnił dostępność istotnych dowodów o stulecie. Pamiętam, jak pewnego dnia na zajęciach (w 1957 roku) profesor nabrał powietrza w płuca i z zapałem oznajmił: „Panowie, tam, gdzie zgadzają się B i Alef, macie oryginał”. Biedny człowiek najwyraźniej nigdy nie czytał</w:t>
      </w:r>
      <w:r>
        <w:t xml:space="preserve"> </w:t>
      </w:r>
      <w:r>
        <w:rPr>
          <w:iCs/>
          <w:i/>
        </w:rPr>
        <w:t xml:space="preserve">Codex B and its Allies: A Study and an Indictment</w:t>
      </w:r>
      <w:r>
        <w:t xml:space="preserve"> </w:t>
      </w:r>
      <w:r>
        <w:t xml:space="preserve">Hermana C. Hoskiera (opublikowanego w 1914 roku).</w:t>
      </w:r>
    </w:p>
  </w:footnote>
  <w:footnote w:id="455">
    <w:p>
      <w:pPr>
        <w:pStyle w:val="FootnoteText"/>
      </w:pPr>
      <w:r>
        <w:rPr>
          <w:rStyle w:val="FootnoteReference"/>
        </w:rPr>
        <w:footnoteRef/>
      </w:r>
      <w:r>
        <w:t xml:space="preserve"> </w:t>
      </w:r>
      <w:r>
        <w:t xml:space="preserve">Proszę zauważyć, że nie wystarczy jedynie „zaakceptować” prawdę, wymagane jest, abyśmy ją miłowali. Szatan kusi nas sławą i majątkiem (oczywiście na swoich warunkach), dlatego miłowanie prawdy wymaga determinacji.</w:t>
      </w:r>
    </w:p>
  </w:footnote>
  <w:footnote w:id="456">
    <w:p>
      <w:pPr>
        <w:pStyle w:val="FootnoteText"/>
      </w:pPr>
      <w:r>
        <w:rPr>
          <w:rStyle w:val="FootnoteReference"/>
        </w:rPr>
        <w:footnoteRef/>
      </w:r>
      <w:r>
        <w:t xml:space="preserve"> </w:t>
      </w:r>
      <w:r>
        <w:t xml:space="preserve">Ratunku! „Kłamstwo” jest określeniem dość ogólnym i otwartym. Co się dzieje, jeśli przyjąłem kłamstwo, nie zdając sobie sprawy, że nim było? Tekst nie mówi jednak „przyjmuje”, mówi „miłuje” i „czyni”. Wynika z tego, że dowody przeciwne kłamstwu są dostępne, lecz zostały odrzucone albo celowo zignorowane — osoba ta sprzedała się kłamstwu.</w:t>
      </w:r>
    </w:p>
  </w:footnote>
  <w:footnote w:id="457">
    <w:p>
      <w:pPr>
        <w:pStyle w:val="FootnoteText"/>
      </w:pPr>
      <w:r>
        <w:rPr>
          <w:rStyle w:val="FootnoteReference"/>
        </w:rPr>
        <w:footnoteRef/>
      </w:r>
      <w:r>
        <w:t xml:space="preserve"> </w:t>
      </w:r>
      <w:r>
        <w:t xml:space="preserve">Na poziomie studiów podyplomowych student odpowiada za ocenę tego, czego jest nauczany, jeśli jest to sprzeczne z Tekstem, nie powinien tego przyjmować. Pamiętam, jak pewnego dnia na nabożeństwie akademickim wizytujący uczony wykładał List do Rzymian 10,9. Stwierdził, że grecki Tekst wyraźnie znaczy „Jezusa jako Pana”, po czym próbował wyjaśnić, dlaczego szkoła w to nie wierzy. Jego wysiłek był dość nieudolny, na tyle, że postanowiłem sam zgłębić tę kwestię.</w:t>
      </w:r>
    </w:p>
  </w:footnote>
  <w:footnote w:id="458">
    <w:p>
      <w:pPr>
        <w:pStyle w:val="FootnoteText"/>
      </w:pPr>
      <w:r>
        <w:rPr>
          <w:rStyle w:val="FootnoteReference"/>
        </w:rPr>
        <w:footnoteRef/>
      </w:r>
      <w:r>
        <w:t xml:space="preserve"> </w:t>
      </w:r>
      <w:r>
        <w:t xml:space="preserve">W przypadku starszych, uznanych uczonych istnieje również kwestia pychy i własnego interesu, kto chce przyznać, że przez całe życie zawodowe się mylił? Istnieje też doktryna etyki zawodowej, należy szanować swoich kolegów (szacunek do kolegi przewyższa szacunek do prawdy). (Nie wolno pytać, skąd pochodzi ta doktryna). Jeszcze jedno: jeśli szkoła lub instytucja zależy od zewnętrznego wsparcia finansowego, zagrozi się jej utratą tego wsparcia, jeśli nie będzie trzymać się linii, a od tej pomocy może zależeć samo jej istnienie.</w:t>
      </w:r>
    </w:p>
  </w:footnote>
  <w:footnote w:id="459">
    <w:p>
      <w:pPr>
        <w:pStyle w:val="FootnoteText"/>
      </w:pPr>
      <w:r>
        <w:rPr>
          <w:rStyle w:val="FootnoteReference"/>
        </w:rPr>
        <w:footnoteRef/>
      </w:r>
      <w:r>
        <w:t xml:space="preserve"> </w:t>
      </w:r>
      <w:r>
        <w:t xml:space="preserve">Ponieważ Szatan nieustannie mąci wodę skrajnościami i nadużyciami, potrzebne jest duchowe rozeznanie.</w:t>
      </w:r>
    </w:p>
  </w:footnote>
  <w:footnote w:id="460">
    <w:p>
      <w:pPr>
        <w:pStyle w:val="FootnoteText"/>
      </w:pPr>
      <w:r>
        <w:rPr>
          <w:rStyle w:val="FootnoteReference"/>
        </w:rPr>
        <w:footnoteRef/>
      </w:r>
      <w:r>
        <w:t xml:space="preserve"> </w:t>
      </w:r>
      <w:r>
        <w:t xml:space="preserve">W tej jednej sprawie, niekoniecznie zostaniesz zaślepiony w innych sprawach, przynajmniej nie od razu.</w:t>
      </w:r>
    </w:p>
  </w:footnote>
  <w:footnote w:id="461">
    <w:p>
      <w:pPr>
        <w:pStyle w:val="FootnoteText"/>
      </w:pPr>
      <w:r>
        <w:rPr>
          <w:rStyle w:val="FootnoteReference"/>
        </w:rPr>
        <w:footnoteRef/>
      </w:r>
      <w:r>
        <w:t xml:space="preserve"> </w:t>
      </w:r>
      <w:r>
        <w:t xml:space="preserve">Proszę pamiętać o sekwencji przyczyny i skutku, zaczyna się od odrzucenia miłości prawdy. Nie wystarczy jedynie „zaakceptować” prawdę, trzeba ją miłować. Dla tych, którzy przyjęli kłamstwo, jedynym „lekarstwem” jest powrót do miłości prawdy i odrzucenie kłamstwa. Bóg może wymagać publicznego wyrzeczenia się kłamstwa.</w:t>
      </w:r>
    </w:p>
  </w:footnote>
  <w:footnote w:id="463">
    <w:p>
      <w:pPr>
        <w:pStyle w:val="FootnoteText"/>
      </w:pPr>
      <w:r>
        <w:rPr>
          <w:rStyle w:val="FootnoteReference"/>
        </w:rPr>
        <w:footnoteRef/>
      </w:r>
      <w:r>
        <w:t xml:space="preserve"> </w:t>
      </w:r>
      <w:r>
        <w:t xml:space="preserve">Moje własne potępienie kłamstwa Horta ukazuje się drukiem od 1977 roku i nadal podtrzymuję każde jego słowo.</w:t>
      </w:r>
    </w:p>
  </w:footnote>
  <w:footnote w:id="464">
    <w:p>
      <w:pPr>
        <w:pStyle w:val="FootnoteText"/>
      </w:pPr>
      <w:r>
        <w:rPr>
          <w:rStyle w:val="FootnoteReference"/>
        </w:rPr>
        <w:footnoteRef/>
      </w:r>
      <w:r>
        <w:t xml:space="preserve"> </w:t>
      </w:r>
      <w:r>
        <w:t xml:space="preserve">Do tamtego czasu w użyciu na całym świecie znajdowało się znacznie ponad 10 000 egzemplarzy, które po cichu zmieniały życie ludzi. Co jakiś czas odzywa się ktoś, kto dziękuje mi za książkę, łącznie z niektórymi profesorami greki. Profesorowie ci nie niszczą już wiary swoich studentów. Na poziomie oddolnym coś się porusza, a establishment robi wszystko, by to ignorować. Gdy musi to zauważyć, „zbywa lekceważeniem”, lecz nadchodzi czas, a właściwie już nadszedł, gdy to przestanie działać.</w:t>
      </w:r>
    </w:p>
  </w:footnote>
  <w:footnote w:id="466">
    <w:p>
      <w:pPr>
        <w:pStyle w:val="FootnoteText"/>
      </w:pPr>
      <w:r>
        <w:rPr>
          <w:rStyle w:val="FootnoteReference"/>
        </w:rPr>
        <w:footnoteRef/>
      </w:r>
      <w:r>
        <w:t xml:space="preserve"> </w:t>
      </w:r>
      <w:r>
        <w:t xml:space="preserve">Agnostycyzm jest biernym odrzuceniem, agnostyk nie przyjmuje twierdzenia.</w:t>
      </w:r>
    </w:p>
  </w:footnote>
  <w:footnote w:id="467">
    <w:p>
      <w:pPr>
        <w:pStyle w:val="FootnoteText"/>
      </w:pPr>
      <w:r>
        <w:rPr>
          <w:rStyle w:val="FootnoteReference"/>
        </w:rPr>
        <w:footnoteRef/>
      </w:r>
      <w:r>
        <w:t xml:space="preserve"> </w:t>
      </w:r>
      <w:r>
        <w:t xml:space="preserve">Dobrze wiem, że nie jest to łatwe, dlatego używam słowa „próbować”.</w:t>
      </w:r>
    </w:p>
  </w:footnote>
  <w:footnote w:id="468">
    <w:p>
      <w:pPr>
        <w:pStyle w:val="FootnoteText"/>
      </w:pPr>
      <w:r>
        <w:rPr>
          <w:rStyle w:val="FootnoteReference"/>
        </w:rPr>
        <w:footnoteRef/>
      </w:r>
      <w:r>
        <w:t xml:space="preserve"> </w:t>
      </w:r>
      <w:r>
        <w:t xml:space="preserve">Oczywiście wiemy, że istnieje wiele manuskryptów jeszcze „niezachowanych”, jeszcze nierozpoznanych i nieskatalogowanych, liczba może więc tylko wzrosnąć.</w:t>
      </w:r>
    </w:p>
  </w:footnote>
  <w:footnote w:id="469">
    <w:p>
      <w:pPr>
        <w:pStyle w:val="FootnoteText"/>
      </w:pPr>
      <w:r>
        <w:rPr>
          <w:rStyle w:val="FootnoteReference"/>
        </w:rPr>
        <w:footnoteRef/>
      </w:r>
      <w:r>
        <w:t xml:space="preserve"> </w:t>
      </w:r>
      <w:r>
        <w:t xml:space="preserve">Szersze omówienie znajduje się w moim</w:t>
      </w:r>
      <w:r>
        <w:t xml:space="preserve"> </w:t>
      </w:r>
      <w:r>
        <w:rPr>
          <w:iCs/>
          <w:i/>
        </w:rPr>
        <w:t xml:space="preserve">Identity IV</w:t>
      </w:r>
      <w:r>
        <w:t xml:space="preserve">, s. 367-369.</w:t>
      </w:r>
    </w:p>
  </w:footnote>
  <w:footnote w:id="471">
    <w:p>
      <w:pPr>
        <w:pStyle w:val="FootnoteText"/>
      </w:pPr>
      <w:r>
        <w:rPr>
          <w:rStyle w:val="FootnoteReference"/>
        </w:rPr>
        <w:footnoteRef/>
      </w:r>
      <w:r>
        <w:t xml:space="preserve"> </w:t>
      </w:r>
      <w:r>
        <w:t xml:space="preserve">Pan daje nam autorytet, by „deptać węże i skorpiony”. Otóż aby rozgnieść dosłownego owada, skorpiona, nie potrzebujesz mocy z Wysokości, wystarczy klapek (jeśli jesteś szybki, możesz to zrobić bosą stopą). Do deptania węża wolę but, lecz możemy zabijać dosłowne węże bez nadprzyrodzonej pomocy. Staje się oczywiste, że Jezus odnosił się do czegoś innego niż gady i owady. Rozumiem Ewangelię Marka 16,18 jako odnoszącą się do tej samej rzeczywistości, Jezus oznajmia, że wierzącym będą towarzyszyć określone znaki (sposób sformułowania nadaje wypowiedzi niemal moc rozkazów): będą wypędzać demony, będą mówić obcymi językami, będą usuwać „węże”, będą kłaść ręce na chorych. („Jeśli wypiją…” nie jest rozkazem, odnosi się do ewentualności). Co jednak Pan Jezus rozumiał przez „węże”? W wykazie odrębnych działań Jezus odniósł się już do demonów, „węże” muszą więc być czymś innym. W Ewangelii Mateusza 12,34 Jezus nazwał faryzeuszy „plemieniem żmij”, a w 23,33: „wężami, plemieniem żmij”. W Ewangelii Jana 8,44, gdy twierdzili, że Bóg jest ich ojcem, Jezus powiedział: „Wy jesteście z waszego ojca, diabła”. 1 List Jana 3,10 wyjaśnia zaś, że Szatan ma wielu innych „synów” (podobnie Ewangelia Mateusza 13,38-39). W Objawieniu Jana 20,2 czytamy: „Schwytał smoka, pradawnego węża, który jest oszczercą, właśnie Szatana, który zwodzi całą zamieszkaną ziemię, i związał go na tysiąc lat”. Jeśli Szatan jest wężem, wężami są również jego dzieci. Uważam zatem, że nasze „węże” są ludźmi, którzy postanowili służyć Szatanowi, którzy sprzedali się złu. Dochodzę do wniosku, że „węże” w Ewangelii Łukasza 10,19 są tym samym, co te w Ewangelii Marka 16,18, lecz co ze „skorpionami”? Ponieważ one również należą do wroga, mogą być demonami, w którym to przypadku określenie to może z powodzeniem obejmować ich potomstwo, humanoidy (więcej na ten temat w moim artykule „In the Days of Noah”, dostępnym na www.prunch.org). Nadal pracuję nad pytaniem, jak właściwie dokonuje się tego usuwania.</w:t>
      </w:r>
    </w:p>
  </w:footnote>
  <w:footnote w:id="472">
    <w:p>
      <w:pPr>
        <w:pStyle w:val="FootnoteText"/>
      </w:pPr>
      <w:r>
        <w:rPr>
          <w:rStyle w:val="FootnoteReference"/>
        </w:rPr>
        <w:footnoteRef/>
      </w:r>
      <w:r>
        <w:t xml:space="preserve"> </w:t>
      </w:r>
      <w:r>
        <w:t xml:space="preserve">Więcej na ten temat w moim artykule „Biblical Spiritual Warfare” (dostępnym na www.prunch.org).</w:t>
      </w:r>
    </w:p>
  </w:footnote>
  <w:footnote w:id="473">
    <w:p>
      <w:pPr>
        <w:pStyle w:val="FootnoteText"/>
      </w:pPr>
      <w:r>
        <w:rPr>
          <w:rStyle w:val="FootnoteReference"/>
        </w:rPr>
        <w:footnoteRef/>
      </w:r>
      <w:r>
        <w:t xml:space="preserve"> </w:t>
      </w:r>
      <w:r>
        <w:t xml:space="preserve">Powinniśmy świadomie działać na tej podstawie, lecz ponieważ niewiele kościołów tego naucza, większość chrześcijan żyje w duchowej porażce.</w:t>
      </w:r>
    </w:p>
  </w:footnote>
  <w:footnote w:id="474">
    <w:p>
      <w:pPr>
        <w:pStyle w:val="FootnoteText"/>
      </w:pPr>
      <w:r>
        <w:rPr>
          <w:rStyle w:val="FootnoteReference"/>
        </w:rPr>
        <w:footnoteRef/>
      </w:r>
      <w:r>
        <w:t xml:space="preserve"> </w:t>
      </w:r>
      <w:r>
        <w:t xml:space="preserve">Ostatecznie uznałem „rzeczywiste poznanie” za najlepszy sposób oddania επιγνωσις, wzmocnionej formy</w:t>
      </w:r>
      <w:r>
        <w:t xml:space="preserve"> </w:t>
      </w:r>
      <w:r>
        <w:rPr>
          <w:iCs/>
          <w:i/>
        </w:rPr>
        <w:t xml:space="preserve">γνωσις</w:t>
      </w:r>
      <w:r>
        <w:t xml:space="preserve">, „poznanie”. Rzeczywiste poznanie to coś więcej niż zwykła wiedza intelektualna czy nawet prawdziwa wiedza teoretyczna, obejmuje doświadczenie. Tekst mówi dalej: „aby oczy waszego serca zostały oświecone”. Rzeczywiste poznanie zmienia twoje „serce”, to, kim jesteś.</w:t>
      </w:r>
    </w:p>
  </w:footnote>
  <w:footnote w:id="475">
    <w:p>
      <w:pPr>
        <w:pStyle w:val="FootnoteText"/>
      </w:pPr>
      <w:r>
        <w:rPr>
          <w:rStyle w:val="FootnoteReference"/>
        </w:rPr>
        <w:footnoteRef/>
      </w:r>
      <w:r>
        <w:t xml:space="preserve"> </w:t>
      </w:r>
      <w:r>
        <w:t xml:space="preserve">„Skierowanej do nas” — tak mówi Tekst. Zauważ, że „wierzymy” jest w czasie teraźniejszym. Rozważmy List do Efezjan 3,20: „Temu zaś, który jest w stanie uczynić niezmiernie więcej ponad wszystko, o co prosimy lub co sobie wyobrażamy, według mocy, która działa w nas”. Zauważ, że „działa” również jest w czasie teraźniejszym, to, że wierzyłeś wczoraj, nie wystarczy, musimy wierzyć dzisiaj. Ta ogromna moc, którą Bóg wlewa w nas, gdy wierzymy, przekracza nasze zdolności wyobrażania. Otóż mój osobisty horyzont jest ograniczony i określony przez moją zdolność wyobrażania. Wszystko, czego nie potrafię sobie wyobrazić, leży poza moim horyzontem, zatem oczywiście nie będę o to prosił. Ze smutkiem przyznaję, że nie osiągnąłem jeszcze poziomu duchowego, na którym potrafię uwolnić tę moc, nie zdołałem jeszcze sprawić, by prawda tego wersetu działała w moim przypadku. Rozumiem jednak, że stwierdzona tutaj prawda jest dosłowna, i mam tylko nadzieję, że jeśli nadal będę zwlekał, inni dotrą tam przede mną (abym mógł się od nich nauczyć). Celem całego przedsięwzięcia (werset 21) jest otrzymanie przez Boga chwały, a w takim zakresie, w jakim nie wykorzystujemy Jego mocy w nas, pozbawiamy Go chwały, którą mógłby i powinien otrzymać.</w:t>
      </w:r>
    </w:p>
  </w:footnote>
  <w:footnote w:id="476">
    <w:p>
      <w:pPr>
        <w:pStyle w:val="FootnoteText"/>
      </w:pPr>
      <w:r>
        <w:rPr>
          <w:rStyle w:val="FootnoteReference"/>
        </w:rPr>
        <w:footnoteRef/>
      </w:r>
      <w:r>
        <w:t xml:space="preserve"> </w:t>
      </w:r>
      <w:r>
        <w:t xml:space="preserve">Centurion nie mówił: „Z autorytetu Rzymu…”, mówił po prostu: „Zrób to, zrób tamto”. Pan Jezus nie mówił: „Z autorytetu Ojca…”, mówił po prostu: „Bądź czysty! Idź!”. W Ewangelii Łukasza 10,19 powiedział: „Daję wam autorytet nad całą mocą wroga”, mamy więc ten autorytet i to do nas należy przemówienie! Tak jak czynił to Jezus.</w:t>
      </w:r>
    </w:p>
  </w:footnote>
  <w:footnote w:id="480">
    <w:p>
      <w:pPr>
        <w:pStyle w:val="FootnoteText"/>
      </w:pPr>
      <w:r>
        <w:rPr>
          <w:rStyle w:val="FootnoteReference"/>
        </w:rPr>
        <w:footnoteRef/>
      </w:r>
      <w:r>
        <w:t xml:space="preserve"> </w:t>
      </w:r>
      <w:r>
        <w:t xml:space="preserve">Demon-przywódca wypowiada większość słów, reprezentując swoją kohortę.</w:t>
      </w:r>
    </w:p>
  </w:footnote>
  <w:footnote w:id="481">
    <w:p>
      <w:pPr>
        <w:pStyle w:val="FootnoteText"/>
      </w:pPr>
      <w:r>
        <w:rPr>
          <w:rStyle w:val="FootnoteReference"/>
        </w:rPr>
        <w:footnoteRef/>
      </w:r>
      <w:r>
        <w:t xml:space="preserve"> </w:t>
      </w:r>
      <w:r>
        <w:t xml:space="preserve">Tekst ma „Otchłań”, przypuszczalnie tę samą, o której mowa w Objawieniu Jana 20,3. Demony wiedziały coś, czego większość z nas nie wie.</w:t>
      </w:r>
    </w:p>
  </w:footnote>
  <w:footnote w:id="483">
    <w:p>
      <w:pPr>
        <w:pStyle w:val="FootnoteText"/>
      </w:pPr>
      <w:r>
        <w:rPr>
          <w:rStyle w:val="FootnoteReference"/>
        </w:rPr>
        <w:footnoteRef/>
      </w:r>
      <w:r>
        <w:t xml:space="preserve"> </w:t>
      </w:r>
      <w:r>
        <w:t xml:space="preserve">Również twierdzenie, że cudowne dary ustały, gdy ostatnia łopata ziemi spadła na grób Apostoła Jana, jest historycznym fałszem. Chrześcijanie żyjący w II, III i IV wieku, których pisma do nas dotarły, twierdzą, że dary nadal były używane w ich czasach. Żaden chrześcijanin z XX ani XXI wieku, którego tam nie było, nie ma kompetencji, by im zaprzeczać. Proszę również zobaczyć przypis do 1 Listu do Koryntian 13,12 w moim przekładzie</w:t>
      </w:r>
      <w:r>
        <w:t xml:space="preserve"> </w:t>
      </w:r>
      <w:r>
        <w:rPr>
          <w:iCs/>
          <w:i/>
        </w:rPr>
        <w:t xml:space="preserve">The Sovereign Creator Has Spoken</w:t>
      </w:r>
      <w:r>
        <w:t xml:space="preserve">. Każdy „cesacjonista” będzie miał w tej kwestii warownię Szatana w swoim umyśle, ponieważ przyjął kłamstwo. Każda doktryna wywodząca się z reakcji przeciwko skrajnościom i nadużyciom daje zwycięstwo Szatanowi. Żaden argument mający usprawiedliwić brak duchowej mocy nie może być poprawny.</w:t>
      </w:r>
    </w:p>
  </w:footnote>
  <w:footnote w:id="487">
    <w:p>
      <w:pPr>
        <w:pStyle w:val="FootnoteText"/>
      </w:pPr>
      <w:r>
        <w:rPr>
          <w:rStyle w:val="FootnoteReference"/>
        </w:rPr>
        <w:footnoteRef/>
      </w:r>
      <w:r>
        <w:t xml:space="preserve"> </w:t>
      </w:r>
      <w:r>
        <w:t xml:space="preserve">Zobacz dodatek C w moim</w:t>
      </w:r>
      <w:r>
        <w:t xml:space="preserve"> </w:t>
      </w:r>
      <w:r>
        <w:rPr>
          <w:iCs/>
          <w:i/>
        </w:rPr>
        <w:t xml:space="preserve">Identity IV</w:t>
      </w:r>
      <w:r>
        <w:t xml:space="preserve">.</w:t>
      </w:r>
    </w:p>
  </w:footnote>
  <w:footnote w:id="488">
    <w:p>
      <w:pPr>
        <w:pStyle w:val="FootnoteText"/>
      </w:pPr>
      <w:r>
        <w:rPr>
          <w:rStyle w:val="FootnoteReference"/>
        </w:rPr>
        <w:footnoteRef/>
      </w:r>
      <w:r>
        <w:t xml:space="preserve"> </w:t>
      </w:r>
      <w:r>
        <w:t xml:space="preserve">O ile mi wiadomo, ani</w:t>
      </w:r>
      <w:r>
        <w:t xml:space="preserve"> </w:t>
      </w:r>
      <w:r>
        <w:rPr>
          <w:bCs/>
          <w:b/>
        </w:rPr>
        <w:t xml:space="preserve">f</w:t>
      </w:r>
      <w:r>
        <w:rPr>
          <w:vertAlign w:val="superscript"/>
          <w:bCs/>
          <w:b/>
        </w:rPr>
        <w:t xml:space="preserve">1</w:t>
      </w:r>
      <w:r>
        <w:t xml:space="preserve">, ani</w:t>
      </w:r>
      <w:r>
        <w:t xml:space="preserve"> </w:t>
      </w:r>
      <w:r>
        <w:rPr>
          <w:bCs/>
          <w:b/>
        </w:rPr>
        <w:t xml:space="preserve">f</w:t>
      </w:r>
      <w:r>
        <w:rPr>
          <w:vertAlign w:val="superscript"/>
          <w:bCs/>
          <w:b/>
        </w:rPr>
        <w:t xml:space="preserve">13</w:t>
      </w:r>
      <w:r>
        <w:t xml:space="preserve"> </w:t>
      </w:r>
      <w:r>
        <w:t xml:space="preserve">nie istnieje poza Ewangeliami, lecz nawet tam, czy ktokolwiek przedstawił kiedykolwiek empirycznie zdefiniowany profil którejkolwiek z nich? Rozważmy następujące stwierdzenie Metzgera: „Należy zauważyć, że zgodnie z teorią, według której członkowie f</w:t>
      </w:r>
      <w:r>
        <w:rPr>
          <w:vertAlign w:val="superscript"/>
        </w:rPr>
        <w:t xml:space="preserve">1</w:t>
      </w:r>
      <w:r>
        <w:t xml:space="preserve"> </w:t>
      </w:r>
      <w:r>
        <w:t xml:space="preserve">i f</w:t>
      </w:r>
      <w:r>
        <w:rPr>
          <w:vertAlign w:val="superscript"/>
        </w:rPr>
        <w:t xml:space="preserve">13</w:t>
      </w:r>
      <w:r>
        <w:t xml:space="preserve"> </w:t>
      </w:r>
      <w:r>
        <w:t xml:space="preserve">podlegali stopniowemu dostosowywaniu do późniejszego tekstu bizantyjskiego, uczeni ustalili tekst tych rodzin, przyjmując odczyty świadków rodzinnych różniące się od Textus Receptus. Dlatego przytoczenie siglum f</w:t>
      </w:r>
      <w:r>
        <w:rPr>
          <w:vertAlign w:val="superscript"/>
        </w:rPr>
        <w:t xml:space="preserve">1</w:t>
      </w:r>
      <w:r>
        <w:t xml:space="preserve"> </w:t>
      </w:r>
      <w:r>
        <w:t xml:space="preserve">i f</w:t>
      </w:r>
      <w:r>
        <w:rPr>
          <w:vertAlign w:val="superscript"/>
        </w:rPr>
        <w:t xml:space="preserve">13</w:t>
      </w:r>
      <w:r>
        <w:t xml:space="preserve"> </w:t>
      </w:r>
      <w:r>
        <w:t xml:space="preserve">może w danym przypadku oznaczać mniejszość manuskryptów (albo nawet tylko jeden) należących do rodziny” (</w:t>
      </w:r>
      <w:r>
        <w:rPr>
          <w:iCs/>
          <w:i/>
        </w:rPr>
        <w:t xml:space="preserve">A Textual Commentary on the Greek New Testament</w:t>
      </w:r>
      <w:r>
        <w:t xml:space="preserve"> </w:t>
      </w:r>
      <w:r>
        <w:t xml:space="preserve">(tom towarzyszący UBS</w:t>
      </w:r>
      <w:r>
        <w:rPr>
          <w:vertAlign w:val="superscript"/>
        </w:rPr>
        <w:t xml:space="preserve">3</w:t>
      </w:r>
      <w:r>
        <w:t xml:space="preserve">), s. xii). Czy stwierdzenie, że takie postępowanie jest niesprawiedliwe wobec czytelnika, byłoby nierozsądne? Czy nie wprowadza użytkownika aparatu w błąd? Przynajmniej w użyciu wydań UBS sigla te nie reprezentują empirycznie zdefiniowanych profili.</w:t>
      </w:r>
    </w:p>
  </w:footnote>
  <w:footnote w:id="489">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490">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których 64 opierają się na komentarzu Teofilakta. Kolejnych czternaście ma lakuny, lecz nie jest świadkami całkowitego pominięcia. Kilka innych z pewnością zawiera fragment, lecz mikrofilm jest nieczytelny. Zatem 1389 + 240 + 14 + 7(?) = około 1650 manuskryptów sprawdzonych przez Robinsona. Nie obejmuje to lekcjonarzy, z których także sprawdził sporą liczbę. (Są to mikrofilmy przechowywane przez INTF w Münster. Wiemy teraz, że istnieje znacznie więcej zachowanych manuskryptów i prawdopodobnie jeszcze więcej manuskryptów jeszcze „niezachowanych”). Niestety o ile mi wiadomo, Robinson nie opublikował jeszcze swoich kolacjonowań, udostępniając je tym samym ogółowi.</w:t>
      </w:r>
    </w:p>
  </w:footnote>
  <w:footnote w:id="491">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492">
    <w:p>
      <w:pPr>
        <w:pStyle w:val="FootnoteText"/>
      </w:pPr>
      <w:r>
        <w:rPr>
          <w:rStyle w:val="FootnoteReference"/>
        </w:rPr>
        <w:footnoteRef/>
      </w:r>
      <w:r>
        <w:t xml:space="preserve"> </w:t>
      </w:r>
      <w:r>
        <w:t xml:space="preserve">Odczyty Rodziny 35 są poświadczone przez wczesnych świadków, lecz bez wzorca, a zatem bez zależności. Takich odczytów są jednak setki. Skąd więc archetyp</w:t>
      </w:r>
      <w:r>
        <w:t xml:space="preserve"> </w:t>
      </w:r>
      <w:r>
        <w:rPr>
          <w:bCs/>
          <w:b/>
        </w:rPr>
        <w:t xml:space="preserve">f</w:t>
      </w:r>
      <w:r>
        <w:rPr>
          <w:vertAlign w:val="superscript"/>
          <w:bCs/>
          <w:b/>
        </w:rPr>
        <w:t xml:space="preserve">35</w:t>
      </w:r>
      <w:r>
        <w:t xml:space="preserve"> </w:t>
      </w:r>
      <w:r>
        <w:t xml:space="preserve">wziął wszystkie te wczesne odczyty? Czy jego twórca podróżował i zebrał kilka odczytów z Alefa, kilka z B, kilka z P</w:t>
      </w:r>
      <w:r>
        <w:rPr>
          <w:vertAlign w:val="superscript"/>
        </w:rPr>
        <w:t xml:space="preserve">45,66,75</w:t>
      </w:r>
      <w:r>
        <w:t xml:space="preserve">, kilka z W i D itd.? Czy taka sugestia nie jest jawnie niedorzeczna? Jedyny rozsądny wniosek brzmi:</w:t>
      </w:r>
      <w:r>
        <w:t xml:space="preserve"> </w:t>
      </w:r>
      <w:r>
        <w:rPr>
          <w:u w:val="single"/>
        </w:rPr>
        <w:t xml:space="preserve">tekst</w:t>
      </w:r>
      <w:r>
        <w:rPr>
          <w:u w:val="single"/>
        </w:rPr>
        <w:t xml:space="preserve"> </w:t>
      </w:r>
      <w:r>
        <w:rPr>
          <w:bCs/>
          <w:b/>
          <w:u w:val="single"/>
        </w:rPr>
        <w:t xml:space="preserve">f</w:t>
      </w:r>
      <w:r>
        <w:rPr>
          <w:vertAlign w:val="superscript"/>
          <w:bCs/>
          <w:b/>
          <w:u w:val="single"/>
        </w:rPr>
        <w:t xml:space="preserve">35</w:t>
      </w:r>
      <w:r>
        <w:rPr>
          <w:u w:val="single"/>
        </w:rPr>
        <w:t xml:space="preserve"> </w:t>
      </w:r>
      <w:r>
        <w:rPr>
          <w:u w:val="single"/>
        </w:rPr>
        <w:t xml:space="preserve">jest starożytny (a także niezależny)</w:t>
      </w:r>
      <w:r>
        <w:t xml:space="preserve">.</w:t>
      </w:r>
    </w:p>
  </w:footnote>
  <w:footnote w:id="493">
    <w:p>
      <w:pPr>
        <w:pStyle w:val="FootnoteText"/>
      </w:pPr>
      <w:r>
        <w:rPr>
          <w:rStyle w:val="FootnoteReference"/>
        </w:rPr>
        <w:footnoteRef/>
      </w:r>
      <w:r>
        <w:t xml:space="preserve"> </w:t>
      </w:r>
      <w:r>
        <w:t xml:space="preserve">A w niektórych miejscach w Grecji, sądząc po ich zachowanych kopiach, był wszystkim, czego używano.</w:t>
      </w:r>
    </w:p>
  </w:footnote>
  <w:footnote w:id="494">
    <w:p>
      <w:pPr>
        <w:pStyle w:val="FootnoteText"/>
      </w:pPr>
      <w:r>
        <w:rPr>
          <w:rStyle w:val="FootnoteReference"/>
        </w:rPr>
        <w:footnoteRef/>
      </w:r>
      <w:r>
        <w:t xml:space="preserve"> </w:t>
      </w:r>
      <w:r>
        <w:t xml:space="preserve">Jeśli chcesz być kandydatem na najlepszego prawnika w swoim mieście, musisz być prawnikiem, podobnie w przypadku najlepszego stolarza, onkologa czy kogokolwiek innego. Jeśli w twoim mieście jest tylko jeden kandydat na burmistrza, kto zostaje wybrany?</w:t>
      </w:r>
    </w:p>
  </w:footnote>
  <w:footnote w:id="495">
    <w:p>
      <w:pPr>
        <w:pStyle w:val="FootnoteText"/>
      </w:pPr>
      <w:r>
        <w:rPr>
          <w:rStyle w:val="FootnoteReference"/>
        </w:rPr>
        <w:footnoteRef/>
      </w:r>
      <w:r>
        <w:t xml:space="preserve"> </w:t>
      </w:r>
      <w:r>
        <w:t xml:space="preserve">Bóg posłużył się głównie Wschodnimi Kościołami Prawosławnymi, aby zachować Tekst Nowego Testamentu na przestrzeni wieków, kościoły te zawsze korzystały z Tekstu, który pod każdym praktycznym względem stanowił adekwatne odzwierciedlenie Oryginału.</w:t>
      </w:r>
    </w:p>
  </w:footnote>
  <w:footnote w:id="499">
    <w:p>
      <w:pPr>
        <w:pStyle w:val="FootnoteText"/>
      </w:pPr>
      <w:r>
        <w:rPr>
          <w:rStyle w:val="FootnoteReference"/>
        </w:rPr>
        <w:footnoteRef/>
      </w:r>
      <w:r>
        <w:t xml:space="preserve"> </w:t>
      </w:r>
      <w:r>
        <w:t xml:space="preserve">Profil Rodziny 35 i klucz znajdują się wyżej, w Części II.</w:t>
      </w:r>
    </w:p>
  </w:footnote>
  <w:footnote w:id="500">
    <w:p>
      <w:pPr>
        <w:pStyle w:val="FootnoteText"/>
      </w:pPr>
      <w:r>
        <w:rPr>
          <w:rStyle w:val="FootnoteReference"/>
        </w:rPr>
        <w:footnoteRef/>
      </w:r>
      <w:r>
        <w:t xml:space="preserve"> </w:t>
      </w:r>
      <w:r>
        <w:t xml:space="preserve">W pojedynczym przykładzie, w którym wymieniam trzy odczyty, odczytem 1700 jest trzeci.</w:t>
      </w:r>
    </w:p>
  </w:footnote>
  <w:footnote w:id="502">
    <w:p>
      <w:pPr>
        <w:pStyle w:val="FootnoteText"/>
      </w:pPr>
      <w:r>
        <w:rPr>
          <w:rStyle w:val="FootnoteReference"/>
        </w:rPr>
        <w:footnoteRef/>
      </w:r>
      <w:r>
        <w:t xml:space="preserve"> </w:t>
      </w:r>
      <w:r>
        <w:t xml:space="preserve">Odrzuciwszy boskie natchnienie Nowego Testamentu, odrzucają oczywiście wszelką boską troskę o ten tekst. Ci, którzy zaprzeczają samemu istnieniu Władcy i Stwórcy, będą logicznie upierać się, że nieistniejąca istota nie może niczego uczynić.</w:t>
      </w:r>
    </w:p>
  </w:footnote>
  <w:footnote w:id="504">
    <w:p>
      <w:pPr>
        <w:pStyle w:val="FootnoteText"/>
      </w:pPr>
      <w:r>
        <w:rPr>
          <w:rStyle w:val="FootnoteReference"/>
        </w:rPr>
        <w:footnoteRef/>
      </w:r>
      <w:r>
        <w:t xml:space="preserve"> </w:t>
      </w:r>
      <w:r>
        <w:t xml:space="preserve">Badanie to wykorzystuje 77 spośród 84 znanych członków rodziny, siedem brakujących prawdopodobnie nie miałoby większego wpływu na nasze wnioski, jeśli w ogóle jakikolwiek. Spośród 77 manuskryptów wszystkie niewymienione przy formie alternatywnej mają formę główną. Tak więc w Liście Jakuba 2,14 36 manuskryptów mających formę alternatywną należy odjąć od 77, co pozostawia 41 dla formy głównej.</w:t>
      </w:r>
    </w:p>
  </w:footnote>
  <w:footnote w:id="505">
    <w:p>
      <w:pPr>
        <w:pStyle w:val="FootnoteText"/>
      </w:pPr>
      <w:r>
        <w:rPr>
          <w:rStyle w:val="FootnoteReference"/>
        </w:rPr>
        <w:footnoteRef/>
      </w:r>
      <w:r>
        <w:t xml:space="preserve"> </w:t>
      </w:r>
      <w:r>
        <w:t xml:space="preserve">Manuskrypty w nawiasach klamrowych, { }, mają wspólny egzemplarz i można je traktować jako jeden głos.</w:t>
      </w:r>
    </w:p>
  </w:footnote>
  <w:footnote w:id="506">
    <w:p>
      <w:pPr>
        <w:pStyle w:val="FootnoteText"/>
      </w:pPr>
      <w:r>
        <w:rPr>
          <w:rStyle w:val="FootnoteReference"/>
        </w:rPr>
        <w:footnoteRef/>
      </w:r>
      <w:r>
        <w:t xml:space="preserve"> </w:t>
      </w:r>
      <w:r>
        <w:t xml:space="preserve">Manuskrypt w nawiasach okrągłych ma niewielką odmianę podanej formy.</w:t>
      </w:r>
    </w:p>
  </w:footnote>
  <w:footnote w:id="507">
    <w:p>
      <w:pPr>
        <w:pStyle w:val="FootnoteText"/>
      </w:pPr>
      <w:r>
        <w:rPr>
          <w:rStyle w:val="FootnoteReference"/>
        </w:rPr>
        <w:footnoteRef/>
      </w:r>
      <w:r>
        <w:t xml:space="preserve"> </w:t>
      </w:r>
      <w:r>
        <w:t xml:space="preserve">Wymieniam tutaj manuskrypty dla obu form, ponieważ podążyłem za mniejszością. Zobacz omówienie niżej.</w:t>
      </w:r>
    </w:p>
  </w:footnote>
  <w:footnote w:id="509">
    <w:p>
      <w:pPr>
        <w:pStyle w:val="FootnoteText"/>
      </w:pPr>
      <w:r>
        <w:rPr>
          <w:rStyle w:val="FootnoteReference"/>
        </w:rPr>
        <w:footnoteRef/>
      </w:r>
      <w:r>
        <w:t xml:space="preserve"> </w:t>
      </w:r>
      <w:r>
        <w:t xml:space="preserve">W 2378 brakuje pierwszej karty 1 Listu Jana, a zatem także omawianego wersetu, ponieważ jednak w całym tekście unika obu podgrup, niemal na pewno miał tutaj tryb oznajmujący.</w:t>
      </w:r>
    </w:p>
  </w:footnote>
  <w:footnote w:id="510">
    <w:p>
      <w:pPr>
        <w:pStyle w:val="FootnoteText"/>
      </w:pPr>
      <w:r>
        <w:rPr>
          <w:rStyle w:val="FootnoteReference"/>
        </w:rPr>
        <w:footnoteRef/>
      </w:r>
      <w:r>
        <w:t xml:space="preserve"> </w:t>
      </w:r>
      <w:r>
        <w:t xml:space="preserve">Artykuł ten jest dostępny na mojej stronie www.prunch.org.</w:t>
      </w:r>
    </w:p>
  </w:footnote>
  <w:footnote w:id="514">
    <w:p>
      <w:pPr>
        <w:pStyle w:val="FootnoteText"/>
      </w:pPr>
      <w:r>
        <w:rPr>
          <w:rStyle w:val="FootnoteReference"/>
        </w:rPr>
        <w:footnoteRef/>
      </w:r>
      <w:r>
        <w:t xml:space="preserve"> </w:t>
      </w:r>
      <w:r>
        <w:t xml:space="preserve">Tommy Wasserman,</w:t>
      </w:r>
      <w:r>
        <w:t xml:space="preserve"> </w:t>
      </w:r>
      <w:r>
        <w:rPr>
          <w:iCs/>
          <w:i/>
        </w:rPr>
        <w:t xml:space="preserve">The Epistle of Jude: Its Text and Transmission</w:t>
      </w:r>
      <w:r>
        <w:t xml:space="preserve">, Stockholm: Almqvist &amp; Wiksell International, 2006.</w:t>
      </w:r>
    </w:p>
  </w:footnote>
  <w:footnote w:id="515">
    <w:p>
      <w:pPr>
        <w:pStyle w:val="FootnoteText"/>
      </w:pPr>
      <w:r>
        <w:rPr>
          <w:rStyle w:val="FootnoteReference"/>
        </w:rPr>
        <w:footnoteRef/>
      </w:r>
      <w:r>
        <w:t xml:space="preserve"> </w:t>
      </w:r>
      <w:r>
        <w:t xml:space="preserve">W rezultacie istnieje bardzo niewielka różnica między Tekstem eklektycznym a moim. Chociaż użyłem mojego, wybór ten nie podważa celu tego ćwiczenia.</w:t>
      </w:r>
    </w:p>
  </w:footnote>
  <w:footnote w:id="520">
    <w:p>
      <w:pPr>
        <w:pStyle w:val="FootnoteText"/>
      </w:pPr>
      <w:r>
        <w:rPr>
          <w:rStyle w:val="FootnoteReference"/>
        </w:rPr>
        <w:footnoteRef/>
      </w:r>
      <w:r>
        <w:t xml:space="preserve"> </w:t>
      </w:r>
      <w:r>
        <w:t xml:space="preserve">Szczegółową dokumentację i wyczerpujące omówienie innych aspektów tej kwestii można znaleźć w Burgon,</w:t>
      </w:r>
      <w:r>
        <w:t xml:space="preserve"> </w:t>
      </w:r>
      <w:r>
        <w:rPr>
          <w:iCs/>
          <w:i/>
        </w:rPr>
        <w:t xml:space="preserve">The Last Twelve Verses according to S. Mark</w:t>
      </w:r>
      <w:r>
        <w:t xml:space="preserve">, s. 19–31, 38–69, 265–290.</w:t>
      </w:r>
    </w:p>
  </w:footnote>
  <w:footnote w:id="524">
    <w:p>
      <w:pPr>
        <w:pStyle w:val="FootnoteText"/>
      </w:pPr>
      <w:r>
        <w:rPr>
          <w:rStyle w:val="FootnoteReference"/>
        </w:rPr>
        <w:footnoteRef/>
      </w:r>
      <w:r>
        <w:t xml:space="preserve"> </w:t>
      </w:r>
      <w:r>
        <w:t xml:space="preserve">Taki był stan w styczniu 2020 roku.</w:t>
      </w:r>
    </w:p>
  </w:footnote>
  <w:footnote w:id="525">
    <w:p>
      <w:pPr>
        <w:pStyle w:val="FootnoteText"/>
      </w:pPr>
      <w:r>
        <w:rPr>
          <w:rStyle w:val="FootnoteReference"/>
        </w:rPr>
        <w:footnoteRef/>
      </w:r>
      <w:r>
        <w:t xml:space="preserve"> </w:t>
      </w:r>
      <w:r>
        <w:t xml:space="preserve">GA 586, w 10,35 synowie Zebedeusza zwracają się z prośbą: „Nauczycielu, chcemy, abyś uczynił dla nas wszystko, o co możemy Cię poprosić (ημιν)”. Zamiast tego 586 ma: „Nauczycielu, chcemy, abyś uczynił dla nas wszystko, o co możecie poprosić (υμιν)” — jawny nonsens. Obie litery wymawiano tak samo, dlatego ktoś słuchający czytanego tekstu bez wątpienia zrozumiałby pierwszą osobę. Nawet ktoś czytający tekst dostrzegłby oczywisty błąd i poprawił tekst w swoim umyśle. Ponieważ 586 ma tylko ten jeden wariant w całej księdze, jedną literę, jest praktycznie doskonały.</w:t>
      </w:r>
    </w:p>
  </w:footnote>
  <w:footnote w:id="526">
    <w:p>
      <w:pPr>
        <w:pStyle w:val="FootnoteText"/>
      </w:pPr>
      <w:r>
        <w:rPr>
          <w:rStyle w:val="FootnoteReference"/>
        </w:rPr>
        <w:footnoteRef/>
      </w:r>
      <w:r>
        <w:t xml:space="preserve"> </w:t>
      </w:r>
      <w:r>
        <w:t xml:space="preserve">W 2,40 zamiast επ αυτω ma επ αυτο (w tym miejscu występuje podział w rodzinie). Przyimek επι łączy się zarówno z celownikiem, jak i biernikiem, a tłumaczenie będzie takie samo: „Łaska Boga była nad Nim”. Jeśli są to dwa sposoby powiedzenia tego samego, wówczas 2382 jest kompletny, jeśli nie, w całej księdze różni się jedną literą!</w:t>
      </w:r>
    </w:p>
  </w:footnote>
  <w:footnote w:id="527">
    <w:p>
      <w:pPr>
        <w:pStyle w:val="FootnoteText"/>
      </w:pPr>
      <w:r>
        <w:rPr>
          <w:rStyle w:val="FootnoteReference"/>
        </w:rPr>
        <w:footnoteRef/>
      </w:r>
      <w:r>
        <w:t xml:space="preserve"> </w:t>
      </w:r>
      <w:r>
        <w:t xml:space="preserve">W 1,11 zamiast ουτος Ιησους ma ουτος ο Ιησους. Zaimek wskazujący określa nawet bardziej niż rodzajnik określony, dlatego rodzajnik jest tutaj zbędny, są to więc dwa sposoby powiedzenia tego samego: „ten właśnie Jezus”. W 26,29 Paweł broni się przed królem Agryppą. Zamiast ευξαιμην, „modliłbym się”, ma ευξαμην, „modlę się”. Tryb oznajmujący jest bardziej bezpośredni niż tryb życzący, lecz różnica znaczeniowa jest niewielka. Jeśli nie są to dwa sposoby powiedzenia tego samego, wówczas 35 różni się jedną literą w całej księdze Dziejów Apostolskich!</w:t>
      </w:r>
    </w:p>
  </w:footnote>
  <w:footnote w:id="530">
    <w:p>
      <w:pPr>
        <w:pStyle w:val="FootnoteText"/>
      </w:pPr>
      <w:r>
        <w:rPr>
          <w:rStyle w:val="FootnoteReference"/>
        </w:rPr>
        <w:footnoteRef/>
      </w:r>
      <w:r>
        <w:t xml:space="preserve"> </w:t>
      </w:r>
      <w:r>
        <w:t xml:space="preserve">Rozpadł się wiele lat temu.</w:t>
      </w:r>
    </w:p>
  </w:footnote>
  <w:footnote w:id="534">
    <w:p>
      <w:pPr>
        <w:pStyle w:val="FootnoteText"/>
      </w:pPr>
      <w:r>
        <w:rPr>
          <w:rStyle w:val="FootnoteReference"/>
        </w:rPr>
        <w:footnoteRef/>
      </w:r>
      <w:r>
        <w:t xml:space="preserve"> </w:t>
      </w:r>
      <w:r>
        <w:t xml:space="preserve">R.M. Grant, „The Bible of Theophilus of Antioch”,</w:t>
      </w:r>
      <w:r>
        <w:t xml:space="preserve"> </w:t>
      </w:r>
      <w:r>
        <w:rPr>
          <w:iCs/>
          <w:i/>
        </w:rPr>
        <w:t xml:space="preserve">Journal of Biblical Literature</w:t>
      </w:r>
      <w:r>
        <w:t xml:space="preserve">, LXVI (1947), 173. Zauważ pesymizm, „nie można go odzyskać”. W takim razie krytycy marnują swój czas i nasz. Z pewnością, ponieważ nie mielibyśmy sposobu dowiedzenia się, czy go znaleźli.</w:t>
      </w:r>
    </w:p>
  </w:footnote>
  <w:footnote w:id="535">
    <w:p>
      <w:pPr>
        <w:pStyle w:val="FootnoteText"/>
      </w:pPr>
      <w:r>
        <w:rPr>
          <w:rStyle w:val="FootnoteReference"/>
        </w:rPr>
        <w:footnoteRef/>
      </w:r>
      <w:r>
        <w:t xml:space="preserve"> </w:t>
      </w:r>
      <w:r>
        <w:t xml:space="preserve">Rodzina 35, będąca zdecydowanie największą i najbardziej spójną grupą manuskryptów, była słabo reprezentowana w bibliotekach Europy Zachodniej. Zresztą bardzo niewiele manuskryptów jakiegokolwiek typu tekstu skolacjonowano wystarczająco, by umożliwić prześledzenie historii przekazu.</w:t>
      </w:r>
    </w:p>
  </w:footnote>
  <w:footnote w:id="536">
    <w:p>
      <w:pPr>
        <w:pStyle w:val="FootnoteText"/>
      </w:pPr>
      <w:r>
        <w:rPr>
          <w:rStyle w:val="FootnoteReference"/>
        </w:rPr>
        <w:footnoteRef/>
      </w:r>
      <w:r>
        <w:t xml:space="preserve"> </w:t>
      </w:r>
      <w:r>
        <w:t xml:space="preserve">Ściśle rzecz biorąc, Tekst ma „według Eonu tego świata, według władcy dziedziny powietrza” — wyrażenia są równoległe, a zatem „Eon” i „władca” mają ten sam desygnat, określoną osobę lub istotę. Duch ten działa obecnie (czas teraźniejszy) w „synach nieposłuszeństwa”. „Synowie” czegoś to ci, których to coś charakteryzuje, a tym czymś w tym przypadku jest „to” nieposłuszeństwo (Tekst ma rodzajnik określony) — kontynuacja pierwotnego buntu przeciwko Władcy wszechświata. 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(akademicki wymóg wykazania się „znajomością literatury” zmusza do marnowania czasu na wszystko, co napisali słudzy Szatana — rozważ 1 List do Koryntian 3,18–20)).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footnote>
  <w:footnote w:id="537">
    <w:p>
      <w:pPr>
        <w:pStyle w:val="FootnoteText"/>
      </w:pPr>
      <w:r>
        <w:rPr>
          <w:rStyle w:val="FootnoteReference"/>
        </w:rPr>
        <w:footnoteRef/>
      </w:r>
      <w:r>
        <w:t xml:space="preserve"> </w:t>
      </w:r>
      <w:r>
        <w:t xml:space="preserve">Wzorcowym dziełem na ten temat jest</w:t>
      </w:r>
      <w:r>
        <w:t xml:space="preserve"> </w:t>
      </w:r>
      <w:r>
        <w:rPr>
          <w:iCs/>
          <w:i/>
        </w:rPr>
        <w:t xml:space="preserve">Codex B and its Allies, a Study and an Indictment</w:t>
      </w:r>
      <w:r>
        <w:t xml:space="preserve"> </w:t>
      </w:r>
      <w:r>
        <w:t xml:space="preserve">Hermana C. Hoskiera (2 tomy, Londyn: Bernard Quaritch, 1914). Pierwszy tom (około 500 stron) zawiera szczegółowe i staranne omówienie setek oczywistych błędów w Kodeksie B, drugi (około 400 stron) czyni to samo dla Kodeksu Alef. Hoskier twierdzi, że w samych Ewangeliach te dwa manuskrypty różnią się znacznie ponad 3000 razy, przy czym liczba ta nie obejmuje drobniejszych błędów, takich jak pisownia (II, 1). Otóż prosta logika wymaga, by jeden albo drugi mylił się w tych ponad 3000 przypadkach, oba nie mogą mieć racji, zupełnie niezależnie od przypadków, w których oba się mylą. Żadna ilość subiektywnych preferencji nie może przesłonić faktu, że obiektywnie rzecz biorąc, są to kiepskie kopie.</w:t>
      </w:r>
    </w:p>
    <w:p>
      <w:pPr>
        <w:pStyle w:val="FootnoteText"/>
      </w:pPr>
      <w:r>
        <w:t xml:space="preserve">John William Burgon osobiście skolacjonował to, co za jego czasów było „pięcioma starymi uncjałami” (ℵ,A,B,C,D). W całej swojej twórczości wielokrotnie zwraca uwagę na</w:t>
      </w:r>
      <w:r>
        <w:t xml:space="preserve"> </w:t>
      </w:r>
      <w:r>
        <w:rPr>
          <w:iCs/>
          <w:i/>
        </w:rPr>
        <w:t xml:space="preserve">concordia discors</w:t>
      </w:r>
      <w:r>
        <w:t xml:space="preserve">, panujące zamieszanie i niezgodność, jakie wczesne uncjały wykazują między sobą. Ewangelia Łukasza 11,2–4 dostarcza jednego przykładu. „«Pięć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 (</w:t>
      </w:r>
      <w:r>
        <w:rPr>
          <w:iCs/>
          <w:i/>
        </w:rPr>
        <w:t xml:space="preserve">The Traditional Text of the Holy Gospels Vindicated and Established</w:t>
      </w:r>
      <w:r>
        <w:t xml:space="preserve">, opracował, uzupełnił i zredagował Edward Miller, Londyn: George Bell and Sons, 1896, s. 84). Owszem, najstarsze naprawdę znaczy najgorsze. Więcej na ten temat znajduje się na stronach 130–136</w:t>
      </w:r>
      <w:r>
        <w:t xml:space="preserve"> </w:t>
      </w:r>
      <w:r>
        <w:rPr>
          <w:iCs/>
          <w:i/>
        </w:rPr>
        <w:t xml:space="preserve">Identity IV</w:t>
      </w:r>
      <w:r>
        <w:t xml:space="preserve">.</w:t>
      </w:r>
    </w:p>
  </w:footnote>
  <w:footnote w:id="538">
    <w:p>
      <w:pPr>
        <w:pStyle w:val="FootnoteText"/>
      </w:pPr>
      <w:r>
        <w:rPr>
          <w:rStyle w:val="FootnoteReference"/>
        </w:rPr>
        <w:footnoteRef/>
      </w:r>
      <w:r>
        <w:t xml:space="preserve"> </w:t>
      </w:r>
      <w:r>
        <w:t xml:space="preserve">Proszę zauważyć, że nie krytykuję Burgona ani innych, robili, co mogli, przy dostępnych im informacjach. Wiedzieli, że teoria Horta i wynikający z niej tekst grecki nie mogą być poprawne.</w:t>
      </w:r>
    </w:p>
  </w:footnote>
  <w:footnote w:id="539">
    <w:p>
      <w:pPr>
        <w:pStyle w:val="FootnoteText"/>
      </w:pPr>
      <w:r>
        <w:rPr>
          <w:rStyle w:val="FootnoteReference"/>
        </w:rPr>
        <w:footnoteRef/>
      </w:r>
      <w:r>
        <w:t xml:space="preserve"> </w:t>
      </w:r>
      <w:r>
        <w:t xml:space="preserve">Dokumentację tego wszystkiego i znacznie więcej, przedstawioną własnymi słowami Horta, można znaleźć w biografii napisanej przez jego syna. A.F. Hort,</w:t>
      </w:r>
      <w:r>
        <w:t xml:space="preserve"> </w:t>
      </w:r>
      <w:r>
        <w:rPr>
          <w:iCs/>
          <w:i/>
        </w:rPr>
        <w:t xml:space="preserve">Life and Letters of Fenton John Anthony Hort</w:t>
      </w:r>
      <w:r>
        <w:t xml:space="preserve"> </w:t>
      </w:r>
      <w:r>
        <w:t xml:space="preserve">(2 tomy, Londyn: Macmillan and Co. Ltd., 1896). Syn szeroko wykorzystał obfitą korespondencję podziwianego przez siebie ojca. (W tamtych czasach dwutomowe „Życie”, w odróżnieniu od jednotomowej „Biografii”, było pośmiertnym symbolem statusu). Wielu moich czytelników nauczono, podobnie jak mnie, że nie wolno kwestionować ani osądzać cudzych motywów. Ale chwileczkę, skąd wzięła się taka idea? Z pewnością nie pochodzi od Boga, który oczekuje, że człowiek duchowy będzie oceniał wszystko (1 List do Koryntian 2,15). Ponieważ na tym świecie istnieją tylko dwa duchowe królestwa (Ewangelia Mateusza 12,30, Ewangelia Łukasza 11,23), idea ta pochodzi z drugiej strony. Eliminując motyw, eliminuje się również założenie wstępne, czego Bóg nigdy by nie zrobił, ponieważ założenie wstępne rządzi interpretacją (Ewangelia Mateusza 22,29, Ewangelia Marka 12,24). Dlatego powinniśmy zawsze oczekiwać, że prawdziwy uczony przedstawi swoje założenia wstępne. Wielokrotnie przedstawiałem swoje, lecz oto one ponownie: 1) istnieje Władca i Stwórca wszechświata, 2) przekazał ludzkości spisane objawienie, 3) zachował to objawienie w stanie nienaruszonym do dziś.</w:t>
      </w:r>
    </w:p>
  </w:footnote>
  <w:footnote w:id="540">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 Drugi tom wyjaśnia teorię i powszechnie uważa się go za dzieło Horta.</w:t>
      </w:r>
    </w:p>
  </w:footnote>
  <w:footnote w:id="541">
    <w:p>
      <w:pPr>
        <w:pStyle w:val="FootnoteText"/>
      </w:pPr>
      <w:r>
        <w:rPr>
          <w:rStyle w:val="FootnoteReference"/>
        </w:rPr>
        <w:footnoteRef/>
      </w:r>
      <w:r>
        <w:t xml:space="preserve"> </w:t>
      </w:r>
      <w:r>
        <w:t xml:space="preserve">Dokładne omówienie tej teorii znajduje się w rozdziałach 3 i 4</w:t>
      </w:r>
      <w:r>
        <w:t xml:space="preserve"> </w:t>
      </w:r>
      <w:r>
        <w:rPr>
          <w:iCs/>
          <w:i/>
        </w:rPr>
        <w:t xml:space="preserve">Identity IV</w:t>
      </w:r>
      <w:r>
        <w:t xml:space="preserve">.</w:t>
      </w:r>
    </w:p>
  </w:footnote>
  <w:footnote w:id="542">
    <w:p>
      <w:pPr>
        <w:pStyle w:val="FootnoteText"/>
      </w:pPr>
      <w:r>
        <w:rPr>
          <w:rStyle w:val="FootnoteReference"/>
        </w:rPr>
        <w:footnoteRef/>
      </w:r>
      <w:r>
        <w:t xml:space="preserve"> </w:t>
      </w:r>
      <w:r>
        <w:t xml:space="preserve">Powiedziałbym, że ich tekst myli się w odniesieniu do 10% słów — grecki Nowy Testament ma około 140 000 słów, tekst W-H myli się więc w odniesieniu do 14 000 z nich. Powiedziałbym, że będący obecnie w modzie tak zwany tekst „krytyczny” odbiega „tylko” w odniesieniu do około 12 000, co stanowi poprawę (choć niewielką). A tak przy okazji, jak mądre jest używanie Nowego Testamentu przygotowanego przez sługę Szatana?</w:t>
      </w:r>
    </w:p>
  </w:footnote>
  <w:footnote w:id="544">
    <w:p>
      <w:pPr>
        <w:pStyle w:val="FootnoteText"/>
      </w:pPr>
      <w:r>
        <w:rPr>
          <w:rStyle w:val="FootnoteReference"/>
        </w:rPr>
        <w:footnoteRef/>
      </w:r>
      <w:r>
        <w:t xml:space="preserve"> </w:t>
      </w:r>
      <w:r>
        <w:t xml:space="preserve">Uważam się za badacza tekstu, nie za krytyka. Tekst jest nade mną, nie odwrotnie. W eklektyzmie krytyk jest ponad tekstem, jest ponad dowodami, zamiast wiernie podążać za dowodami, sprawia, że dowody podążają za nim. Manuskrypty zostają sprowadzone do roli „dostawcy odczytów”.</w:t>
      </w:r>
    </w:p>
  </w:footnote>
  <w:footnote w:id="545">
    <w:p>
      <w:pPr>
        <w:pStyle w:val="FootnoteText"/>
      </w:pPr>
      <w:r>
        <w:rPr>
          <w:rStyle w:val="FootnoteReference"/>
        </w:rPr>
        <w:footnoteRef/>
      </w:r>
      <w:r>
        <w:t xml:space="preserve"> </w:t>
      </w:r>
      <w:r>
        <w:t xml:space="preserve">Oczywiście wiemy, że istnieje wiele manuskryptów jeszcze „niezachowanych”, jeszcze nierozpoznanych i nieskatalogowanych, liczba może więc tylko wzrosnąć.</w:t>
      </w:r>
    </w:p>
  </w:footnote>
  <w:footnote w:id="546">
    <w:p>
      <w:pPr>
        <w:pStyle w:val="FootnoteText"/>
      </w:pPr>
      <w:r>
        <w:rPr>
          <w:rStyle w:val="FootnoteReference"/>
        </w:rPr>
        <w:footnoteRef/>
      </w:r>
      <w:r>
        <w:t xml:space="preserve"> </w:t>
      </w:r>
      <w:r>
        <w:t xml:space="preserve">Colwell, „External Evidence and New Testament Criticism”,</w:t>
      </w:r>
      <w:r>
        <w:t xml:space="preserve"> </w:t>
      </w:r>
      <w:r>
        <w:rPr>
          <w:iCs/>
          <w:i/>
        </w:rPr>
        <w:t xml:space="preserve">Studies in the History and Text of the New Testament</w:t>
      </w:r>
      <w:r>
        <w:t xml:space="preserve">, red. B.L. Daniels i M.J. Suggs (Salt Lake City: University of Utah Press, 1967), s. 3.</w:t>
      </w:r>
    </w:p>
  </w:footnote>
  <w:footnote w:id="547">
    <w:p>
      <w:pPr>
        <w:pStyle w:val="FootnoteText"/>
      </w:pPr>
      <w:r>
        <w:rPr>
          <w:rStyle w:val="FootnoteReference"/>
        </w:rPr>
        <w:footnoteRef/>
      </w:r>
      <w:r>
        <w:t xml:space="preserve"> </w:t>
      </w:r>
      <w:r>
        <w:rPr>
          <w:iCs/>
          <w:i/>
        </w:rPr>
        <w:t xml:space="preserve">Tamże</w:t>
      </w:r>
      <w:r>
        <w:t xml:space="preserve">, s. 4.</w:t>
      </w:r>
    </w:p>
  </w:footnote>
  <w:footnote w:id="548">
    <w:p>
      <w:pPr>
        <w:pStyle w:val="FootnoteText"/>
      </w:pPr>
      <w:r>
        <w:rPr>
          <w:rStyle w:val="FootnoteReference"/>
        </w:rPr>
        <w:footnoteRef/>
      </w:r>
      <w:r>
        <w:t xml:space="preserve"> </w:t>
      </w:r>
      <w:r>
        <w:t xml:space="preserve">Fakt, że kopista P</w:t>
      </w:r>
      <w:r>
        <w:rPr>
          <w:vertAlign w:val="superscript"/>
        </w:rPr>
        <w:t xml:space="preserve">75</w:t>
      </w:r>
      <w:r>
        <w:t xml:space="preserve"> </w:t>
      </w:r>
      <w:r>
        <w:t xml:space="preserve">kopiował litera po literze, a kopista P</w:t>
      </w:r>
      <w:r>
        <w:rPr>
          <w:vertAlign w:val="superscript"/>
        </w:rPr>
        <w:t xml:space="preserve">66</w:t>
      </w:r>
      <w:r>
        <w:t xml:space="preserve"> </w:t>
      </w:r>
      <w:r>
        <w:t xml:space="preserve">sylaba po sylabie (Colwell, „Scribal Habits”, s. 380), silnie sugeruje, że żaden z nich nie znał greki. Przepisując tekst w języku, który znasz, kopiujesz wyrażenie po wyrażeniu albo przynajmniej słowo po słowie. P</w:t>
      </w:r>
      <w:r>
        <w:rPr>
          <w:vertAlign w:val="superscript"/>
        </w:rPr>
        <w:t xml:space="preserve">66</w:t>
      </w:r>
      <w:r>
        <w:t xml:space="preserve"> </w:t>
      </w:r>
      <w:r>
        <w:t xml:space="preserve">ma tak wiele bezsensownych odczytów, że kopista nie mógł znać znaczenia tekstu. Każdy, kto kiedykolwiek próbował ręcznie (nie na maszynie) przepisać dłuższy tekst w języku, którego nie rozumie, wie, że jest to męczące i ponure zadanie. W takich okolicznościach nie należy oczekiwać czystości przekazu.</w:t>
      </w:r>
    </w:p>
  </w:footnote>
  <w:footnote w:id="549">
    <w:p>
      <w:pPr>
        <w:pStyle w:val="FootnoteText"/>
      </w:pPr>
      <w:r>
        <w:rPr>
          <w:rStyle w:val="FootnoteReference"/>
        </w:rPr>
        <w:footnoteRef/>
      </w:r>
      <w:r>
        <w:t xml:space="preserve"> </w:t>
      </w:r>
      <w:r>
        <w:t xml:space="preserve">E.C. Colwell, „Scribal Habits in Early Papyri: A Study in the Corruption of the Text”,</w:t>
      </w:r>
      <w:r>
        <w:t xml:space="preserve"> </w:t>
      </w:r>
      <w:r>
        <w:rPr>
          <w:iCs/>
          <w:i/>
        </w:rPr>
        <w:t xml:space="preserve">The Bible in Modern Scholarship</w:t>
      </w:r>
      <w:r>
        <w:t xml:space="preserve">, red. J.P. Hyatt (New York: Abingdon Press, 1965), s. 374–376.</w:t>
      </w:r>
    </w:p>
  </w:footnote>
  <w:footnote w:id="550">
    <w:p>
      <w:pPr>
        <w:pStyle w:val="FootnoteText"/>
      </w:pPr>
      <w:r>
        <w:rPr>
          <w:rStyle w:val="FootnoteReference"/>
        </w:rPr>
        <w:footnoteRef/>
      </w:r>
      <w:r>
        <w:t xml:space="preserve"> </w:t>
      </w:r>
      <w:r>
        <w:t xml:space="preserve">Gunther Zuntz,</w:t>
      </w:r>
      <w:r>
        <w:t xml:space="preserve"> </w:t>
      </w:r>
      <w:r>
        <w:rPr>
          <w:iCs/>
          <w:i/>
        </w:rPr>
        <w:t xml:space="preserve">The Text of the Epistles</w:t>
      </w:r>
      <w:r>
        <w:t xml:space="preserve"> </w:t>
      </w:r>
      <w:r>
        <w:t xml:space="preserve">(London: Oxford University Press, 1953), s. 18.</w:t>
      </w:r>
    </w:p>
  </w:footnote>
  <w:footnote w:id="551">
    <w:p>
      <w:pPr>
        <w:pStyle w:val="FootnoteText"/>
      </w:pPr>
      <w:r>
        <w:rPr>
          <w:rStyle w:val="FootnoteReference"/>
        </w:rPr>
        <w:footnoteRef/>
      </w:r>
      <w:r>
        <w:t xml:space="preserve"> </w:t>
      </w:r>
      <w:r>
        <w:t xml:space="preserve">Gdybyś ręcznie skopiował cztery Ewangelie, czy sądzisz, że zdołałbyś popełnić tysiąc błędów? Spróbuj i zobacz!</w:t>
      </w:r>
    </w:p>
  </w:footnote>
  <w:footnote w:id="552">
    <w:p>
      <w:pPr>
        <w:pStyle w:val="FootnoteText"/>
      </w:pPr>
      <w:r>
        <w:rPr>
          <w:rStyle w:val="FootnoteReference"/>
        </w:rPr>
        <w:footnoteRef/>
      </w:r>
      <w:r>
        <w:t xml:space="preserve"> </w:t>
      </w:r>
      <w:r>
        <w:t xml:space="preserve">Colwell, „Hort Redivivus: A Plea and a Program”,</w:t>
      </w:r>
      <w:r>
        <w:t xml:space="preserve"> </w:t>
      </w:r>
      <w:r>
        <w:rPr>
          <w:iCs/>
          <w:i/>
        </w:rPr>
        <w:t xml:space="preserve">Studies in Methodology in Textual Criticism of the New Testament</w:t>
      </w:r>
      <w:r>
        <w:t xml:space="preserve">, E.C. Colwell (Leiden: E.J. Brill, 1969), s. 157. (Wyróżnienie w oryginale).</w:t>
      </w:r>
    </w:p>
  </w:footnote>
  <w:footnote w:id="554">
    <w:p>
      <w:pPr>
        <w:pStyle w:val="FootnoteText"/>
      </w:pPr>
      <w:r>
        <w:rPr>
          <w:rStyle w:val="FootnoteReference"/>
        </w:rPr>
        <w:footnoteRef/>
      </w:r>
      <w:r>
        <w:t xml:space="preserve"> </w:t>
      </w:r>
      <w:r>
        <w:t xml:space="preserve">Z.C. Hodges, „A Defense of the Majority Text” (niepublikowane notatki do kursu, Dallas Theological Seminary, 1975), s. 4. Dodatek C w moim</w:t>
      </w:r>
      <w:r>
        <w:t xml:space="preserve"> </w:t>
      </w:r>
      <w:r>
        <w:rPr>
          <w:iCs/>
          <w:i/>
        </w:rPr>
        <w:t xml:space="preserve">Identity IV</w:t>
      </w:r>
      <w:r>
        <w:t xml:space="preserve"> </w:t>
      </w:r>
      <w:r>
        <w:t xml:space="preserve">pokazuje, że matematyczna nauka o prawdopodobieństwie statystycznym zapewnia obszerne poparcie stwierdzenia Hodgesa. Statystycznie niemożliwe jest, by późny przybysz zdominował przekaz.</w:t>
      </w:r>
    </w:p>
  </w:footnote>
  <w:footnote w:id="555">
    <w:p>
      <w:pPr>
        <w:pStyle w:val="FootnoteText"/>
      </w:pPr>
      <w:r>
        <w:rPr>
          <w:rStyle w:val="FootnoteReference"/>
        </w:rPr>
        <w:footnoteRef/>
      </w:r>
      <w:r>
        <w:t xml:space="preserve"> </w:t>
      </w:r>
      <w:r>
        <w:t xml:space="preserve">Historia miejsca, w którym znaleziono Kodeks W, sugeruje, że musiał zostać skopiowany przed 200 rokiem po Chrystusie, co umieszczałoby Tekst bizantyjski w II wieku, ponieważ wykazuje wpływ bizantyjski.</w:t>
      </w:r>
    </w:p>
  </w:footnote>
  <w:footnote w:id="559">
    <w:p>
      <w:pPr>
        <w:pStyle w:val="FootnoteText"/>
      </w:pPr>
      <w:r>
        <w:rPr>
          <w:rStyle w:val="FootnoteReference"/>
        </w:rPr>
        <w:footnoteRef/>
      </w:r>
      <w:r>
        <w:t xml:space="preserve"> </w:t>
      </w:r>
      <w:r>
        <w:t xml:space="preserve">Zobacz dodatek C w moim</w:t>
      </w:r>
      <w:r>
        <w:t xml:space="preserve"> </w:t>
      </w:r>
      <w:r>
        <w:rPr>
          <w:iCs/>
          <w:i/>
        </w:rPr>
        <w:t xml:space="preserve">Identity IV</w:t>
      </w:r>
      <w:r>
        <w:t xml:space="preserve">.</w:t>
      </w:r>
    </w:p>
  </w:footnote>
  <w:footnote w:id="560">
    <w:p>
      <w:pPr>
        <w:pStyle w:val="FootnoteText"/>
      </w:pPr>
      <w:r>
        <w:rPr>
          <w:rStyle w:val="FootnoteReference"/>
        </w:rPr>
        <w:footnoteRef/>
      </w:r>
      <w:r>
        <w:t xml:space="preserve"> </w:t>
      </w:r>
      <w:r>
        <w:t xml:space="preserve">Gdy wszystkie manuskrypty zostaną skolacjonowane i empirycznie przypisane do rodzin, będziemy mogli od początku ograniczyć uwagę do tych rodzin (jak uczyniłem w Objawieniu Jana).</w:t>
      </w:r>
    </w:p>
  </w:footnote>
  <w:footnote w:id="561">
    <w:p>
      <w:pPr>
        <w:pStyle w:val="FootnoteText"/>
      </w:pPr>
      <w:r>
        <w:rPr>
          <w:rStyle w:val="FootnoteReference"/>
        </w:rPr>
        <w:footnoteRef/>
      </w:r>
      <w:r>
        <w:t xml:space="preserve"> </w:t>
      </w:r>
      <w:r>
        <w:t xml:space="preserve">O ile mi wiadomo, ani</w:t>
      </w:r>
      <w:r>
        <w:t xml:space="preserve"> </w:t>
      </w:r>
      <w:r>
        <w:rPr>
          <w:bCs/>
          <w:b/>
        </w:rPr>
        <w:t xml:space="preserve">f</w:t>
      </w:r>
      <w:r>
        <w:rPr>
          <w:vertAlign w:val="superscript"/>
          <w:bCs/>
          <w:b/>
        </w:rPr>
        <w:t xml:space="preserve">1</w:t>
      </w:r>
      <w:r>
        <w:t xml:space="preserve">, ani</w:t>
      </w:r>
      <w:r>
        <w:t xml:space="preserve"> </w:t>
      </w:r>
      <w:r>
        <w:rPr>
          <w:bCs/>
          <w:b/>
        </w:rPr>
        <w:t xml:space="preserve">f</w:t>
      </w:r>
      <w:r>
        <w:rPr>
          <w:vertAlign w:val="superscript"/>
          <w:bCs/>
          <w:b/>
        </w:rPr>
        <w:t xml:space="preserve">13</w:t>
      </w:r>
      <w:r>
        <w:t xml:space="preserve"> </w:t>
      </w:r>
      <w:r>
        <w:t xml:space="preserve">nie istnieje poza Ewangeliami, lecz nawet tam, czy ktokolwiek przedstawił kiedykolwiek empirycznie zdefiniowany profil którejkolwiek z nich? Rozważmy następujące stwierdzenie Metzgera: „Należy zauważyć, że zgodnie z teorią, według której członkowie</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 </w:t>
      </w:r>
      <w:r>
        <w:t xml:space="preserve">podlegali stopniowemu dostosowywaniu do późniejszego tekstu bizantyjskiego, uczeni ustalili tekst tych rodzin, przyjmując odczyty świadków rodzinnych różniące się od</w:t>
      </w:r>
      <w:r>
        <w:t xml:space="preserve"> </w:t>
      </w:r>
      <w:r>
        <w:rPr>
          <w:iCs/>
          <w:i/>
        </w:rPr>
        <w:t xml:space="preserve">Textus Receptus</w:t>
      </w:r>
      <w:r>
        <w:t xml:space="preserve">. Dlatego przytoczenie siglum</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 </w:t>
      </w:r>
      <w:r>
        <w:t xml:space="preserve">może w danym przypadku oznaczać mniejszość manuskryptów (albo nawet tylko jeden) należących do rodziny” (</w:t>
      </w:r>
      <w:r>
        <w:rPr>
          <w:iCs/>
          <w:i/>
        </w:rPr>
        <w:t xml:space="preserve">A Textual Commentary on the Greek New Testament</w:t>
      </w:r>
      <w:r>
        <w:t xml:space="preserve"> </w:t>
      </w:r>
      <w:r>
        <w:t xml:space="preserve">(tom towarzyszący UBS</w:t>
      </w:r>
      <w:r>
        <w:rPr>
          <w:vertAlign w:val="superscript"/>
        </w:rPr>
        <w:t xml:space="preserve">3</w:t>
      </w:r>
      <w:r>
        <w:t xml:space="preserve">), s. xii). Czy stwierdzenie, że takie postępowanie jest niesprawiedliwe wobec czytelnika, byłoby nierozsądne? Czy nie wprowadza użytkownika aparatu w błąd? Przynajmniej w użyciu wydań UBS sigla te nie reprezentują empirycznie zdefiniowanych profili.</w:t>
      </w:r>
    </w:p>
  </w:footnote>
  <w:footnote w:id="562">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których 64 opierają się na komentarzu Teofilakta. Kolejnych czternaście ma lakuny, lecz nie jest świadkami całkowitego pominięcia. Kilka innych z pewnością zawiera fragment, lecz mikrofilm jest nieczytelny. Zatem 1389 + 240 + 14 + 7(?) = około 1650 manuskryptów sprawdzonych przez Robinsona. Nie obejmuje to lekcjonarzy, z których także sprawdził sporą liczbę. (Są to mikrofilmy przechowywane przez</w:t>
      </w:r>
      <w:r>
        <w:t xml:space="preserve"> </w:t>
      </w:r>
      <w:r>
        <w:rPr>
          <w:iCs/>
          <w:i/>
        </w:rPr>
        <w:t xml:space="preserve">Institut</w:t>
      </w:r>
      <w:r>
        <w:t xml:space="preserve"> </w:t>
      </w:r>
      <w:r>
        <w:t xml:space="preserve">w Münster. Wiemy teraz, że istnieje znacznie więcej zachowanych manuskryptów i prawdopodobnie jeszcze więcej manuskryptów jeszcze „niezachowanych”). Niestety o ile mi wiadomo, Robinson nie opublikował jeszcze swoich kolacjonowań, udostępniając je tym samym ogółowi.</w:t>
      </w:r>
    </w:p>
  </w:footnote>
  <w:footnote w:id="563">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564">
    <w:p>
      <w:pPr>
        <w:pStyle w:val="FootnoteText"/>
      </w:pPr>
      <w:r>
        <w:rPr>
          <w:rStyle w:val="FootnoteReference"/>
        </w:rPr>
        <w:footnoteRef/>
      </w:r>
      <w:r>
        <w:t xml:space="preserve"> </w:t>
      </w:r>
      <w:r>
        <w:t xml:space="preserve">Jeśli chcesz być kandydatem na najlepszego prawnika w swoim mieście, musisz być prawnikiem, podobnie w przypadku najlepszego stolarza, onkologa czy kogokolwiek innego. Jeśli w twoim mieście jest tylko jeden kandydat na burmistrza, kto zostaje wybrany?</w:t>
      </w:r>
    </w:p>
  </w:footnote>
  <w:footnote w:id="565">
    <w:p>
      <w:pPr>
        <w:pStyle w:val="FootnoteText"/>
      </w:pPr>
      <w:r>
        <w:rPr>
          <w:rStyle w:val="FootnoteReference"/>
        </w:rPr>
        <w:footnoteRef/>
      </w:r>
      <w:r>
        <w:t xml:space="preserve"> </w:t>
      </w:r>
      <w:r>
        <w:t xml:space="preserve">Bóg posłużył się głównie Wschodnimi Kościołami Prawosławnymi, aby zachować Tekst Nowego Testamentu na przestrzeni wieków, kościoły te zawsze korzystały z Tekstu, który pod każdym praktycznym względem stanowił adekwatne odzwierciedlenie Oryginału.</w:t>
      </w:r>
    </w:p>
  </w:footnote>
  <w:footnote w:id="568">
    <w:p>
      <w:pPr>
        <w:pStyle w:val="FootnoteText"/>
      </w:pPr>
      <w:r>
        <w:rPr>
          <w:rStyle w:val="FootnoteReference"/>
        </w:rPr>
        <w:footnoteRef/>
      </w:r>
      <w:r>
        <w:t xml:space="preserve"> </w:t>
      </w:r>
      <w:r>
        <w:t xml:space="preserve">K. i B. Aland,</w:t>
      </w:r>
      <w:r>
        <w:t xml:space="preserve"> </w:t>
      </w:r>
      <w:r>
        <w:rPr>
          <w:iCs/>
          <w:i/>
        </w:rPr>
        <w:t xml:space="preserve">tamże</w:t>
      </w:r>
      <w:r>
        <w:t xml:space="preserve">, s. 106–125.</w:t>
      </w:r>
    </w:p>
  </w:footnote>
  <w:footnote w:id="569">
    <w:p>
      <w:pPr>
        <w:pStyle w:val="FootnoteText"/>
      </w:pPr>
      <w:r>
        <w:rPr>
          <w:rStyle w:val="FootnoteReference"/>
        </w:rPr>
        <w:footnoteRef/>
      </w:r>
      <w:r>
        <w:t xml:space="preserve"> </w:t>
      </w:r>
      <w:r>
        <w:t xml:space="preserve">Historia miejsca, w którym znaleziono Kodeks W, sugeruje, że musiał zostać skopiowany przed 200 rokiem po Chrystusie, co umieszczałoby Tekst bizantyjski w II wieku, ponieważ wykazuje wpływ bizantyjski.</w:t>
      </w:r>
    </w:p>
  </w:footnote>
  <w:footnote w:id="570">
    <w:p>
      <w:pPr>
        <w:pStyle w:val="FootnoteText"/>
      </w:pPr>
      <w:r>
        <w:rPr>
          <w:rStyle w:val="FootnoteReference"/>
        </w:rPr>
        <w:footnoteRef/>
      </w:r>
      <w:r>
        <w:t xml:space="preserve"> </w:t>
      </w:r>
      <w:r>
        <w:t xml:space="preserve">„The Significance of Grouping of New Testament Manuscripts”,</w:t>
      </w:r>
      <w:r>
        <w:t xml:space="preserve"> </w:t>
      </w:r>
      <w:r>
        <w:rPr>
          <w:iCs/>
          <w:i/>
        </w:rPr>
        <w:t xml:space="preserve">New Testament Studies</w:t>
      </w:r>
      <w:r>
        <w:t xml:space="preserve">, IV (1957–1958), 86–87.</w:t>
      </w:r>
    </w:p>
  </w:footnote>
  <w:footnote w:id="571">
    <w:p>
      <w:pPr>
        <w:pStyle w:val="FootnoteText"/>
      </w:pPr>
      <w:r>
        <w:rPr>
          <w:rStyle w:val="FootnoteReference"/>
        </w:rPr>
        <w:footnoteRef/>
      </w:r>
      <w:r>
        <w:t xml:space="preserve"> </w:t>
      </w:r>
      <w:r>
        <w:t xml:space="preserve">Dowody z wczesnych Ojców, papirusów i przekładów można znaleźć w części „But There Is No Evidence of the Byzantine Text in the Early Centuries” w rozdziale 6 mojego</w:t>
      </w:r>
      <w:r>
        <w:t xml:space="preserve"> </w:t>
      </w:r>
      <w:r>
        <w:rPr>
          <w:iCs/>
          <w:i/>
        </w:rPr>
        <w:t xml:space="preserve">Identity IV</w:t>
      </w:r>
      <w:r>
        <w:t xml:space="preserve">.</w:t>
      </w:r>
    </w:p>
  </w:footnote>
  <w:footnote w:id="572">
    <w:p>
      <w:pPr>
        <w:pStyle w:val="FootnoteText"/>
      </w:pPr>
      <w:r>
        <w:rPr>
          <w:rStyle w:val="FootnoteReference"/>
        </w:rPr>
        <w:footnoteRef/>
      </w:r>
      <w:r>
        <w:t xml:space="preserve"> </w:t>
      </w:r>
      <w:r>
        <w:t xml:space="preserve">Istnieje powód, by sądzić, że pochodzi z II wieku, ze względu na okoliczności dotyczące miejsca, w którym go odkryto.</w:t>
      </w:r>
    </w:p>
  </w:footnote>
  <w:footnote w:id="573">
    <w:p>
      <w:pPr>
        <w:pStyle w:val="FootnoteText"/>
      </w:pPr>
      <w:r>
        <w:rPr>
          <w:rStyle w:val="FootnoteReference"/>
        </w:rPr>
        <w:footnoteRef/>
      </w:r>
      <w:r>
        <w:t xml:space="preserve"> </w:t>
      </w:r>
      <w:r>
        <w:t xml:space="preserve">W lutym 1990 roku debatowałem z Danielem Wallace’em w Dallas Theological Seminary, gdzie nauczał. Użył wykresu rzekomo pokazującego rozmieszczenie greckich manuskryptów od III do IX wieku według trzech głównych „typów tekstu” (wykresu, którego używał w sali wykładowej). Od tego czasu użył tego samego wykresu w referacie przedstawionym Evangelical Theological Society. Wykres ten bardzo poważnie wprowadza w błąd. Rzucam Wallace’owi wyzwanie, by rozpoznał manuskrypty, które wykres ma rzekomo przedstawiać, i wykazał, że każdy należy do „typu tekstu”, który mu przypisał. Stwierdzono, że zachowane manuskrypty nie ukazują tekstu bizantyjskiego jako większościowego aż do IX wieku, lecz według statystyk Alanda tekst bizantyjski objął prowadzenie w Ewangeliach w V wieku i je utrzymał.</w:t>
      </w:r>
    </w:p>
    <w:p>
      <w:pPr>
        <w:pStyle w:val="FootnoteText"/>
      </w:pPr>
      <w:r>
        <w:t xml:space="preserve">Rozważmy jednak manuskrypty z IX wieku. Spośród 27 bizantyjskich manuskryptów albo części zawartości (Ewangelie, korpus Pawłowy itd.) osiem jest „czystych” w ponad 95%, dziesięć w ponad 90%, a kolejnych sześć w ponad 80%. Skąd te 24 manuskrypty albo części wzięły swoją bizantyjską zawartość? Ponieważ wszystkie różnią się zawartością, przypuszczalnie skopiowano je z tylu samo odrębnych egzemplarzy, z konieczności wcześniejszych i również bizantyjskich. A z czego skopiowano te egzemplarze? Najwyraźniej z jeszcze wcześniejszych manuskryptów bizantyjskich i tak dalej. Miejmy nadzieję, że Wallace nie będzie próbował argumentować, iż wszystkich tych manuskryptów z IX wieku nie skopiowano z niczego, lecz każdy skryba niezależnie stworzył je z niczego! Wynika z tego, że ogromna większość w IX wieku zakłada ogromną większość w VIII i tak dalej. Dlatego uczeni od Horta po Alanda uznawali, że tekst bizantyjski dominował w przekazie od IV wieku.</w:t>
      </w:r>
    </w:p>
    <w:p>
      <w:pPr>
        <w:pStyle w:val="FootnoteText"/>
      </w:pPr>
      <w:r>
        <w:t xml:space="preserve">Badacze tekstu wszystkich przekonań przez lata uznawali, że zachowani świadkowie z pierwszych stuleci nie muszą być reprezentatywni dla rzeczywistego stanu rzeczy w swoich czasach. Upieranie się, że zachowani świadkowie przedstawiają całą historię, jest nierozsądne i zakłada to, czego ma dowodzić.</w:t>
      </w:r>
    </w:p>
  </w:footnote>
  <w:footnote w:id="575">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577">
    <w:p>
      <w:pPr>
        <w:pStyle w:val="FootnoteText"/>
      </w:pPr>
      <w:r>
        <w:rPr>
          <w:rStyle w:val="FootnoteReference"/>
        </w:rPr>
        <w:footnoteRef/>
      </w:r>
      <w:r>
        <w:t xml:space="preserve"> </w:t>
      </w:r>
      <w:r>
        <w:t xml:space="preserve">Stopniowe „oczyszczanie” strumienia przekazu na przestrzeni stuleci,</w:t>
      </w:r>
      <w:r>
        <w:t xml:space="preserve"> </w:t>
      </w:r>
      <w:r>
        <w:rPr>
          <w:u w:val="single"/>
        </w:rPr>
        <w:t xml:space="preserve">oparte na zachowanych manuskryptach (z perspektywy pierwszeństwa tekstu bizantyjskiego), zostało uznane przez wszystkich</w:t>
      </w:r>
      <w:r>
        <w:t xml:space="preserve"> </w:t>
      </w:r>
      <w:r>
        <w:t xml:space="preserve">bez wyjątku, a ich próby wyjaśnienia tego zjawiska na ogół odzwierciedlają ich założenia wstępne. Z mojego punktu widzenia oczywiste wyjaśnienie brzmi następująco: wszystkie obozy uznają, że najcięższe ataki na czystość Tekstu miały miejsce w II wieku. „Serce Kościoła”, obszar Morza Egejskiego, zdecydowanie najlepiej pod każdym względem przygotowane do czuwania nad wiernym przekazem, po prostu odmówiło kopiowania form odbiegających od normy. Manuskryptów zawierających takie formy nie używano (ani nie kopiowano), dlatego wiele z nich przetrwało fizycznie ponad tysiąclecie. Mniej złe formy były używane, lecz stopniowo przestawano je kopiować. Dlatego zachowane uncjały z IX wieku są dostateczne, w ponad 80% bizantyjskie, lecz niewystarczająco dobre, by je kopiować i poddawać recyklingowi (kiedy lepsze manuskrypty przekształcono w formę kursywną). Aż do pojawienia się drukowanego tekstu manuskrypty sporządzano po to, by ich używać. Stopniowo używano tylko najlepszych, a tym samym zużywano je i kopiowano. Proces ten osiągnął kulminację w XIV wieku, kiedy osmański cień posuwał się nad Azją Mniejszą, lecz Cesarstwo Bizantyjskie nadal istniało.</w:t>
      </w:r>
    </w:p>
  </w:footnote>
  <w:footnote w:id="578">
    <w:p>
      <w:pPr>
        <w:pStyle w:val="FootnoteText"/>
      </w:pPr>
      <w:r>
        <w:rPr>
          <w:rStyle w:val="FootnoteReference"/>
        </w:rPr>
        <w:footnoteRef/>
      </w:r>
      <w:r>
        <w:t xml:space="preserve"> </w:t>
      </w:r>
      <w:r>
        <w:t xml:space="preserve">Rozważmy, do jakiego wniosku doszedł Maurice Robinson w wyniku pełnego skolacjonowania 1389 manuskryptów zawierających</w:t>
      </w:r>
      <w:r>
        <w:t xml:space="preserve"> </w:t>
      </w:r>
      <w:r>
        <w:rPr>
          <w:iCs/>
          <w:i/>
        </w:rPr>
        <w:t xml:space="preserve">Pericope</w:t>
      </w:r>
      <w:r>
        <w:t xml:space="preserve">, Ewangelię Jana 7,53–8,11:</w:t>
      </w:r>
    </w:p>
    <w:p>
      <w:pPr>
        <w:pStyle w:val="FootnoteText"/>
      </w:pPr>
      <w:r>
        <w:t xml:space="preserve">Wbrew wcześniejszym przypuszczeniom niniejszego autora obszerne kolacjonowanie manuskryptów</w:t>
      </w:r>
      <w:r>
        <w:t xml:space="preserve"> </w:t>
      </w:r>
      <w:r>
        <w:rPr>
          <w:iCs/>
          <w:i/>
        </w:rPr>
        <w:t xml:space="preserve">PA</w:t>
      </w:r>
      <w:r>
        <w:t xml:space="preserve"> </w:t>
      </w:r>
      <w:r>
        <w:t xml:space="preserve">ostatecznie wykazało jednak, że wzajemne porównywanie i poprawianie manuskryptów występowało tylko</w:t>
      </w:r>
      <w:r>
        <w:t xml:space="preserve"> </w:t>
      </w:r>
      <w:r>
        <w:rPr>
          <w:iCs/>
          <w:i/>
        </w:rPr>
        <w:t xml:space="preserve">rzadko</w:t>
      </w:r>
      <w:r>
        <w:t xml:space="preserve"> </w:t>
      </w:r>
      <w:r>
        <w:t xml:space="preserve">i</w:t>
      </w:r>
      <w:r>
        <w:t xml:space="preserve"> </w:t>
      </w:r>
      <w:r>
        <w:rPr>
          <w:iCs/>
          <w:i/>
        </w:rPr>
        <w:t xml:space="preserve">sporadycznie</w:t>
      </w:r>
      <w:r>
        <w:t xml:space="preserve">, przy niewielkim albo żadnym utrwalaniu zmian korygujących w obrębie różnorodności reprezentowanych typów (kursywa jego, także poniżej).</w:t>
      </w:r>
    </w:p>
    <w:p>
      <w:pPr>
        <w:pStyle w:val="FootnoteText"/>
      </w:pPr>
      <w:r>
        <w:t xml:space="preserve">Jeśli wzajemne poprawianie nie występowało często ani rozlegle w tej części tekstu, która ma większe zróżnicowanie niż jakiekolwiek inne miejsce w Nowym Testamencie, i jeśli dokonane poprawki nie miały skłonności do utrwalania się, nie jest prawdopodobne, by proces taki występował w tych częściach Nowego Testamentu, które miały mniejsze zróżnicowanie tekstowe… brak systematycznych i gruntownych poprawek w obrębie</w:t>
      </w:r>
      <w:r>
        <w:t xml:space="preserve"> </w:t>
      </w:r>
      <w:r>
        <w:rPr>
          <w:iCs/>
          <w:i/>
        </w:rPr>
        <w:t xml:space="preserve">PA</w:t>
      </w:r>
      <w:r>
        <w:t xml:space="preserve">, a także brak utrwalania się wzorców poprawek zdaje się jasno tego dowodzić. Wzajemne porównywanie i poprawianie</w:t>
      </w:r>
      <w:r>
        <w:t xml:space="preserve"> </w:t>
      </w:r>
      <w:r>
        <w:rPr>
          <w:iCs/>
          <w:i/>
        </w:rPr>
        <w:t xml:space="preserve">powinno</w:t>
      </w:r>
      <w:r>
        <w:t xml:space="preserve"> </w:t>
      </w:r>
      <w:r>
        <w:t xml:space="preserve">było szerzyć się i występować rozlegle w tej części tekstu z powodu istniejącej w niej wielkiej różnorodności wzorców tekstowych i odczytów, zamiast tego poprawianie występowało sporadycznie i rzadko miało charakter gruntowny.</w:t>
      </w:r>
    </w:p>
    <w:p>
      <w:pPr>
        <w:pStyle w:val="FootnoteText"/>
      </w:pPr>
      <w:r>
        <w:t xml:space="preserve">Skoro tak jest, zjawiska względnie ujednoliconej Bizantyjskiej Formy Tekstu</w:t>
      </w:r>
      <w:r>
        <w:t xml:space="preserve"> </w:t>
      </w:r>
      <w:r>
        <w:rPr>
          <w:iCs/>
          <w:i/>
        </w:rPr>
        <w:t xml:space="preserve">nie można</w:t>
      </w:r>
      <w:r>
        <w:t xml:space="preserve"> </w:t>
      </w:r>
      <w:r>
        <w:t xml:space="preserve">wyjaśnić metodologią „procesu”, niezależnie od tego, czy jest „zmodyfikowana”, czy nie…</w:t>
      </w:r>
    </w:p>
    <w:p>
      <w:pPr>
        <w:pStyle w:val="FootnoteText"/>
      </w:pPr>
      <w:r>
        <w:t xml:space="preserve">Na podstawie skolacjonowanych danych niniejszy autor jest zmuszony odwrócić swoje wcześniejsze założenia dotyczące rozwoju i przywrócenia/zachowania Bizantyjskiej Formy Tekstu w następującym sensie: chociaż sam przekaz tekstu jest procesem, wydaje się, że linie przekazu w większości pozostawały odrębne, przy stosunkowo niewielkim mieszaniu, które występowało albo się utrwalało…</w:t>
      </w:r>
    </w:p>
    <w:p>
      <w:pPr>
        <w:pStyle w:val="FootnoteText"/>
      </w:pPr>
      <w:r>
        <w:t xml:space="preserve">Z pewnością wszystkie typy tekstu</w:t>
      </w:r>
      <w:r>
        <w:t xml:space="preserve"> </w:t>
      </w:r>
      <w:r>
        <w:rPr>
          <w:iCs/>
          <w:i/>
        </w:rPr>
        <w:t xml:space="preserve">PA</w:t>
      </w:r>
      <w:r>
        <w:t xml:space="preserve"> </w:t>
      </w:r>
      <w:r>
        <w:t xml:space="preserve">są odrębne i odzwierciedlają długą linię przekazu i zachowania w swojej odrębnej integralności… … … … … … … … … … … … …</w:t>
      </w:r>
    </w:p>
    <w:p>
      <w:pPr>
        <w:pStyle w:val="FootnoteText"/>
      </w:pPr>
      <w:r>
        <w:t xml:space="preserve">Wydaje się zatem, że bizantyjskie minuskuły zachowują linie przekazu, które nie tylko są niezależne, lecz z konieczności miały swój początek w czasie znacznie wcześniejszym niż IX wiek. Zachowane uncjały nie wyjaśniają i nie mogą wyjaśnić różnorodności i stabilności form tekstowych</w:t>
      </w:r>
      <w:r>
        <w:t xml:space="preserve"> </w:t>
      </w:r>
      <w:r>
        <w:rPr>
          <w:iCs/>
          <w:i/>
        </w:rPr>
        <w:t xml:space="preserve">PA</w:t>
      </w:r>
      <w:r>
        <w:t xml:space="preserve"> </w:t>
      </w:r>
      <w:r>
        <w:t xml:space="preserve">występujących nawet wśród najwcześniejszych minuskułów z IX wieku, nie mówiąc już o różnorodności i stabilności form występujących we wszystkich stuleciach ery minuskułów. Brak szerokiego wzajemnego porównywania i poprawiania, wykazany w zachowanych manuskryptach zawierających</w:t>
      </w:r>
      <w:r>
        <w:t xml:space="preserve"> </w:t>
      </w:r>
      <w:r>
        <w:rPr>
          <w:iCs/>
          <w:i/>
        </w:rPr>
        <w:t xml:space="preserve">PA</w:t>
      </w:r>
      <w:r>
        <w:t xml:space="preserve">, wyklucza łatwe rozwinięcie się jakiejkolwiek istniejącej formy tekstu</w:t>
      </w:r>
      <w:r>
        <w:t xml:space="preserve"> </w:t>
      </w:r>
      <w:r>
        <w:rPr>
          <w:iCs/>
          <w:i/>
        </w:rPr>
        <w:t xml:space="preserve">PA</w:t>
      </w:r>
      <w:r>
        <w:t xml:space="preserve"> </w:t>
      </w:r>
      <w:r>
        <w:t xml:space="preserve">z jakiejkolwiek innej formy tekstu</w:t>
      </w:r>
      <w:r>
        <w:t xml:space="preserve"> </w:t>
      </w:r>
      <w:r>
        <w:rPr>
          <w:iCs/>
          <w:i/>
        </w:rPr>
        <w:t xml:space="preserve">PA</w:t>
      </w:r>
      <w:r>
        <w:t xml:space="preserve">, przynajmniej w epoce pergaminu. Wczesne uncjały zawierające</w:t>
      </w:r>
      <w:r>
        <w:t xml:space="preserve"> </w:t>
      </w:r>
      <w:r>
        <w:rPr>
          <w:iCs/>
          <w:i/>
        </w:rPr>
        <w:t xml:space="preserve">PA</w:t>
      </w:r>
      <w:r>
        <w:t xml:space="preserve"> </w:t>
      </w:r>
      <w:r>
        <w:t xml:space="preserve">wykazują znacznie różniące się linie przekazu, lecz nie wszystkie znane linie. Ani uncjały, ani minuskuły nie wykazują też żadnej oznaki, że jakakolwiek znana linia wywodzi się z równoległej znanej linii. Około dziesięciu linii przekazu „typu tekstu” pozostaje niezależnych i z konieczności musi sięgać punktu znacznie wcześniejszego niż nastąpiła ich odrębna stabilizacja — punktu, który zdaje się pogrzebany (jak sugerowali Colwell i Scrivener) głęboko w II wieku. („Preliminary Observations regarding the</w:t>
      </w:r>
      <w:r>
        <w:t xml:space="preserve"> </w:t>
      </w:r>
      <w:r>
        <w:rPr>
          <w:iCs/>
          <w:i/>
        </w:rPr>
        <w:t xml:space="preserve">Pericope Adulterae</w:t>
      </w:r>
      <w:r>
        <w:t xml:space="preserve"> </w:t>
      </w:r>
      <w:r>
        <w:t xml:space="preserve">based upon Fresh Collations of nearly all Continuous-Text Manuscripts and over One Hundred Lectionaries”, przedstawione Evangelical Theological Society, listopad 1998, s. 11–13).</w:t>
      </w:r>
    </w:p>
  </w:footnote>
  <w:footnote w:id="579">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(faktycznie opublikowane w 1989), s. 142–143.</w:t>
      </w:r>
    </w:p>
  </w:footnote>
  <w:footnote w:id="580">
    <w:p>
      <w:pPr>
        <w:pStyle w:val="FootnoteText"/>
      </w:pPr>
      <w:r>
        <w:rPr>
          <w:rStyle w:val="FootnoteReference"/>
        </w:rPr>
        <w:footnoteRef/>
      </w:r>
      <w:r>
        <w:t xml:space="preserve"> </w:t>
      </w:r>
      <w:r>
        <w:rPr>
          <w:iCs/>
          <w:i/>
        </w:rPr>
        <w:t xml:space="preserve">The Text of the New Testament</w:t>
      </w:r>
      <w:r>
        <w:t xml:space="preserve">, s. 53.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24">
    <w:nsid w:val="A9972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abstractNum w:abstractNumId="99725">
    <w:nsid w:val="A9972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46">
    <w:nsid w:val="A994146"/>
    <w:multiLevelType w:val="multilevel"/>
    <w:lvl w:ilvl="0">
      <w:start w:val="46"/>
      <w:numFmt w:val="decimal"/>
      <w:lvlText w:val="%1."/>
      <w:lvlJc w:val="left"/>
      <w:pPr>
        <w:ind w:left="720" w:hanging="480"/>
      </w:pPr>
    </w:lvl>
    <w:lvl w:ilvl="1">
      <w:start w:val="46"/>
      <w:numFmt w:val="decimal"/>
      <w:lvlText w:val="%2."/>
      <w:lvlJc w:val="left"/>
      <w:pPr>
        <w:ind w:left="1440" w:hanging="480"/>
      </w:pPr>
    </w:lvl>
    <w:lvl w:ilvl="2">
      <w:start w:val="46"/>
      <w:numFmt w:val="decimal"/>
      <w:lvlText w:val="%3."/>
      <w:lvlJc w:val="left"/>
      <w:pPr>
        <w:ind w:left="2160" w:hanging="480"/>
      </w:pPr>
    </w:lvl>
    <w:lvl w:ilvl="3">
      <w:start w:val="46"/>
      <w:numFmt w:val="decimal"/>
      <w:lvlText w:val="%4."/>
      <w:lvlJc w:val="left"/>
      <w:pPr>
        <w:ind w:left="2880" w:hanging="480"/>
      </w:pPr>
    </w:lvl>
    <w:lvl w:ilvl="4">
      <w:start w:val="46"/>
      <w:numFmt w:val="decimal"/>
      <w:lvlText w:val="%5."/>
      <w:lvlJc w:val="left"/>
      <w:pPr>
        <w:ind w:left="3600" w:hanging="480"/>
      </w:pPr>
    </w:lvl>
    <w:lvl w:ilvl="5">
      <w:start w:val="46"/>
      <w:numFmt w:val="decimal"/>
      <w:lvlText w:val="%6."/>
      <w:lvlJc w:val="left"/>
      <w:pPr>
        <w:ind w:left="4320" w:hanging="480"/>
      </w:pPr>
    </w:lvl>
    <w:lvl w:ilvl="6">
      <w:start w:val="46"/>
      <w:numFmt w:val="decimal"/>
      <w:lvlText w:val="%7."/>
      <w:lvlJc w:val="left"/>
      <w:pPr>
        <w:ind w:left="5040" w:hanging="480"/>
      </w:pPr>
    </w:lvl>
    <w:lvl w:ilvl="7">
      <w:start w:val="46"/>
      <w:numFmt w:val="decimal"/>
      <w:lvlText w:val="%8."/>
      <w:lvlJc w:val="left"/>
      <w:pPr>
        <w:ind w:left="5760" w:hanging="480"/>
      </w:pPr>
    </w:lvl>
    <w:lvl w:ilvl="8">
      <w:start w:val="46"/>
      <w:numFmt w:val="decimal"/>
      <w:lvlText w:val="%9."/>
      <w:lvlJc w:val="left"/>
      <w:pPr>
        <w:ind w:left="6480" w:hanging="480"/>
      </w:pPr>
    </w:lvl>
  </w:abstractNum>
  <w:abstractNum w:abstractNumId="994148">
    <w:nsid w:val="A994148"/>
    <w:multiLevelType w:val="multilevel"/>
    <w:lvl w:ilvl="0">
      <w:start w:val="48"/>
      <w:numFmt w:val="decimal"/>
      <w:lvlText w:val="%1."/>
      <w:lvlJc w:val="left"/>
      <w:pPr>
        <w:ind w:left="720" w:hanging="480"/>
      </w:pPr>
    </w:lvl>
    <w:lvl w:ilvl="1">
      <w:start w:val="48"/>
      <w:numFmt w:val="decimal"/>
      <w:lvlText w:val="%2."/>
      <w:lvlJc w:val="left"/>
      <w:pPr>
        <w:ind w:left="1440" w:hanging="480"/>
      </w:pPr>
    </w:lvl>
    <w:lvl w:ilvl="2">
      <w:start w:val="48"/>
      <w:numFmt w:val="decimal"/>
      <w:lvlText w:val="%3."/>
      <w:lvlJc w:val="left"/>
      <w:pPr>
        <w:ind w:left="2160" w:hanging="480"/>
      </w:pPr>
    </w:lvl>
    <w:lvl w:ilvl="3">
      <w:start w:val="48"/>
      <w:numFmt w:val="decimal"/>
      <w:lvlText w:val="%4."/>
      <w:lvlJc w:val="left"/>
      <w:pPr>
        <w:ind w:left="2880" w:hanging="480"/>
      </w:pPr>
    </w:lvl>
    <w:lvl w:ilvl="4">
      <w:start w:val="48"/>
      <w:numFmt w:val="decimal"/>
      <w:lvlText w:val="%5."/>
      <w:lvlJc w:val="left"/>
      <w:pPr>
        <w:ind w:left="3600" w:hanging="480"/>
      </w:pPr>
    </w:lvl>
    <w:lvl w:ilvl="5">
      <w:start w:val="48"/>
      <w:numFmt w:val="decimal"/>
      <w:lvlText w:val="%6."/>
      <w:lvlJc w:val="left"/>
      <w:pPr>
        <w:ind w:left="4320" w:hanging="480"/>
      </w:pPr>
    </w:lvl>
    <w:lvl w:ilvl="6">
      <w:start w:val="48"/>
      <w:numFmt w:val="decimal"/>
      <w:lvlText w:val="%7."/>
      <w:lvlJc w:val="left"/>
      <w:pPr>
        <w:ind w:left="5040" w:hanging="480"/>
      </w:pPr>
    </w:lvl>
    <w:lvl w:ilvl="7">
      <w:start w:val="48"/>
      <w:numFmt w:val="decimal"/>
      <w:lvlText w:val="%8."/>
      <w:lvlJc w:val="left"/>
      <w:pPr>
        <w:ind w:left="5760" w:hanging="480"/>
      </w:pPr>
    </w:lvl>
    <w:lvl w:ilvl="8">
      <w:start w:val="48"/>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71">
    <w:nsid w:val="A994171"/>
    <w:multiLevelType w:val="multilevel"/>
    <w:lvl w:ilvl="0">
      <w:start w:val="71"/>
      <w:numFmt w:val="decimal"/>
      <w:lvlText w:val="%1."/>
      <w:lvlJc w:val="left"/>
      <w:pPr>
        <w:ind w:left="720" w:hanging="480"/>
      </w:pPr>
    </w:lvl>
    <w:lvl w:ilvl="1">
      <w:start w:val="71"/>
      <w:numFmt w:val="decimal"/>
      <w:lvlText w:val="%2."/>
      <w:lvlJc w:val="left"/>
      <w:pPr>
        <w:ind w:left="1440" w:hanging="480"/>
      </w:pPr>
    </w:lvl>
    <w:lvl w:ilvl="2">
      <w:start w:val="71"/>
      <w:numFmt w:val="decimal"/>
      <w:lvlText w:val="%3."/>
      <w:lvlJc w:val="left"/>
      <w:pPr>
        <w:ind w:left="2160" w:hanging="480"/>
      </w:pPr>
    </w:lvl>
    <w:lvl w:ilvl="3">
      <w:start w:val="71"/>
      <w:numFmt w:val="decimal"/>
      <w:lvlText w:val="%4."/>
      <w:lvlJc w:val="left"/>
      <w:pPr>
        <w:ind w:left="2880" w:hanging="480"/>
      </w:pPr>
    </w:lvl>
    <w:lvl w:ilvl="4">
      <w:start w:val="71"/>
      <w:numFmt w:val="decimal"/>
      <w:lvlText w:val="%5."/>
      <w:lvlJc w:val="left"/>
      <w:pPr>
        <w:ind w:left="3600" w:hanging="480"/>
      </w:pPr>
    </w:lvl>
    <w:lvl w:ilvl="5">
      <w:start w:val="71"/>
      <w:numFmt w:val="decimal"/>
      <w:lvlText w:val="%6."/>
      <w:lvlJc w:val="left"/>
      <w:pPr>
        <w:ind w:left="4320" w:hanging="480"/>
      </w:pPr>
    </w:lvl>
    <w:lvl w:ilvl="6">
      <w:start w:val="71"/>
      <w:numFmt w:val="decimal"/>
      <w:lvlText w:val="%7."/>
      <w:lvlJc w:val="left"/>
      <w:pPr>
        <w:ind w:left="5040" w:hanging="480"/>
      </w:pPr>
    </w:lvl>
    <w:lvl w:ilvl="7">
      <w:start w:val="71"/>
      <w:numFmt w:val="decimal"/>
      <w:lvlText w:val="%8."/>
      <w:lvlJc w:val="left"/>
      <w:pPr>
        <w:ind w:left="5760" w:hanging="480"/>
      </w:pPr>
    </w:lvl>
    <w:lvl w:ilvl="8">
      <w:start w:val="71"/>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87">
    <w:nsid w:val="A994187"/>
    <w:multiLevelType w:val="multilevel"/>
    <w:lvl w:ilvl="0">
      <w:start w:val="87"/>
      <w:numFmt w:val="decimal"/>
      <w:lvlText w:val="%1."/>
      <w:lvlJc w:val="left"/>
      <w:pPr>
        <w:ind w:left="720" w:hanging="480"/>
      </w:pPr>
    </w:lvl>
    <w:lvl w:ilvl="1">
      <w:start w:val="87"/>
      <w:numFmt w:val="decimal"/>
      <w:lvlText w:val="%2."/>
      <w:lvlJc w:val="left"/>
      <w:pPr>
        <w:ind w:left="1440" w:hanging="480"/>
      </w:pPr>
    </w:lvl>
    <w:lvl w:ilvl="2">
      <w:start w:val="87"/>
      <w:numFmt w:val="decimal"/>
      <w:lvlText w:val="%3."/>
      <w:lvlJc w:val="left"/>
      <w:pPr>
        <w:ind w:left="2160" w:hanging="480"/>
      </w:pPr>
    </w:lvl>
    <w:lvl w:ilvl="3">
      <w:start w:val="87"/>
      <w:numFmt w:val="decimal"/>
      <w:lvlText w:val="%4."/>
      <w:lvlJc w:val="left"/>
      <w:pPr>
        <w:ind w:left="2880" w:hanging="480"/>
      </w:pPr>
    </w:lvl>
    <w:lvl w:ilvl="4">
      <w:start w:val="87"/>
      <w:numFmt w:val="decimal"/>
      <w:lvlText w:val="%5."/>
      <w:lvlJc w:val="left"/>
      <w:pPr>
        <w:ind w:left="3600" w:hanging="480"/>
      </w:pPr>
    </w:lvl>
    <w:lvl w:ilvl="5">
      <w:start w:val="87"/>
      <w:numFmt w:val="decimal"/>
      <w:lvlText w:val="%6."/>
      <w:lvlJc w:val="left"/>
      <w:pPr>
        <w:ind w:left="4320" w:hanging="480"/>
      </w:pPr>
    </w:lvl>
    <w:lvl w:ilvl="6">
      <w:start w:val="87"/>
      <w:numFmt w:val="decimal"/>
      <w:lvlText w:val="%7."/>
      <w:lvlJc w:val="left"/>
      <w:pPr>
        <w:ind w:left="5040" w:hanging="480"/>
      </w:pPr>
    </w:lvl>
    <w:lvl w:ilvl="7">
      <w:start w:val="87"/>
      <w:numFmt w:val="decimal"/>
      <w:lvlText w:val="%8."/>
      <w:lvlJc w:val="left"/>
      <w:pPr>
        <w:ind w:left="5760" w:hanging="480"/>
      </w:pPr>
    </w:lvl>
    <w:lvl w:ilvl="8">
      <w:start w:val="87"/>
      <w:numFmt w:val="decimal"/>
      <w:lvlText w:val="%9."/>
      <w:lvlJc w:val="left"/>
      <w:pPr>
        <w:ind w:left="6480" w:hanging="480"/>
      </w:pPr>
    </w:lvl>
  </w:abstractNum>
  <w:abstractNum w:abstractNumId="994189">
    <w:nsid w:val="A994189"/>
    <w:multiLevelType w:val="multilevel"/>
    <w:lvl w:ilvl="0">
      <w:start w:val="89"/>
      <w:numFmt w:val="decimal"/>
      <w:lvlText w:val="%1."/>
      <w:lvlJc w:val="left"/>
      <w:pPr>
        <w:ind w:left="720" w:hanging="480"/>
      </w:pPr>
    </w:lvl>
    <w:lvl w:ilvl="1">
      <w:start w:val="89"/>
      <w:numFmt w:val="decimal"/>
      <w:lvlText w:val="%2."/>
      <w:lvlJc w:val="left"/>
      <w:pPr>
        <w:ind w:left="1440" w:hanging="480"/>
      </w:pPr>
    </w:lvl>
    <w:lvl w:ilvl="2">
      <w:start w:val="89"/>
      <w:numFmt w:val="decimal"/>
      <w:lvlText w:val="%3."/>
      <w:lvlJc w:val="left"/>
      <w:pPr>
        <w:ind w:left="2160" w:hanging="480"/>
      </w:pPr>
    </w:lvl>
    <w:lvl w:ilvl="3">
      <w:start w:val="89"/>
      <w:numFmt w:val="decimal"/>
      <w:lvlText w:val="%4."/>
      <w:lvlJc w:val="left"/>
      <w:pPr>
        <w:ind w:left="2880" w:hanging="480"/>
      </w:pPr>
    </w:lvl>
    <w:lvl w:ilvl="4">
      <w:start w:val="89"/>
      <w:numFmt w:val="decimal"/>
      <w:lvlText w:val="%5."/>
      <w:lvlJc w:val="left"/>
      <w:pPr>
        <w:ind w:left="3600" w:hanging="480"/>
      </w:pPr>
    </w:lvl>
    <w:lvl w:ilvl="5">
      <w:start w:val="89"/>
      <w:numFmt w:val="decimal"/>
      <w:lvlText w:val="%6."/>
      <w:lvlJc w:val="left"/>
      <w:pPr>
        <w:ind w:left="4320" w:hanging="480"/>
      </w:pPr>
    </w:lvl>
    <w:lvl w:ilvl="6">
      <w:start w:val="89"/>
      <w:numFmt w:val="decimal"/>
      <w:lvlText w:val="%7."/>
      <w:lvlJc w:val="left"/>
      <w:pPr>
        <w:ind w:left="5040" w:hanging="480"/>
      </w:pPr>
    </w:lvl>
    <w:lvl w:ilvl="7">
      <w:start w:val="89"/>
      <w:numFmt w:val="decimal"/>
      <w:lvlText w:val="%8."/>
      <w:lvlJc w:val="left"/>
      <w:pPr>
        <w:ind w:left="5760" w:hanging="480"/>
      </w:pPr>
    </w:lvl>
    <w:lvl w:ilvl="8">
      <w:start w:val="89"/>
      <w:numFmt w:val="decimal"/>
      <w:lvlText w:val="%9."/>
      <w:lvlJc w:val="left"/>
      <w:pPr>
        <w:ind w:left="6480" w:hanging="480"/>
      </w:pPr>
    </w:lvl>
  </w:abstractNum>
  <w:abstractNum w:abstractNumId="994191">
    <w:nsid w:val="A994191"/>
    <w:multiLevelType w:val="multilevel"/>
    <w:lvl w:ilvl="0">
      <w:start w:val="91"/>
      <w:numFmt w:val="decimal"/>
      <w:lvlText w:val="%1."/>
      <w:lvlJc w:val="left"/>
      <w:pPr>
        <w:ind w:left="720" w:hanging="480"/>
      </w:pPr>
    </w:lvl>
    <w:lvl w:ilvl="1">
      <w:start w:val="91"/>
      <w:numFmt w:val="decimal"/>
      <w:lvlText w:val="%2."/>
      <w:lvlJc w:val="left"/>
      <w:pPr>
        <w:ind w:left="1440" w:hanging="480"/>
      </w:pPr>
    </w:lvl>
    <w:lvl w:ilvl="2">
      <w:start w:val="91"/>
      <w:numFmt w:val="decimal"/>
      <w:lvlText w:val="%3."/>
      <w:lvlJc w:val="left"/>
      <w:pPr>
        <w:ind w:left="2160" w:hanging="480"/>
      </w:pPr>
    </w:lvl>
    <w:lvl w:ilvl="3">
      <w:start w:val="91"/>
      <w:numFmt w:val="decimal"/>
      <w:lvlText w:val="%4."/>
      <w:lvlJc w:val="left"/>
      <w:pPr>
        <w:ind w:left="2880" w:hanging="480"/>
      </w:pPr>
    </w:lvl>
    <w:lvl w:ilvl="4">
      <w:start w:val="91"/>
      <w:numFmt w:val="decimal"/>
      <w:lvlText w:val="%5."/>
      <w:lvlJc w:val="left"/>
      <w:pPr>
        <w:ind w:left="3600" w:hanging="480"/>
      </w:pPr>
    </w:lvl>
    <w:lvl w:ilvl="5">
      <w:start w:val="91"/>
      <w:numFmt w:val="decimal"/>
      <w:lvlText w:val="%6."/>
      <w:lvlJc w:val="left"/>
      <w:pPr>
        <w:ind w:left="4320" w:hanging="480"/>
      </w:pPr>
    </w:lvl>
    <w:lvl w:ilvl="6">
      <w:start w:val="91"/>
      <w:numFmt w:val="decimal"/>
      <w:lvlText w:val="%7."/>
      <w:lvlJc w:val="left"/>
      <w:pPr>
        <w:ind w:left="5040" w:hanging="480"/>
      </w:pPr>
    </w:lvl>
    <w:lvl w:ilvl="7">
      <w:start w:val="91"/>
      <w:numFmt w:val="decimal"/>
      <w:lvlText w:val="%8."/>
      <w:lvlJc w:val="left"/>
      <w:pPr>
        <w:ind w:left="5760" w:hanging="480"/>
      </w:pPr>
    </w:lvl>
    <w:lvl w:ilvl="8">
      <w:start w:val="91"/>
      <w:numFmt w:val="decimal"/>
      <w:lvlText w:val="%9."/>
      <w:lvlJc w:val="left"/>
      <w:pPr>
        <w:ind w:left="6480" w:hanging="480"/>
      </w:pPr>
    </w:lvl>
  </w:abstractNum>
  <w:abstractNum w:abstractNumId="994193">
    <w:nsid w:val="A994193"/>
    <w:multiLevelType w:val="multilevel"/>
    <w:lvl w:ilvl="0">
      <w:start w:val="93"/>
      <w:numFmt w:val="decimal"/>
      <w:lvlText w:val="%1."/>
      <w:lvlJc w:val="left"/>
      <w:pPr>
        <w:ind w:left="720" w:hanging="480"/>
      </w:pPr>
    </w:lvl>
    <w:lvl w:ilvl="1">
      <w:start w:val="93"/>
      <w:numFmt w:val="decimal"/>
      <w:lvlText w:val="%2."/>
      <w:lvlJc w:val="left"/>
      <w:pPr>
        <w:ind w:left="1440" w:hanging="480"/>
      </w:pPr>
    </w:lvl>
    <w:lvl w:ilvl="2">
      <w:start w:val="93"/>
      <w:numFmt w:val="decimal"/>
      <w:lvlText w:val="%3."/>
      <w:lvlJc w:val="left"/>
      <w:pPr>
        <w:ind w:left="2160" w:hanging="480"/>
      </w:pPr>
    </w:lvl>
    <w:lvl w:ilvl="3">
      <w:start w:val="93"/>
      <w:numFmt w:val="decimal"/>
      <w:lvlText w:val="%4."/>
      <w:lvlJc w:val="left"/>
      <w:pPr>
        <w:ind w:left="2880" w:hanging="480"/>
      </w:pPr>
    </w:lvl>
    <w:lvl w:ilvl="4">
      <w:start w:val="93"/>
      <w:numFmt w:val="decimal"/>
      <w:lvlText w:val="%5."/>
      <w:lvlJc w:val="left"/>
      <w:pPr>
        <w:ind w:left="3600" w:hanging="480"/>
      </w:pPr>
    </w:lvl>
    <w:lvl w:ilvl="5">
      <w:start w:val="93"/>
      <w:numFmt w:val="decimal"/>
      <w:lvlText w:val="%6."/>
      <w:lvlJc w:val="left"/>
      <w:pPr>
        <w:ind w:left="4320" w:hanging="480"/>
      </w:pPr>
    </w:lvl>
    <w:lvl w:ilvl="6">
      <w:start w:val="93"/>
      <w:numFmt w:val="decimal"/>
      <w:lvlText w:val="%7."/>
      <w:lvlJc w:val="left"/>
      <w:pPr>
        <w:ind w:left="5040" w:hanging="480"/>
      </w:pPr>
    </w:lvl>
    <w:lvl w:ilvl="7">
      <w:start w:val="93"/>
      <w:numFmt w:val="decimal"/>
      <w:lvlText w:val="%8."/>
      <w:lvlJc w:val="left"/>
      <w:pPr>
        <w:ind w:left="5760" w:hanging="480"/>
      </w:pPr>
    </w:lvl>
    <w:lvl w:ilvl="8">
      <w:start w:val="93"/>
      <w:numFmt w:val="decimal"/>
      <w:lvlText w:val="%9."/>
      <w:lvlJc w:val="left"/>
      <w:pPr>
        <w:ind w:left="6480" w:hanging="480"/>
      </w:pPr>
    </w:lvl>
  </w:abstractNum>
  <w:abstractNum w:abstractNumId="994195">
    <w:nsid w:val="A994195"/>
    <w:multiLevelType w:val="multilevel"/>
    <w:lvl w:ilvl="0">
      <w:start w:val="95"/>
      <w:numFmt w:val="decimal"/>
      <w:lvlText w:val="%1."/>
      <w:lvlJc w:val="left"/>
      <w:pPr>
        <w:ind w:left="720" w:hanging="480"/>
      </w:pPr>
    </w:lvl>
    <w:lvl w:ilvl="1">
      <w:start w:val="95"/>
      <w:numFmt w:val="decimal"/>
      <w:lvlText w:val="%2."/>
      <w:lvlJc w:val="left"/>
      <w:pPr>
        <w:ind w:left="1440" w:hanging="480"/>
      </w:pPr>
    </w:lvl>
    <w:lvl w:ilvl="2">
      <w:start w:val="95"/>
      <w:numFmt w:val="decimal"/>
      <w:lvlText w:val="%3."/>
      <w:lvlJc w:val="left"/>
      <w:pPr>
        <w:ind w:left="2160" w:hanging="480"/>
      </w:pPr>
    </w:lvl>
    <w:lvl w:ilvl="3">
      <w:start w:val="95"/>
      <w:numFmt w:val="decimal"/>
      <w:lvlText w:val="%4."/>
      <w:lvlJc w:val="left"/>
      <w:pPr>
        <w:ind w:left="2880" w:hanging="480"/>
      </w:pPr>
    </w:lvl>
    <w:lvl w:ilvl="4">
      <w:start w:val="95"/>
      <w:numFmt w:val="decimal"/>
      <w:lvlText w:val="%5."/>
      <w:lvlJc w:val="left"/>
      <w:pPr>
        <w:ind w:left="3600" w:hanging="480"/>
      </w:pPr>
    </w:lvl>
    <w:lvl w:ilvl="5">
      <w:start w:val="95"/>
      <w:numFmt w:val="decimal"/>
      <w:lvlText w:val="%6."/>
      <w:lvlJc w:val="left"/>
      <w:pPr>
        <w:ind w:left="4320" w:hanging="480"/>
      </w:pPr>
    </w:lvl>
    <w:lvl w:ilvl="6">
      <w:start w:val="95"/>
      <w:numFmt w:val="decimal"/>
      <w:lvlText w:val="%7."/>
      <w:lvlJc w:val="left"/>
      <w:pPr>
        <w:ind w:left="5040" w:hanging="480"/>
      </w:pPr>
    </w:lvl>
    <w:lvl w:ilvl="7">
      <w:start w:val="95"/>
      <w:numFmt w:val="decimal"/>
      <w:lvlText w:val="%8."/>
      <w:lvlJc w:val="left"/>
      <w:pPr>
        <w:ind w:left="5760" w:hanging="480"/>
      </w:pPr>
    </w:lvl>
    <w:lvl w:ilvl="8">
      <w:start w:val="95"/>
      <w:numFmt w:val="decimal"/>
      <w:lvlText w:val="%9."/>
      <w:lvlJc w:val="left"/>
      <w:pPr>
        <w:ind w:left="6480" w:hanging="480"/>
      </w:pPr>
    </w:lvl>
  </w:abstractNum>
  <w:abstractNum w:abstractNumId="9941103">
    <w:nsid w:val="A9941103"/>
    <w:multiLevelType w:val="multilevel"/>
    <w:lvl w:ilvl="0">
      <w:start w:val="103"/>
      <w:numFmt w:val="decimal"/>
      <w:lvlText w:val="%1."/>
      <w:lvlJc w:val="left"/>
      <w:pPr>
        <w:ind w:left="720" w:hanging="480"/>
      </w:pPr>
    </w:lvl>
    <w:lvl w:ilvl="1">
      <w:start w:val="103"/>
      <w:numFmt w:val="decimal"/>
      <w:lvlText w:val="%2."/>
      <w:lvlJc w:val="left"/>
      <w:pPr>
        <w:ind w:left="1440" w:hanging="480"/>
      </w:pPr>
    </w:lvl>
    <w:lvl w:ilvl="2">
      <w:start w:val="103"/>
      <w:numFmt w:val="decimal"/>
      <w:lvlText w:val="%3."/>
      <w:lvlJc w:val="left"/>
      <w:pPr>
        <w:ind w:left="2160" w:hanging="480"/>
      </w:pPr>
    </w:lvl>
    <w:lvl w:ilvl="3">
      <w:start w:val="103"/>
      <w:numFmt w:val="decimal"/>
      <w:lvlText w:val="%4."/>
      <w:lvlJc w:val="left"/>
      <w:pPr>
        <w:ind w:left="2880" w:hanging="480"/>
      </w:pPr>
    </w:lvl>
    <w:lvl w:ilvl="4">
      <w:start w:val="103"/>
      <w:numFmt w:val="decimal"/>
      <w:lvlText w:val="%5."/>
      <w:lvlJc w:val="left"/>
      <w:pPr>
        <w:ind w:left="3600" w:hanging="480"/>
      </w:pPr>
    </w:lvl>
    <w:lvl w:ilvl="5">
      <w:start w:val="103"/>
      <w:numFmt w:val="decimal"/>
      <w:lvlText w:val="%6."/>
      <w:lvlJc w:val="left"/>
      <w:pPr>
        <w:ind w:left="4320" w:hanging="480"/>
      </w:pPr>
    </w:lvl>
    <w:lvl w:ilvl="6">
      <w:start w:val="103"/>
      <w:numFmt w:val="decimal"/>
      <w:lvlText w:val="%7."/>
      <w:lvlJc w:val="left"/>
      <w:pPr>
        <w:ind w:left="5040" w:hanging="480"/>
      </w:pPr>
    </w:lvl>
    <w:lvl w:ilvl="7">
      <w:start w:val="103"/>
      <w:numFmt w:val="decimal"/>
      <w:lvlText w:val="%8."/>
      <w:lvlJc w:val="left"/>
      <w:pPr>
        <w:ind w:left="5760" w:hanging="480"/>
      </w:pPr>
    </w:lvl>
    <w:lvl w:ilvl="8">
      <w:start w:val="103"/>
      <w:numFmt w:val="decimal"/>
      <w:lvlText w:val="%9."/>
      <w:lvlJc w:val="left"/>
      <w:pPr>
        <w:ind w:left="6480" w:hanging="480"/>
      </w:pPr>
    </w:lvl>
  </w:abstractNum>
  <w:abstractNum w:abstractNumId="9941109">
    <w:nsid w:val="A9941109"/>
    <w:multiLevelType w:val="multilevel"/>
    <w:lvl w:ilvl="0">
      <w:start w:val="109"/>
      <w:numFmt w:val="decimal"/>
      <w:lvlText w:val="%1."/>
      <w:lvlJc w:val="left"/>
      <w:pPr>
        <w:ind w:left="720" w:hanging="480"/>
      </w:pPr>
    </w:lvl>
    <w:lvl w:ilvl="1">
      <w:start w:val="109"/>
      <w:numFmt w:val="decimal"/>
      <w:lvlText w:val="%2."/>
      <w:lvlJc w:val="left"/>
      <w:pPr>
        <w:ind w:left="1440" w:hanging="480"/>
      </w:pPr>
    </w:lvl>
    <w:lvl w:ilvl="2">
      <w:start w:val="109"/>
      <w:numFmt w:val="decimal"/>
      <w:lvlText w:val="%3."/>
      <w:lvlJc w:val="left"/>
      <w:pPr>
        <w:ind w:left="2160" w:hanging="480"/>
      </w:pPr>
    </w:lvl>
    <w:lvl w:ilvl="3">
      <w:start w:val="109"/>
      <w:numFmt w:val="decimal"/>
      <w:lvlText w:val="%4."/>
      <w:lvlJc w:val="left"/>
      <w:pPr>
        <w:ind w:left="2880" w:hanging="480"/>
      </w:pPr>
    </w:lvl>
    <w:lvl w:ilvl="4">
      <w:start w:val="109"/>
      <w:numFmt w:val="decimal"/>
      <w:lvlText w:val="%5."/>
      <w:lvlJc w:val="left"/>
      <w:pPr>
        <w:ind w:left="3600" w:hanging="480"/>
      </w:pPr>
    </w:lvl>
    <w:lvl w:ilvl="5">
      <w:start w:val="109"/>
      <w:numFmt w:val="decimal"/>
      <w:lvlText w:val="%6."/>
      <w:lvlJc w:val="left"/>
      <w:pPr>
        <w:ind w:left="4320" w:hanging="480"/>
      </w:pPr>
    </w:lvl>
    <w:lvl w:ilvl="6">
      <w:start w:val="109"/>
      <w:numFmt w:val="decimal"/>
      <w:lvlText w:val="%7."/>
      <w:lvlJc w:val="left"/>
      <w:pPr>
        <w:ind w:left="5040" w:hanging="480"/>
      </w:pPr>
    </w:lvl>
    <w:lvl w:ilvl="7">
      <w:start w:val="109"/>
      <w:numFmt w:val="decimal"/>
      <w:lvlText w:val="%8."/>
      <w:lvlJc w:val="left"/>
      <w:pPr>
        <w:ind w:left="5760" w:hanging="480"/>
      </w:pPr>
    </w:lvl>
    <w:lvl w:ilvl="8">
      <w:start w:val="109"/>
      <w:numFmt w:val="decimal"/>
      <w:lvlText w:val="%9."/>
      <w:lvlJc w:val="left"/>
      <w:pPr>
        <w:ind w:left="6480" w:hanging="480"/>
      </w:pPr>
    </w:lvl>
  </w:abstractNum>
  <w:abstractNum w:abstractNumId="9941111">
    <w:nsid w:val="A9941111"/>
    <w:multiLevelType w:val="multilevel"/>
    <w:lvl w:ilvl="0">
      <w:start w:val="111"/>
      <w:numFmt w:val="decimal"/>
      <w:lvlText w:val="%1."/>
      <w:lvlJc w:val="left"/>
      <w:pPr>
        <w:ind w:left="720" w:hanging="480"/>
      </w:pPr>
    </w:lvl>
    <w:lvl w:ilvl="1">
      <w:start w:val="111"/>
      <w:numFmt w:val="decimal"/>
      <w:lvlText w:val="%2."/>
      <w:lvlJc w:val="left"/>
      <w:pPr>
        <w:ind w:left="1440" w:hanging="480"/>
      </w:pPr>
    </w:lvl>
    <w:lvl w:ilvl="2">
      <w:start w:val="111"/>
      <w:numFmt w:val="decimal"/>
      <w:lvlText w:val="%3."/>
      <w:lvlJc w:val="left"/>
      <w:pPr>
        <w:ind w:left="2160" w:hanging="480"/>
      </w:pPr>
    </w:lvl>
    <w:lvl w:ilvl="3">
      <w:start w:val="111"/>
      <w:numFmt w:val="decimal"/>
      <w:lvlText w:val="%4."/>
      <w:lvlJc w:val="left"/>
      <w:pPr>
        <w:ind w:left="2880" w:hanging="480"/>
      </w:pPr>
    </w:lvl>
    <w:lvl w:ilvl="4">
      <w:start w:val="111"/>
      <w:numFmt w:val="decimal"/>
      <w:lvlText w:val="%5."/>
      <w:lvlJc w:val="left"/>
      <w:pPr>
        <w:ind w:left="3600" w:hanging="480"/>
      </w:pPr>
    </w:lvl>
    <w:lvl w:ilvl="5">
      <w:start w:val="111"/>
      <w:numFmt w:val="decimal"/>
      <w:lvlText w:val="%6."/>
      <w:lvlJc w:val="left"/>
      <w:pPr>
        <w:ind w:left="4320" w:hanging="480"/>
      </w:pPr>
    </w:lvl>
    <w:lvl w:ilvl="6">
      <w:start w:val="111"/>
      <w:numFmt w:val="decimal"/>
      <w:lvlText w:val="%7."/>
      <w:lvlJc w:val="left"/>
      <w:pPr>
        <w:ind w:left="5040" w:hanging="480"/>
      </w:pPr>
    </w:lvl>
    <w:lvl w:ilvl="7">
      <w:start w:val="111"/>
      <w:numFmt w:val="decimal"/>
      <w:lvlText w:val="%8."/>
      <w:lvlJc w:val="left"/>
      <w:pPr>
        <w:ind w:left="5760" w:hanging="480"/>
      </w:pPr>
    </w:lvl>
    <w:lvl w:ilvl="8">
      <w:start w:val="111"/>
      <w:numFmt w:val="decimal"/>
      <w:lvlText w:val="%9."/>
      <w:lvlJc w:val="left"/>
      <w:pPr>
        <w:ind w:left="6480" w:hanging="480"/>
      </w:pPr>
    </w:lvl>
  </w:abstractNum>
  <w:abstractNum w:abstractNumId="9941117">
    <w:nsid w:val="A9941117"/>
    <w:multiLevelType w:val="multilevel"/>
    <w:lvl w:ilvl="0">
      <w:start w:val="117"/>
      <w:numFmt w:val="decimal"/>
      <w:lvlText w:val="%1."/>
      <w:lvlJc w:val="left"/>
      <w:pPr>
        <w:ind w:left="720" w:hanging="480"/>
      </w:pPr>
    </w:lvl>
    <w:lvl w:ilvl="1">
      <w:start w:val="117"/>
      <w:numFmt w:val="decimal"/>
      <w:lvlText w:val="%2."/>
      <w:lvlJc w:val="left"/>
      <w:pPr>
        <w:ind w:left="1440" w:hanging="480"/>
      </w:pPr>
    </w:lvl>
    <w:lvl w:ilvl="2">
      <w:start w:val="117"/>
      <w:numFmt w:val="decimal"/>
      <w:lvlText w:val="%3."/>
      <w:lvlJc w:val="left"/>
      <w:pPr>
        <w:ind w:left="2160" w:hanging="480"/>
      </w:pPr>
    </w:lvl>
    <w:lvl w:ilvl="3">
      <w:start w:val="117"/>
      <w:numFmt w:val="decimal"/>
      <w:lvlText w:val="%4."/>
      <w:lvlJc w:val="left"/>
      <w:pPr>
        <w:ind w:left="2880" w:hanging="480"/>
      </w:pPr>
    </w:lvl>
    <w:lvl w:ilvl="4">
      <w:start w:val="117"/>
      <w:numFmt w:val="decimal"/>
      <w:lvlText w:val="%5."/>
      <w:lvlJc w:val="left"/>
      <w:pPr>
        <w:ind w:left="3600" w:hanging="480"/>
      </w:pPr>
    </w:lvl>
    <w:lvl w:ilvl="5">
      <w:start w:val="117"/>
      <w:numFmt w:val="decimal"/>
      <w:lvlText w:val="%6."/>
      <w:lvlJc w:val="left"/>
      <w:pPr>
        <w:ind w:left="4320" w:hanging="480"/>
      </w:pPr>
    </w:lvl>
    <w:lvl w:ilvl="6">
      <w:start w:val="117"/>
      <w:numFmt w:val="decimal"/>
      <w:lvlText w:val="%7."/>
      <w:lvlJc w:val="left"/>
      <w:pPr>
        <w:ind w:left="5040" w:hanging="480"/>
      </w:pPr>
    </w:lvl>
    <w:lvl w:ilvl="7">
      <w:start w:val="117"/>
      <w:numFmt w:val="decimal"/>
      <w:lvlText w:val="%8."/>
      <w:lvlJc w:val="left"/>
      <w:pPr>
        <w:ind w:left="5760" w:hanging="480"/>
      </w:pPr>
    </w:lvl>
    <w:lvl w:ilvl="8">
      <w:start w:val="117"/>
      <w:numFmt w:val="decimal"/>
      <w:lvlText w:val="%9."/>
      <w:lvlJc w:val="left"/>
      <w:pPr>
        <w:ind w:left="6480" w:hanging="480"/>
      </w:pPr>
    </w:lvl>
  </w:abstractNum>
  <w:abstractNum w:abstractNumId="9941120">
    <w:nsid w:val="A9941120"/>
    <w:multiLevelType w:val="multilevel"/>
    <w:lvl w:ilvl="0">
      <w:start w:val="120"/>
      <w:numFmt w:val="decimal"/>
      <w:lvlText w:val="%1."/>
      <w:lvlJc w:val="left"/>
      <w:pPr>
        <w:ind w:left="720" w:hanging="480"/>
      </w:pPr>
    </w:lvl>
    <w:lvl w:ilvl="1">
      <w:start w:val="120"/>
      <w:numFmt w:val="decimal"/>
      <w:lvlText w:val="%2."/>
      <w:lvlJc w:val="left"/>
      <w:pPr>
        <w:ind w:left="1440" w:hanging="480"/>
      </w:pPr>
    </w:lvl>
    <w:lvl w:ilvl="2">
      <w:start w:val="120"/>
      <w:numFmt w:val="decimal"/>
      <w:lvlText w:val="%3."/>
      <w:lvlJc w:val="left"/>
      <w:pPr>
        <w:ind w:left="2160" w:hanging="480"/>
      </w:pPr>
    </w:lvl>
    <w:lvl w:ilvl="3">
      <w:start w:val="120"/>
      <w:numFmt w:val="decimal"/>
      <w:lvlText w:val="%4."/>
      <w:lvlJc w:val="left"/>
      <w:pPr>
        <w:ind w:left="2880" w:hanging="480"/>
      </w:pPr>
    </w:lvl>
    <w:lvl w:ilvl="4">
      <w:start w:val="120"/>
      <w:numFmt w:val="decimal"/>
      <w:lvlText w:val="%5."/>
      <w:lvlJc w:val="left"/>
      <w:pPr>
        <w:ind w:left="3600" w:hanging="480"/>
      </w:pPr>
    </w:lvl>
    <w:lvl w:ilvl="5">
      <w:start w:val="120"/>
      <w:numFmt w:val="decimal"/>
      <w:lvlText w:val="%6."/>
      <w:lvlJc w:val="left"/>
      <w:pPr>
        <w:ind w:left="4320" w:hanging="480"/>
      </w:pPr>
    </w:lvl>
    <w:lvl w:ilvl="6">
      <w:start w:val="120"/>
      <w:numFmt w:val="decimal"/>
      <w:lvlText w:val="%7."/>
      <w:lvlJc w:val="left"/>
      <w:pPr>
        <w:ind w:left="5040" w:hanging="480"/>
      </w:pPr>
    </w:lvl>
    <w:lvl w:ilvl="7">
      <w:start w:val="120"/>
      <w:numFmt w:val="decimal"/>
      <w:lvlText w:val="%8."/>
      <w:lvlJc w:val="left"/>
      <w:pPr>
        <w:ind w:left="5760" w:hanging="480"/>
      </w:pPr>
    </w:lvl>
    <w:lvl w:ilvl="8">
      <w:start w:val="120"/>
      <w:numFmt w:val="decimal"/>
      <w:lvlText w:val="%9."/>
      <w:lvlJc w:val="left"/>
      <w:pPr>
        <w:ind w:left="6480" w:hanging="480"/>
      </w:pPr>
    </w:lvl>
  </w:abstractNum>
  <w:abstractNum w:abstractNumId="9941122">
    <w:nsid w:val="A9941122"/>
    <w:multiLevelType w:val="multilevel"/>
    <w:lvl w:ilvl="0">
      <w:start w:val="122"/>
      <w:numFmt w:val="decimal"/>
      <w:lvlText w:val="%1."/>
      <w:lvlJc w:val="left"/>
      <w:pPr>
        <w:ind w:left="720" w:hanging="480"/>
      </w:pPr>
    </w:lvl>
    <w:lvl w:ilvl="1">
      <w:start w:val="122"/>
      <w:numFmt w:val="decimal"/>
      <w:lvlText w:val="%2."/>
      <w:lvlJc w:val="left"/>
      <w:pPr>
        <w:ind w:left="1440" w:hanging="480"/>
      </w:pPr>
    </w:lvl>
    <w:lvl w:ilvl="2">
      <w:start w:val="122"/>
      <w:numFmt w:val="decimal"/>
      <w:lvlText w:val="%3."/>
      <w:lvlJc w:val="left"/>
      <w:pPr>
        <w:ind w:left="2160" w:hanging="480"/>
      </w:pPr>
    </w:lvl>
    <w:lvl w:ilvl="3">
      <w:start w:val="122"/>
      <w:numFmt w:val="decimal"/>
      <w:lvlText w:val="%4."/>
      <w:lvlJc w:val="left"/>
      <w:pPr>
        <w:ind w:left="2880" w:hanging="480"/>
      </w:pPr>
    </w:lvl>
    <w:lvl w:ilvl="4">
      <w:start w:val="122"/>
      <w:numFmt w:val="decimal"/>
      <w:lvlText w:val="%5."/>
      <w:lvlJc w:val="left"/>
      <w:pPr>
        <w:ind w:left="3600" w:hanging="480"/>
      </w:pPr>
    </w:lvl>
    <w:lvl w:ilvl="5">
      <w:start w:val="122"/>
      <w:numFmt w:val="decimal"/>
      <w:lvlText w:val="%6."/>
      <w:lvlJc w:val="left"/>
      <w:pPr>
        <w:ind w:left="4320" w:hanging="480"/>
      </w:pPr>
    </w:lvl>
    <w:lvl w:ilvl="6">
      <w:start w:val="122"/>
      <w:numFmt w:val="decimal"/>
      <w:lvlText w:val="%7."/>
      <w:lvlJc w:val="left"/>
      <w:pPr>
        <w:ind w:left="5040" w:hanging="480"/>
      </w:pPr>
    </w:lvl>
    <w:lvl w:ilvl="7">
      <w:start w:val="122"/>
      <w:numFmt w:val="decimal"/>
      <w:lvlText w:val="%8."/>
      <w:lvlJc w:val="left"/>
      <w:pPr>
        <w:ind w:left="5760" w:hanging="480"/>
      </w:pPr>
    </w:lvl>
    <w:lvl w:ilvl="8">
      <w:start w:val="122"/>
      <w:numFmt w:val="decimal"/>
      <w:lvlText w:val="%9."/>
      <w:lvlJc w:val="left"/>
      <w:pPr>
        <w:ind w:left="6480" w:hanging="480"/>
      </w:pPr>
    </w:lvl>
  </w:abstractNum>
  <w:abstractNum w:abstractNumId="9941125">
    <w:nsid w:val="A9941125"/>
    <w:multiLevelType w:val="multilevel"/>
    <w:lvl w:ilvl="0">
      <w:start w:val="125"/>
      <w:numFmt w:val="decimal"/>
      <w:lvlText w:val="%1."/>
      <w:lvlJc w:val="left"/>
      <w:pPr>
        <w:ind w:left="720" w:hanging="480"/>
      </w:pPr>
    </w:lvl>
    <w:lvl w:ilvl="1">
      <w:start w:val="125"/>
      <w:numFmt w:val="decimal"/>
      <w:lvlText w:val="%2."/>
      <w:lvlJc w:val="left"/>
      <w:pPr>
        <w:ind w:left="1440" w:hanging="480"/>
      </w:pPr>
    </w:lvl>
    <w:lvl w:ilvl="2">
      <w:start w:val="125"/>
      <w:numFmt w:val="decimal"/>
      <w:lvlText w:val="%3."/>
      <w:lvlJc w:val="left"/>
      <w:pPr>
        <w:ind w:left="2160" w:hanging="480"/>
      </w:pPr>
    </w:lvl>
    <w:lvl w:ilvl="3">
      <w:start w:val="125"/>
      <w:numFmt w:val="decimal"/>
      <w:lvlText w:val="%4."/>
      <w:lvlJc w:val="left"/>
      <w:pPr>
        <w:ind w:left="2880" w:hanging="480"/>
      </w:pPr>
    </w:lvl>
    <w:lvl w:ilvl="4">
      <w:start w:val="125"/>
      <w:numFmt w:val="decimal"/>
      <w:lvlText w:val="%5."/>
      <w:lvlJc w:val="left"/>
      <w:pPr>
        <w:ind w:left="3600" w:hanging="480"/>
      </w:pPr>
    </w:lvl>
    <w:lvl w:ilvl="5">
      <w:start w:val="125"/>
      <w:numFmt w:val="decimal"/>
      <w:lvlText w:val="%6."/>
      <w:lvlJc w:val="left"/>
      <w:pPr>
        <w:ind w:left="4320" w:hanging="480"/>
      </w:pPr>
    </w:lvl>
    <w:lvl w:ilvl="6">
      <w:start w:val="125"/>
      <w:numFmt w:val="decimal"/>
      <w:lvlText w:val="%7."/>
      <w:lvlJc w:val="left"/>
      <w:pPr>
        <w:ind w:left="5040" w:hanging="480"/>
      </w:pPr>
    </w:lvl>
    <w:lvl w:ilvl="7">
      <w:start w:val="125"/>
      <w:numFmt w:val="decimal"/>
      <w:lvlText w:val="%8."/>
      <w:lvlJc w:val="left"/>
      <w:pPr>
        <w:ind w:left="5760" w:hanging="480"/>
      </w:pPr>
    </w:lvl>
    <w:lvl w:ilvl="8">
      <w:start w:val="125"/>
      <w:numFmt w:val="decimal"/>
      <w:lvlText w:val="%9."/>
      <w:lvlJc w:val="left"/>
      <w:pPr>
        <w:ind w:left="6480" w:hanging="480"/>
      </w:pPr>
    </w:lvl>
  </w:abstractNum>
  <w:abstractNum w:abstractNumId="9941130">
    <w:nsid w:val="A9941130"/>
    <w:multiLevelType w:val="multilevel"/>
    <w:lvl w:ilvl="0">
      <w:start w:val="130"/>
      <w:numFmt w:val="decimal"/>
      <w:lvlText w:val="%1."/>
      <w:lvlJc w:val="left"/>
      <w:pPr>
        <w:ind w:left="720" w:hanging="480"/>
      </w:pPr>
    </w:lvl>
    <w:lvl w:ilvl="1">
      <w:start w:val="130"/>
      <w:numFmt w:val="decimal"/>
      <w:lvlText w:val="%2."/>
      <w:lvlJc w:val="left"/>
      <w:pPr>
        <w:ind w:left="1440" w:hanging="480"/>
      </w:pPr>
    </w:lvl>
    <w:lvl w:ilvl="2">
      <w:start w:val="130"/>
      <w:numFmt w:val="decimal"/>
      <w:lvlText w:val="%3."/>
      <w:lvlJc w:val="left"/>
      <w:pPr>
        <w:ind w:left="2160" w:hanging="480"/>
      </w:pPr>
    </w:lvl>
    <w:lvl w:ilvl="3">
      <w:start w:val="130"/>
      <w:numFmt w:val="decimal"/>
      <w:lvlText w:val="%4."/>
      <w:lvlJc w:val="left"/>
      <w:pPr>
        <w:ind w:left="2880" w:hanging="480"/>
      </w:pPr>
    </w:lvl>
    <w:lvl w:ilvl="4">
      <w:start w:val="130"/>
      <w:numFmt w:val="decimal"/>
      <w:lvlText w:val="%5."/>
      <w:lvlJc w:val="left"/>
      <w:pPr>
        <w:ind w:left="3600" w:hanging="480"/>
      </w:pPr>
    </w:lvl>
    <w:lvl w:ilvl="5">
      <w:start w:val="130"/>
      <w:numFmt w:val="decimal"/>
      <w:lvlText w:val="%6."/>
      <w:lvlJc w:val="left"/>
      <w:pPr>
        <w:ind w:left="4320" w:hanging="480"/>
      </w:pPr>
    </w:lvl>
    <w:lvl w:ilvl="6">
      <w:start w:val="130"/>
      <w:numFmt w:val="decimal"/>
      <w:lvlText w:val="%7."/>
      <w:lvlJc w:val="left"/>
      <w:pPr>
        <w:ind w:left="5040" w:hanging="480"/>
      </w:pPr>
    </w:lvl>
    <w:lvl w:ilvl="7">
      <w:start w:val="130"/>
      <w:numFmt w:val="decimal"/>
      <w:lvlText w:val="%8."/>
      <w:lvlJc w:val="left"/>
      <w:pPr>
        <w:ind w:left="5760" w:hanging="480"/>
      </w:pPr>
    </w:lvl>
    <w:lvl w:ilvl="8">
      <w:start w:val="130"/>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27">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28">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29">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30">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1">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1"/>
  </w:num>
  <w:num w:numId="1050">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1">
    <w:abstractNumId w:val="991"/>
  </w:num>
  <w:num w:numId="1052">
    <w:abstractNumId w:val="991"/>
  </w:num>
  <w:num w:numId="105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1"/>
  </w:num>
  <w:num w:numId="105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1"/>
  </w:num>
  <w:num w:numId="105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1"/>
  </w:num>
  <w:num w:numId="1059">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1"/>
  </w:num>
  <w:num w:numId="1061">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1"/>
  </w:num>
  <w:num w:numId="106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1"/>
  </w:num>
  <w:num w:numId="1068">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1"/>
  </w:num>
  <w:num w:numId="107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8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83">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84">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85">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86">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87">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088">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089">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90">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91">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92">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93">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94">
    <w:abstractNumId w:val="994171"/>
    <w:lvlOverride w:ilvl="0">
      <w:startOverride w:val="71"/>
    </w:lvlOverride>
    <w:lvlOverride w:ilvl="1">
      <w:startOverride w:val="71"/>
    </w:lvlOverride>
    <w:lvlOverride w:ilvl="2">
      <w:startOverride w:val="71"/>
    </w:lvlOverride>
    <w:lvlOverride w:ilvl="3">
      <w:startOverride w:val="71"/>
    </w:lvlOverride>
    <w:lvlOverride w:ilvl="4">
      <w:startOverride w:val="71"/>
    </w:lvlOverride>
    <w:lvlOverride w:ilvl="5">
      <w:startOverride w:val="71"/>
    </w:lvlOverride>
    <w:lvlOverride w:ilvl="6">
      <w:startOverride w:val="71"/>
    </w:lvlOverride>
    <w:lvlOverride w:ilvl="7">
      <w:startOverride w:val="71"/>
    </w:lvlOverride>
    <w:lvlOverride w:ilvl="8">
      <w:startOverride w:val="71"/>
    </w:lvlOverride>
  </w:num>
  <w:num w:numId="1095">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096">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97">
    <w:abstractNumId w:val="994187"/>
    <w:lvlOverride w:ilvl="0">
      <w:startOverride w:val="87"/>
    </w:lvlOverride>
    <w:lvlOverride w:ilvl="1">
      <w:startOverride w:val="87"/>
    </w:lvlOverride>
    <w:lvlOverride w:ilvl="2">
      <w:startOverride w:val="87"/>
    </w:lvlOverride>
    <w:lvlOverride w:ilvl="3">
      <w:startOverride w:val="87"/>
    </w:lvlOverride>
    <w:lvlOverride w:ilvl="4">
      <w:startOverride w:val="87"/>
    </w:lvlOverride>
    <w:lvlOverride w:ilvl="5">
      <w:startOverride w:val="87"/>
    </w:lvlOverride>
    <w:lvlOverride w:ilvl="6">
      <w:startOverride w:val="87"/>
    </w:lvlOverride>
    <w:lvlOverride w:ilvl="7">
      <w:startOverride w:val="87"/>
    </w:lvlOverride>
    <w:lvlOverride w:ilvl="8">
      <w:startOverride w:val="87"/>
    </w:lvlOverride>
  </w:num>
  <w:num w:numId="1098">
    <w:abstractNumId w:val="994189"/>
    <w:lvlOverride w:ilvl="0">
      <w:startOverride w:val="89"/>
    </w:lvlOverride>
    <w:lvlOverride w:ilvl="1">
      <w:startOverride w:val="89"/>
    </w:lvlOverride>
    <w:lvlOverride w:ilvl="2">
      <w:startOverride w:val="89"/>
    </w:lvlOverride>
    <w:lvlOverride w:ilvl="3">
      <w:startOverride w:val="89"/>
    </w:lvlOverride>
    <w:lvlOverride w:ilvl="4">
      <w:startOverride w:val="89"/>
    </w:lvlOverride>
    <w:lvlOverride w:ilvl="5">
      <w:startOverride w:val="89"/>
    </w:lvlOverride>
    <w:lvlOverride w:ilvl="6">
      <w:startOverride w:val="89"/>
    </w:lvlOverride>
    <w:lvlOverride w:ilvl="7">
      <w:startOverride w:val="89"/>
    </w:lvlOverride>
    <w:lvlOverride w:ilvl="8">
      <w:startOverride w:val="89"/>
    </w:lvlOverride>
  </w:num>
  <w:num w:numId="1099">
    <w:abstractNumId w:val="994191"/>
    <w:lvlOverride w:ilvl="0">
      <w:startOverride w:val="91"/>
    </w:lvlOverride>
    <w:lvlOverride w:ilvl="1">
      <w:startOverride w:val="91"/>
    </w:lvlOverride>
    <w:lvlOverride w:ilvl="2">
      <w:startOverride w:val="91"/>
    </w:lvlOverride>
    <w:lvlOverride w:ilvl="3">
      <w:startOverride w:val="91"/>
    </w:lvlOverride>
    <w:lvlOverride w:ilvl="4">
      <w:startOverride w:val="91"/>
    </w:lvlOverride>
    <w:lvlOverride w:ilvl="5">
      <w:startOverride w:val="91"/>
    </w:lvlOverride>
    <w:lvlOverride w:ilvl="6">
      <w:startOverride w:val="91"/>
    </w:lvlOverride>
    <w:lvlOverride w:ilvl="7">
      <w:startOverride w:val="91"/>
    </w:lvlOverride>
    <w:lvlOverride w:ilvl="8">
      <w:startOverride w:val="91"/>
    </w:lvlOverride>
  </w:num>
  <w:num w:numId="1100">
    <w:abstractNumId w:val="994193"/>
    <w:lvlOverride w:ilvl="0">
      <w:startOverride w:val="93"/>
    </w:lvlOverride>
    <w:lvlOverride w:ilvl="1">
      <w:startOverride w:val="93"/>
    </w:lvlOverride>
    <w:lvlOverride w:ilvl="2">
      <w:startOverride w:val="93"/>
    </w:lvlOverride>
    <w:lvlOverride w:ilvl="3">
      <w:startOverride w:val="93"/>
    </w:lvlOverride>
    <w:lvlOverride w:ilvl="4">
      <w:startOverride w:val="93"/>
    </w:lvlOverride>
    <w:lvlOverride w:ilvl="5">
      <w:startOverride w:val="93"/>
    </w:lvlOverride>
    <w:lvlOverride w:ilvl="6">
      <w:startOverride w:val="93"/>
    </w:lvlOverride>
    <w:lvlOverride w:ilvl="7">
      <w:startOverride w:val="93"/>
    </w:lvlOverride>
    <w:lvlOverride w:ilvl="8">
      <w:startOverride w:val="93"/>
    </w:lvlOverride>
  </w:num>
  <w:num w:numId="1101">
    <w:abstractNumId w:val="994195"/>
    <w:lvlOverride w:ilvl="0">
      <w:startOverride w:val="95"/>
    </w:lvlOverride>
    <w:lvlOverride w:ilvl="1">
      <w:startOverride w:val="95"/>
    </w:lvlOverride>
    <w:lvlOverride w:ilvl="2">
      <w:startOverride w:val="95"/>
    </w:lvlOverride>
    <w:lvlOverride w:ilvl="3">
      <w:startOverride w:val="95"/>
    </w:lvlOverride>
    <w:lvlOverride w:ilvl="4">
      <w:startOverride w:val="95"/>
    </w:lvlOverride>
    <w:lvlOverride w:ilvl="5">
      <w:startOverride w:val="95"/>
    </w:lvlOverride>
    <w:lvlOverride w:ilvl="6">
      <w:startOverride w:val="95"/>
    </w:lvlOverride>
    <w:lvlOverride w:ilvl="7">
      <w:startOverride w:val="95"/>
    </w:lvlOverride>
    <w:lvlOverride w:ilvl="8">
      <w:startOverride w:val="95"/>
    </w:lvlOverride>
  </w:num>
  <w:num w:numId="1102">
    <w:abstractNumId w:val="9941103"/>
    <w:lvlOverride w:ilvl="0">
      <w:startOverride w:val="103"/>
    </w:lvlOverride>
    <w:lvlOverride w:ilvl="1">
      <w:startOverride w:val="103"/>
    </w:lvlOverride>
    <w:lvlOverride w:ilvl="2">
      <w:startOverride w:val="103"/>
    </w:lvlOverride>
    <w:lvlOverride w:ilvl="3">
      <w:startOverride w:val="103"/>
    </w:lvlOverride>
    <w:lvlOverride w:ilvl="4">
      <w:startOverride w:val="103"/>
    </w:lvlOverride>
    <w:lvlOverride w:ilvl="5">
      <w:startOverride w:val="103"/>
    </w:lvlOverride>
    <w:lvlOverride w:ilvl="6">
      <w:startOverride w:val="103"/>
    </w:lvlOverride>
    <w:lvlOverride w:ilvl="7">
      <w:startOverride w:val="103"/>
    </w:lvlOverride>
    <w:lvlOverride w:ilvl="8">
      <w:startOverride w:val="103"/>
    </w:lvlOverride>
  </w:num>
  <w:num w:numId="1103">
    <w:abstractNumId w:val="9941109"/>
    <w:lvlOverride w:ilvl="0">
      <w:startOverride w:val="109"/>
    </w:lvlOverride>
    <w:lvlOverride w:ilvl="1">
      <w:startOverride w:val="109"/>
    </w:lvlOverride>
    <w:lvlOverride w:ilvl="2">
      <w:startOverride w:val="109"/>
    </w:lvlOverride>
    <w:lvlOverride w:ilvl="3">
      <w:startOverride w:val="109"/>
    </w:lvlOverride>
    <w:lvlOverride w:ilvl="4">
      <w:startOverride w:val="109"/>
    </w:lvlOverride>
    <w:lvlOverride w:ilvl="5">
      <w:startOverride w:val="109"/>
    </w:lvlOverride>
    <w:lvlOverride w:ilvl="6">
      <w:startOverride w:val="109"/>
    </w:lvlOverride>
    <w:lvlOverride w:ilvl="7">
      <w:startOverride w:val="109"/>
    </w:lvlOverride>
    <w:lvlOverride w:ilvl="8">
      <w:startOverride w:val="109"/>
    </w:lvlOverride>
  </w:num>
  <w:num w:numId="1104">
    <w:abstractNumId w:val="9941111"/>
    <w:lvlOverride w:ilvl="0">
      <w:startOverride w:val="111"/>
    </w:lvlOverride>
    <w:lvlOverride w:ilvl="1">
      <w:startOverride w:val="111"/>
    </w:lvlOverride>
    <w:lvlOverride w:ilvl="2">
      <w:startOverride w:val="111"/>
    </w:lvlOverride>
    <w:lvlOverride w:ilvl="3">
      <w:startOverride w:val="111"/>
    </w:lvlOverride>
    <w:lvlOverride w:ilvl="4">
      <w:startOverride w:val="111"/>
    </w:lvlOverride>
    <w:lvlOverride w:ilvl="5">
      <w:startOverride w:val="111"/>
    </w:lvlOverride>
    <w:lvlOverride w:ilvl="6">
      <w:startOverride w:val="111"/>
    </w:lvlOverride>
    <w:lvlOverride w:ilvl="7">
      <w:startOverride w:val="111"/>
    </w:lvlOverride>
    <w:lvlOverride w:ilvl="8">
      <w:startOverride w:val="111"/>
    </w:lvlOverride>
  </w:num>
  <w:num w:numId="1105">
    <w:abstractNumId w:val="9941117"/>
    <w:lvlOverride w:ilvl="0">
      <w:startOverride w:val="117"/>
    </w:lvlOverride>
    <w:lvlOverride w:ilvl="1">
      <w:startOverride w:val="117"/>
    </w:lvlOverride>
    <w:lvlOverride w:ilvl="2">
      <w:startOverride w:val="117"/>
    </w:lvlOverride>
    <w:lvlOverride w:ilvl="3">
      <w:startOverride w:val="117"/>
    </w:lvlOverride>
    <w:lvlOverride w:ilvl="4">
      <w:startOverride w:val="117"/>
    </w:lvlOverride>
    <w:lvlOverride w:ilvl="5">
      <w:startOverride w:val="117"/>
    </w:lvlOverride>
    <w:lvlOverride w:ilvl="6">
      <w:startOverride w:val="117"/>
    </w:lvlOverride>
    <w:lvlOverride w:ilvl="7">
      <w:startOverride w:val="117"/>
    </w:lvlOverride>
    <w:lvlOverride w:ilvl="8">
      <w:startOverride w:val="117"/>
    </w:lvlOverride>
  </w:num>
  <w:num w:numId="1106">
    <w:abstractNumId w:val="9941120"/>
    <w:lvlOverride w:ilvl="0">
      <w:startOverride w:val="120"/>
    </w:lvlOverride>
    <w:lvlOverride w:ilvl="1">
      <w:startOverride w:val="120"/>
    </w:lvlOverride>
    <w:lvlOverride w:ilvl="2">
      <w:startOverride w:val="120"/>
    </w:lvlOverride>
    <w:lvlOverride w:ilvl="3">
      <w:startOverride w:val="120"/>
    </w:lvlOverride>
    <w:lvlOverride w:ilvl="4">
      <w:startOverride w:val="120"/>
    </w:lvlOverride>
    <w:lvlOverride w:ilvl="5">
      <w:startOverride w:val="120"/>
    </w:lvlOverride>
    <w:lvlOverride w:ilvl="6">
      <w:startOverride w:val="120"/>
    </w:lvlOverride>
    <w:lvlOverride w:ilvl="7">
      <w:startOverride w:val="120"/>
    </w:lvlOverride>
    <w:lvlOverride w:ilvl="8">
      <w:startOverride w:val="120"/>
    </w:lvlOverride>
  </w:num>
  <w:num w:numId="1107">
    <w:abstractNumId w:val="9941122"/>
    <w:lvlOverride w:ilvl="0">
      <w:startOverride w:val="122"/>
    </w:lvlOverride>
    <w:lvlOverride w:ilvl="1">
      <w:startOverride w:val="122"/>
    </w:lvlOverride>
    <w:lvlOverride w:ilvl="2">
      <w:startOverride w:val="122"/>
    </w:lvlOverride>
    <w:lvlOverride w:ilvl="3">
      <w:startOverride w:val="122"/>
    </w:lvlOverride>
    <w:lvlOverride w:ilvl="4">
      <w:startOverride w:val="122"/>
    </w:lvlOverride>
    <w:lvlOverride w:ilvl="5">
      <w:startOverride w:val="122"/>
    </w:lvlOverride>
    <w:lvlOverride w:ilvl="6">
      <w:startOverride w:val="122"/>
    </w:lvlOverride>
    <w:lvlOverride w:ilvl="7">
      <w:startOverride w:val="122"/>
    </w:lvlOverride>
    <w:lvlOverride w:ilvl="8">
      <w:startOverride w:val="122"/>
    </w:lvlOverride>
  </w:num>
  <w:num w:numId="1108">
    <w:abstractNumId w:val="9941125"/>
    <w:lvlOverride w:ilvl="0">
      <w:startOverride w:val="125"/>
    </w:lvlOverride>
    <w:lvlOverride w:ilvl="1">
      <w:startOverride w:val="125"/>
    </w:lvlOverride>
    <w:lvlOverride w:ilvl="2">
      <w:startOverride w:val="125"/>
    </w:lvlOverride>
    <w:lvlOverride w:ilvl="3">
      <w:startOverride w:val="125"/>
    </w:lvlOverride>
    <w:lvlOverride w:ilvl="4">
      <w:startOverride w:val="125"/>
    </w:lvlOverride>
    <w:lvlOverride w:ilvl="5">
      <w:startOverride w:val="125"/>
    </w:lvlOverride>
    <w:lvlOverride w:ilvl="6">
      <w:startOverride w:val="125"/>
    </w:lvlOverride>
    <w:lvlOverride w:ilvl="7">
      <w:startOverride w:val="125"/>
    </w:lvlOverride>
    <w:lvlOverride w:ilvl="8">
      <w:startOverride w:val="125"/>
    </w:lvlOverride>
  </w:num>
  <w:num w:numId="1109">
    <w:abstractNumId w:val="9941130"/>
    <w:lvlOverride w:ilvl="0">
      <w:startOverride w:val="130"/>
    </w:lvlOverride>
    <w:lvlOverride w:ilvl="1">
      <w:startOverride w:val="130"/>
    </w:lvlOverride>
    <w:lvlOverride w:ilvl="2">
      <w:startOverride w:val="130"/>
    </w:lvlOverride>
    <w:lvlOverride w:ilvl="3">
      <w:startOverride w:val="130"/>
    </w:lvlOverride>
    <w:lvlOverride w:ilvl="4">
      <w:startOverride w:val="130"/>
    </w:lvlOverride>
    <w:lvlOverride w:ilvl="5">
      <w:startOverride w:val="130"/>
    </w:lvlOverride>
    <w:lvlOverride w:ilvl="6">
      <w:startOverride w:val="130"/>
    </w:lvlOverride>
    <w:lvlOverride w:ilvl="7">
      <w:startOverride w:val="130"/>
    </w:lvlOverride>
    <w:lvlOverride w:ilvl="8">
      <w:startOverride w:val="130"/>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image" Id="rId165" Target="media/rId165.jp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2026-09-11T04:51:53Z</dcterms:created>
  <dcterms:modified xsi:type="dcterms:W3CDTF">2026-09-11T04:51:53Z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