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Boskie</w:t>
      </w:r>
      <w:r>
        <w:t xml:space="preserve"> </w:t>
      </w:r>
      <w:r>
        <w:t xml:space="preserve">zachowanie</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Oznacza to to: że</w:t>
      </w:r>
    </w:p>
    <w:p>
      <w:pPr>
        <w:pStyle w:val="FirstParagraph"/>
      </w:pPr>
      <w:r>
        <w:t xml:space="preserve">chociaż bardziej naturalnie brzmiałoby:</w:t>
      </w:r>
    </w:p>
    <w:p>
      <w:pPr>
        <w:pStyle w:val="BlockText"/>
      </w:pPr>
      <w:r>
        <w:t xml:space="preserve">Oznacza to, że</w:t>
      </w:r>
    </w:p>
    <w:p>
      <w:pPr>
        <w:pStyle w:val="FirstParagraph"/>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w:t>
      </w:r>
      <w:r>
        <w:t xml:space="preserve"> </w:t>
      </w:r>
      <w:r>
        <w:t xml:space="preserve">“</w:t>
      </w:r>
      <w:r>
        <w:rPr>
          <w:iCs/>
          <w:i/>
        </w:rPr>
        <w:t xml:space="preserve">Oryginał dostępny na http://thechristiancommons.com.</w:t>
      </w:r>
      <w:r>
        <w:t xml:space="preserve">”</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wspólnie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19"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absurdalnie, niedorzecznie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śmiesznie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absurdalnie, niedorzecznie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absurdalnie, niedorzecznie niemożliwa.</w:t>
      </w:r>
    </w:p>
    <w:p>
      <w:pPr>
        <w:pStyle w:val="BodyText"/>
      </w:pPr>
      <w:r>
        <w:t xml:space="preserve">Tak zwana</w:t>
      </w:r>
      <w:r>
        <w:t xml:space="preserve"> </w:t>
      </w:r>
      <w:r>
        <w:t xml:space="preserve">“</w:t>
      </w:r>
      <w:r>
        <w:t xml:space="preserve">kolumna geologiczna</w:t>
      </w:r>
      <w:r>
        <w:t xml:space="preserve">”</w:t>
      </w:r>
      <w:r>
        <w:rPr>
          <w:rStyle w:val="FootnoteReference"/>
        </w:rPr>
        <w:footnoteReference w:id="39"/>
      </w:r>
      <w:r>
        <w:t xml:space="preserve"> </w:t>
      </w:r>
      <w:r>
        <w:t xml:space="preserve">to fikcja. W Australii znajdują się skamieniałe pnie drzew, stojące pionowo, przechodzące przez różne warstwy skał osadowych, które według</w:t>
      </w:r>
      <w:r>
        <w:t xml:space="preserve"> </w:t>
      </w:r>
      <w:r>
        <w:t xml:space="preserve">“</w:t>
      </w:r>
      <w:r>
        <w:t xml:space="preserve">kolumny geologicznej</w:t>
      </w:r>
      <w:r>
        <w:t xml:space="preserve">”</w:t>
      </w:r>
      <w:r>
        <w:t xml:space="preserve"> </w:t>
      </w:r>
      <w:r>
        <w:t xml:space="preserve">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w:t>
      </w:r>
      <w:r>
        <w:t xml:space="preserve"> </w:t>
      </w:r>
      <w:r>
        <w:t xml:space="preserve">“</w:t>
      </w:r>
      <w:r>
        <w:t xml:space="preserve">kolumny</w:t>
      </w:r>
      <w:r>
        <w:t xml:space="preserve">”</w:t>
      </w:r>
      <w:r>
        <w:t xml:space="preserve">), ale obszar ten jest tak rozległy, że żadna znana siła nie byłaby w stanie pokonać tarcia powstałego przy próbie przesunięcia jednej warstwy po drugiej (stosowany argument) – to również jest niemożliwe dla</w:t>
      </w:r>
      <w:r>
        <w:t xml:space="preserve"> </w:t>
      </w:r>
      <w:r>
        <w:t xml:space="preserve">“</w:t>
      </w:r>
      <w:r>
        <w:t xml:space="preserve">kolumny geologicznej</w:t>
      </w:r>
      <w:r>
        <w:t xml:space="preserve">”</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w:t>
      </w:r>
      <w:r>
        <w:t xml:space="preserve"> </w:t>
      </w:r>
      <w:r>
        <w:t xml:space="preserve">“</w:t>
      </w:r>
      <w:r>
        <w:t xml:space="preserve">kolumny geologicznej</w:t>
      </w:r>
      <w:r>
        <w:t xml:space="preserve">”</w:t>
      </w:r>
      <w:r>
        <w:t xml:space="preserve"> </w:t>
      </w:r>
      <w:r>
        <w:t xml:space="preserve">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absurdalnie, niedorzecznie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absurdalnie, niedorzecznie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absurdalnie, niedorzecznie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w:t>
      </w:r>
      <w:r>
        <w:t xml:space="preserve"> </w:t>
      </w:r>
      <w:r>
        <w:t xml:space="preserve">“</w:t>
      </w:r>
      <w:r>
        <w:t xml:space="preserve">słowo, które nakazał na tysiąc pokoleń</w:t>
      </w:r>
      <w:r>
        <w:t xml:space="preserve">”</w:t>
      </w:r>
      <w:r>
        <w:t xml:space="preserve">.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boskie zachowanie Nowego Testamentu – jest to kwestia logiki. Ale co z dowodami historycznymi, czy są one zgodne z naszą logiką, czy nie? Teraz przejdę do tego pytania.</w:t>
      </w:r>
    </w:p>
    <w:bookmarkEnd w:id="85"/>
    <w:bookmarkEnd w:id="86"/>
    <w:bookmarkStart w:id="118"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17"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Oznacza to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 Pism Świętych, przypomnę ci inny psalm, podyktowany Dawidowi przez Ducha Świętego”</w:t>
      </w:r>
      <w:r>
        <w:rPr>
          <w:rStyle w:val="FootnoteReference"/>
        </w:rPr>
        <w:footnoteReference w:id="111"/>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2"/>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3"/>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4"/>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Athenagorus, in his</w:t>
      </w:r>
      <w:r>
        <w:t xml:space="preserve"> </w:t>
      </w:r>
      <w:r>
        <w:t xml:space="preserve">“</w:t>
      </w:r>
      <w:r>
        <w:t xml:space="preserve">Plea</w:t>
      </w:r>
      <w:r>
        <w:t xml:space="preserve">”</w:t>
      </w:r>
      <w:r>
        <w:rPr>
          <w:rStyle w:val="FootnoteReference"/>
        </w:rPr>
        <w:footnoteReference w:id="115"/>
      </w:r>
      <w:r>
        <w:t xml:space="preserve">, written in early 177, quotes Matthew 5,28 as Scripture:</w:t>
      </w:r>
      <w:r>
        <w:t xml:space="preserve"> </w:t>
      </w:r>
      <w:r>
        <w:t xml:space="preserve">“</w:t>
      </w:r>
      <w:r>
        <w:t xml:space="preserve">…we are not even allowed to indulge in a lustful glance. For, says the Scripture,</w:t>
      </w:r>
      <w:r>
        <w:t xml:space="preserve"> </w:t>
      </w:r>
      <w:r>
        <w:t xml:space="preserve">‘</w:t>
      </w:r>
      <w:r>
        <w:t xml:space="preserve">He who looks at a woman lustfully, has already committed adultery in his heart</w:t>
      </w:r>
      <w:r>
        <w:t xml:space="preserve">’</w:t>
      </w:r>
      <w:r>
        <w:t xml:space="preserve">”</w:t>
      </w:r>
      <w:r>
        <w:t xml:space="preserve"> </w:t>
      </w:r>
      <w:r>
        <w:t xml:space="preserve">(32).</w:t>
      </w:r>
      <w:r>
        <w:rPr>
          <w:rStyle w:val="FootnoteReference"/>
        </w:rPr>
        <w:footnoteReference w:id="116"/>
      </w:r>
      <w:r>
        <w:t xml:space="preserve"> </w:t>
      </w:r>
      <w:r>
        <w:t xml:space="preserve">He similarly treats Matthew 19,9, or Mark 10,11, in 33.</w:t>
      </w:r>
    </w:p>
    <w:bookmarkEnd w:id="117"/>
    <w:bookmarkEnd w:id="118"/>
    <w:bookmarkEnd w:id="11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w:t>
      </w:r>
      <w:r>
        <w:t xml:space="preserve"> </w:t>
      </w:r>
      <w:r>
        <w:t xml:space="preserve">“</w:t>
      </w:r>
      <w:r>
        <w:t xml:space="preserve">Rodziną 35</w:t>
      </w:r>
      <w:r>
        <w:t xml:space="preserve">”</w:t>
      </w:r>
      <w:r>
        <w:t xml:space="preserve"> </w:t>
      </w:r>
      <w:r>
        <w:t xml:space="preserve">[Nowy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2">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3">
    <w:p>
      <w:pPr>
        <w:pStyle w:val="FootnoteText"/>
      </w:pPr>
      <w:r>
        <w:rPr>
          <w:rStyle w:val="FootnoteReference"/>
        </w:rPr>
        <w:footnoteRef/>
      </w:r>
      <w:r>
        <w:t xml:space="preserve"> </w:t>
      </w:r>
      <w:r>
        <w:t xml:space="preserve">Roberts i Donaldson, ponownie.</w:t>
      </w:r>
    </w:p>
  </w:footnote>
  <w:footnote w:id="114">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 pism świętych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 23, 53), stanowiąc wymowne świadectwo skali ruchu między wczesnymi kościołami.</w:t>
      </w:r>
    </w:p>
  </w:footnote>
  <w:footnote w:id="115">
    <w:p>
      <w:pPr>
        <w:pStyle w:val="FootnoteText"/>
      </w:pPr>
      <w:r>
        <w:rPr>
          <w:rStyle w:val="FootnoteReference"/>
        </w:rPr>
        <w:footnoteRef/>
      </w:r>
      <w:r>
        <w:t xml:space="preserve"> </w:t>
      </w:r>
      <w:r>
        <w:rPr>
          <w:iCs/>
          <w:i/>
        </w:rPr>
        <w:t xml:space="preserve">A Plea for the Christians</w:t>
      </w:r>
      <w:r>
        <w:t xml:space="preserve">, na język polski przetłumaczony S. Kalinkowski (tłum.), Warszawa: IW PAX, 1985. [przyp. tłum.]</w:t>
      </w:r>
    </w:p>
  </w:footnote>
  <w:footnote w:id="116">
    <w:p>
      <w:pPr>
        <w:pStyle w:val="FootnoteText"/>
      </w:pPr>
      <w:r>
        <w:rPr>
          <w:rStyle w:val="FootnoteReference"/>
        </w:rPr>
        <w:footnoteRef/>
      </w:r>
      <w:r>
        <w:t xml:space="preserve"> </w:t>
      </w:r>
      <w:r>
        <w:t xml:space="preserve">Skorzystałem z tłumaczenia autorstwa C.C. Richardsona z książki Early Christian Fathers.</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2026-01-12T07:42:19Z</dcterms:created>
  <dcterms:modified xsi:type="dcterms:W3CDTF">2026-01-12T07:42:19Z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Boskie zachowanie Nowego Testamentu</vt:lpwstr>
  </property>
  <property fmtid="{D5CDD505-2E9C-101B-9397-08002B2CF9AE}" pid="10" name="tags">
    <vt:lpwstr/>
  </property>
</Properties>
</file>