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można znaleźć w Starym Testamencie</w:t>
      </w:r>
      <w:r>
        <w:t xml:space="preserve">. Załapałeś? Ponieważ zwrot „trzeciego dnia” nie istnieje w Starym Testamencie, odniesienie to przypuszczalnie dotyczy Ewangelii.</w:t>
      </w:r>
    </w:p>
    <w:p>
      <w:pPr>
        <w:pStyle w:val="BodyText"/>
      </w:pPr>
      <w:r>
        <w:t xml:space="preserve">1 Corinthians 15,4 reads like this:</w:t>
      </w:r>
      <w:r>
        <w:t xml:space="preserve"> </w:t>
      </w:r>
      <w:r>
        <w:t xml:space="preserve">“</w:t>
      </w:r>
      <w:r>
        <w:t xml:space="preserve">and that He was buried, and that He was raised on the third day according to the Scriptures</w:t>
      </w:r>
      <w:r>
        <w:t xml:space="preserve">”</w:t>
      </w:r>
      <w:r>
        <w:t xml:space="preserve">.</w:t>
      </w:r>
      <w:r>
        <w:t xml:space="preserve"> </w:t>
      </w:r>
      <w:r>
        <w:t xml:space="preserve">“</w:t>
      </w:r>
      <w:r>
        <w:t xml:space="preserve">The Scriptures</w:t>
      </w:r>
      <w:r>
        <w:t xml:space="preserve">”</w:t>
      </w:r>
      <w:r>
        <w:t xml:space="preserve"> </w:t>
      </w:r>
      <w:r>
        <w:t xml:space="preserve">here presumably refers to the Gospels, because</w:t>
      </w:r>
      <w:r>
        <w:t xml:space="preserve"> </w:t>
      </w:r>
      <w:r>
        <w:t xml:space="preserve">“</w:t>
      </w:r>
      <w:r>
        <w:t xml:space="preserve">on the third day</w:t>
      </w:r>
      <w:r>
        <w:t xml:space="preserve">”</w:t>
      </w:r>
      <w:r>
        <w:t xml:space="preserve"> </w:t>
      </w:r>
      <w:r>
        <w:t xml:space="preserve">is not to be found in the OT. Did you get that? Since</w:t>
      </w:r>
      <w:r>
        <w:t xml:space="preserve"> </w:t>
      </w:r>
      <w:r>
        <w:t xml:space="preserve">“</w:t>
      </w:r>
      <w:r>
        <w:t xml:space="preserve">on the third day</w:t>
      </w:r>
      <w:r>
        <w:t xml:space="preserve">”</w:t>
      </w:r>
      <w:r>
        <w:t xml:space="preserve"> </w:t>
      </w:r>
      <w:r>
        <w:t xml:space="preserve">is not in the OT, the reference is to the Gospels, presumably.</w:t>
      </w:r>
    </w:p>
    <w:p>
      <w:pPr>
        <w:pStyle w:val="BodyText"/>
      </w:pPr>
      <w:r>
        <w:t xml:space="preserve">text</w:t>
      </w:r>
    </w:p>
    <w:p>
      <w:pPr>
        <w:pStyle w:val="BodyText"/>
      </w:pPr>
      <w:r>
        <w:t xml:space="preserve">text</w:t>
      </w:r>
      <w:r>
        <w:t xml:space="preserve"> </w:t>
      </w:r>
      <w:r>
        <w:t xml:space="preserve">boldowac, underline nie dziala</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2025-12-10T18:43:48Z</dcterms:created>
  <dcterms:modified xsi:type="dcterms:W3CDTF">2025-12-10T18:43:48Z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