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jpg" ContentType="image/jpeg"/>
  <Override PartName="/word/media/rId55.jpg" ContentType="image/jpe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w:t>
      </w:r>
      <w:r>
        <w:t xml:space="preserve"> </w:t>
      </w:r>
      <w:r>
        <w:t xml:space="preserve">zachował</w:t>
      </w:r>
      <w:r>
        <w:t xml:space="preserve"> </w:t>
      </w:r>
      <w:r>
        <w:t xml:space="preserve">swój</w:t>
      </w:r>
      <w:r>
        <w:t xml:space="preserve"> </w:t>
      </w:r>
      <w:r>
        <w:t xml:space="preserve">Tekst!</w:t>
      </w:r>
    </w:p>
    <w:p>
      <w:pPr>
        <w:pStyle w:val="Subtitle"/>
      </w:pPr>
      <w:r>
        <w:t xml:space="preserve">Boża</w:t>
      </w:r>
      <w:r>
        <w:t xml:space="preserve"> </w:t>
      </w:r>
      <w:r>
        <w:t xml:space="preserve">ochrona</w:t>
      </w:r>
      <w:r>
        <w:t xml:space="preserve"> </w:t>
      </w:r>
      <w:r>
        <w:t xml:space="preserve">Nowego</w:t>
      </w:r>
      <w:r>
        <w:t xml:space="preserve"> </w:t>
      </w:r>
      <w:r>
        <w:t xml:space="preserve">Testamentu</w:t>
      </w:r>
    </w:p>
    <w:p>
      <w:pPr>
        <w:pStyle w:val="Author"/>
      </w:pPr>
      <w:r>
        <w:t xml:space="preserve">Wilbur</w:t>
      </w:r>
      <w:r>
        <w:t xml:space="preserve"> </w:t>
      </w:r>
      <w:r>
        <w:t xml:space="preserve">N.</w:t>
      </w:r>
      <w:r>
        <w:t xml:space="preserve"> </w:t>
      </w:r>
      <w:r>
        <w:t xml:space="preserve">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0" w:name="od-tłumacza"/>
    <w:p>
      <w:pPr>
        <w:pStyle w:val="Heading1"/>
      </w:pPr>
      <w:r>
        <w:t xml:space="preserve">Od tłumacza</w:t>
      </w:r>
    </w:p>
    <w:p>
      <w:pPr>
        <w:pStyle w:val="FirstParagraph"/>
      </w:pPr>
      <w:r>
        <w:t xml:space="preserve">Tłumaczenie czwartej edycji książki</w:t>
      </w:r>
      <w:r>
        <w:t xml:space="preserve"> </w:t>
      </w:r>
      <w:hyperlink r:id="rId20">
        <w:r>
          <w:rPr>
            <w:rStyle w:val="Hyperlink"/>
            <w:iCs/>
            <w:i/>
          </w:rPr>
          <w:t xml:space="preserve">GOD HAS PRESERVED HIS TEXT! The Divine Preservation of the New Testament</w:t>
        </w:r>
      </w:hyperlink>
      <w:r>
        <w:br/>
      </w:r>
      <w:r>
        <w:t xml:space="preserve">ISBN: 978-0-9974686-9-4</w:t>
      </w:r>
      <w:r>
        <w:br/>
      </w:r>
      <w:r>
        <w:rPr>
          <w:iCs/>
          <w:i/>
        </w:rPr>
        <w:t xml:space="preserve">Wilbur N. Pickering</w:t>
      </w:r>
    </w:p>
    <w:p>
      <w:pPr>
        <w:pStyle w:val="BodyText"/>
      </w:pPr>
      <w:r>
        <w:t xml:space="preserve">Tłumaczenie wykonał Tomasz Skraskowski dla</w:t>
      </w:r>
      <w:r>
        <w:t xml:space="preserve"> </w:t>
      </w:r>
      <w:hyperlink r:id="rId21">
        <w:r>
          <w:rPr>
            <w:rStyle w:val="Hyperlink"/>
          </w:rPr>
          <w:t xml:space="preserve">Wydawnictwa Świadome Chrześcijaństwo</w:t>
        </w:r>
      </w:hyperlink>
      <w:r>
        <w:t xml:space="preserve">. Zdjęcia dodane przez tłumacza zazaczone są adnotacją</w:t>
      </w:r>
      <w:r>
        <w:t xml:space="preserve"> </w:t>
      </w:r>
      <w:r>
        <w:rPr>
          <w:iCs/>
          <w:i/>
        </w:rPr>
        <w:t xml:space="preserve">[zdj. tłum.]</w:t>
      </w:r>
      <w:r>
        <w:t xml:space="preserve">, przypisy dodane przez tłumacza zaznaczone są adnotacją</w:t>
      </w:r>
      <w:r>
        <w:t xml:space="preserve"> </w:t>
      </w:r>
      <w:r>
        <w:rPr>
          <w:iCs/>
          <w:i/>
        </w:rPr>
        <w:t xml:space="preserve">[przyp. tłum.]</w:t>
      </w:r>
      <w:r>
        <w:t xml:space="preserve">.</w:t>
      </w:r>
    </w:p>
    <w:p>
      <w:pPr>
        <w:pStyle w:val="BodyText"/>
      </w:pPr>
      <w:r>
        <w:t xml:space="preserve">Tomasz Skraskowski nie jest profesjonalnym tłumaczem, podjął się niniejszego przekładu pro publico bono,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stawia wierność oryginałowi ponad płynność współczesnej polszczyzny i tam, gdzie autor używa specyficznych, nienaturalnych dla języka angielskiego zwrotów, tłumaczenie oddaje je na język polski w miarę możliwości analogicznie, korzystając również z nienaturalnych sformułowań, dla przykładu zdanie:</w:t>
      </w:r>
    </w:p>
    <w:p>
      <w:pPr>
        <w:pStyle w:val="BlockText"/>
      </w:pPr>
      <w:r>
        <w:t xml:space="preserve">It means this: that</w:t>
      </w:r>
    </w:p>
    <w:p>
      <w:pPr>
        <w:pStyle w:val="FirstParagraph"/>
      </w:pPr>
      <w:r>
        <w:t xml:space="preserve">przetłumaczono na:</w:t>
      </w:r>
    </w:p>
    <w:p>
      <w:pPr>
        <w:pStyle w:val="BlockText"/>
      </w:pPr>
      <w:r>
        <w:t xml:space="preserve">To oznacza to: że</w:t>
      </w:r>
    </w:p>
    <w:p>
      <w:pPr>
        <w:pStyle w:val="FirstParagraph"/>
      </w:pPr>
      <w:r>
        <w:t xml:space="preserve">chociaż bardziej naturalnie brzmiałoby:</w:t>
      </w:r>
    </w:p>
    <w:p>
      <w:pPr>
        <w:pStyle w:val="BlockText"/>
      </w:pPr>
      <w:r>
        <w:t xml:space="preserve">Oznacza to, że</w:t>
      </w:r>
    </w:p>
    <w:p>
      <w:pPr>
        <w:pStyle w:val="FirstParagraph"/>
      </w:pPr>
      <w:r>
        <w:t xml:space="preserve">Tyczy się to również cytowanych przez autora fragmentów Biblii - są one tłumaczone na język polski, żeby odwołania do konkretnych słów i wyrażeń pozostały w książce spójne i zrozumiałe.</w:t>
      </w:r>
    </w:p>
    <w:p>
      <w:pPr>
        <w:pStyle w:val="BodyText"/>
      </w:pPr>
      <w:r>
        <w:t xml:space="preserve">Tłumaczenie dostępne do pobrania z</w:t>
      </w:r>
      <w:r>
        <w:t xml:space="preserve"> </w:t>
      </w:r>
      <w:hyperlink r:id="rId22">
        <w:r>
          <w:rPr>
            <w:rStyle w:val="Hyperlink"/>
          </w:rPr>
          <w:t xml:space="preserve">tometchy.github.io/Bog-zachowal-swoj-Tekst-Wilbur-Pickering</w:t>
        </w:r>
      </w:hyperlink>
      <w:r>
        <w:t xml:space="preserve"> </w:t>
      </w:r>
      <w:r>
        <w:t xml:space="preserve">w formatach:</w:t>
      </w:r>
    </w:p>
    <w:p>
      <w:pPr>
        <w:numPr>
          <w:ilvl w:val="0"/>
          <w:numId w:val="1001"/>
        </w:numPr>
        <w:pStyle w:val="Compact"/>
      </w:pPr>
      <w:hyperlink r:id="rId23">
        <w:r>
          <w:rPr>
            <w:rStyle w:val="Hyperlink"/>
          </w:rPr>
          <w:t xml:space="preserve">EPUB</w:t>
        </w:r>
      </w:hyperlink>
    </w:p>
    <w:p>
      <w:pPr>
        <w:numPr>
          <w:ilvl w:val="0"/>
          <w:numId w:val="1001"/>
        </w:numPr>
        <w:pStyle w:val="Compact"/>
      </w:pPr>
      <w:hyperlink r:id="rId24">
        <w:r>
          <w:rPr>
            <w:rStyle w:val="Hyperlink"/>
          </w:rPr>
          <w:t xml:space="preserve">PDF</w:t>
        </w:r>
      </w:hyperlink>
    </w:p>
    <w:p>
      <w:pPr>
        <w:numPr>
          <w:ilvl w:val="0"/>
          <w:numId w:val="1001"/>
        </w:numPr>
        <w:pStyle w:val="Compact"/>
      </w:pPr>
      <w:hyperlink r:id="rId25">
        <w:r>
          <w:rPr>
            <w:rStyle w:val="Hyperlink"/>
          </w:rPr>
          <w:t xml:space="preserve">DOCX</w:t>
        </w:r>
      </w:hyperlink>
    </w:p>
    <w:p>
      <w:pPr>
        <w:pStyle w:val="FirstParagraph"/>
      </w:pPr>
      <w:r>
        <w:rPr>
          <w:iCs/>
          <w:i/>
        </w:rPr>
        <w:t xml:space="preserve">© 2021 Wilbur N. Pickering</w:t>
      </w:r>
      <w:r>
        <w:br/>
      </w:r>
      <w:r>
        <w:t xml:space="preserve">Oryginał dostępny na http://thechristiancommons.com.</w:t>
      </w:r>
    </w:p>
    <w:p>
      <w:pPr>
        <w:pStyle w:val="BodyText"/>
      </w:pPr>
      <w:r>
        <w:t xml:space="preserve">Udostępniono na licencji:</w:t>
      </w:r>
      <w:r>
        <w:br/>
      </w:r>
      <w:r>
        <w:rPr>
          <w:iCs/>
          <w:i/>
        </w:rPr>
        <w:t xml:space="preserve">Uznanie autorstwa - Na tych samych warunkach 4.0 Międzynarodowa</w:t>
      </w:r>
      <w:r>
        <w:br/>
      </w:r>
      <w:r>
        <w:t xml:space="preserve">CC BY-SA 4.0 -</w:t>
      </w:r>
      <w:r>
        <w:t xml:space="preserve"> </w:t>
      </w:r>
      <w:hyperlink r:id="rId26">
        <w:r>
          <w:rPr>
            <w:rStyle w:val="Hyperlink"/>
          </w:rPr>
          <w:t xml:space="preserve">creativecommons.org/licenses/by-sa/4.0</w:t>
        </w:r>
      </w:hyperlink>
    </w:p>
    <w:p>
      <w:pPr>
        <w:pStyle w:val="BodyText"/>
      </w:pPr>
      <w:r>
        <w:t xml:space="preserve">Licencja zezwala na:</w:t>
      </w:r>
    </w:p>
    <w:p>
      <w:pPr>
        <w:numPr>
          <w:ilvl w:val="0"/>
          <w:numId w:val="1002"/>
        </w:numPr>
        <w:pStyle w:val="Compact"/>
      </w:pPr>
      <w:r>
        <w:rPr>
          <w:bCs/>
          <w:b/>
        </w:rPr>
        <w:t xml:space="preserve">Dzielenie się</w:t>
      </w:r>
      <w:r>
        <w:t xml:space="preserve"> </w:t>
      </w:r>
      <w:r>
        <w:t xml:space="preserve">— kopiuj i rozpowszechniaj utwór w dowolnym medium i formacie dla dowolnego celu, także komercyjnego.</w:t>
      </w:r>
    </w:p>
    <w:p>
      <w:pPr>
        <w:numPr>
          <w:ilvl w:val="0"/>
          <w:numId w:val="1002"/>
        </w:numPr>
        <w:pStyle w:val="Compact"/>
      </w:pPr>
      <w:r>
        <w:rPr>
          <w:bCs/>
          <w:b/>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numPr>
          <w:ilvl w:val="0"/>
          <w:numId w:val="1003"/>
        </w:numPr>
        <w:pStyle w:val="Compact"/>
      </w:pPr>
      <w:r>
        <w:rPr>
          <w:bCs/>
          <w:b/>
        </w:rPr>
        <w:t xml:space="preserve">Uznanie autorstwa</w:t>
      </w:r>
      <w:r>
        <w:t xml:space="preserve"> </w:t>
      </w:r>
      <w:r>
        <w:t xml:space="preserve">— Utwór należy oznaczyć słowami „</w:t>
      </w:r>
      <w:r>
        <w:rPr>
          <w:iCs/>
          <w:i/>
        </w:rPr>
        <w:t xml:space="preserve">Oryginał dostępny na http://thechristiancommons.com.</w:t>
      </w:r>
      <w:r>
        <w:t xml:space="preserve">”, podać link do licencji i</w:t>
      </w:r>
      <w:r>
        <w:t xml:space="preserve"> </w:t>
      </w:r>
      <w:hyperlink r:id="rId27">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numPr>
          <w:ilvl w:val="0"/>
          <w:numId w:val="1003"/>
        </w:numPr>
        <w:pStyle w:val="Compact"/>
      </w:pPr>
      <w:r>
        <w:rPr>
          <w:bCs/>
          <w:b/>
        </w:rPr>
        <w:t xml:space="preserve">Na tych samych warunkach</w:t>
      </w:r>
      <w:r>
        <w:t xml:space="preserve"> </w:t>
      </w:r>
      <w:r>
        <w:t xml:space="preserve">— Remiksując utwór, przetwarzając go lub tworząc na jego podstawie, należy swoje dzieło rozpowszechniać na</w:t>
      </w:r>
      <w:r>
        <w:t xml:space="preserve"> </w:t>
      </w:r>
      <w:hyperlink r:id="rId28">
        <w:r>
          <w:rPr>
            <w:rStyle w:val="Hyperlink"/>
          </w:rPr>
          <w:t xml:space="preserve">tej samej licencji</w:t>
        </w:r>
      </w:hyperlink>
      <w:r>
        <w:t xml:space="preserve">, co oryginał.</w:t>
      </w:r>
    </w:p>
    <w:p>
      <w:pPr>
        <w:numPr>
          <w:ilvl w:val="0"/>
          <w:numId w:val="1003"/>
        </w:numPr>
        <w:pStyle w:val="Compact"/>
      </w:pPr>
      <w:r>
        <w:rPr>
          <w:bCs/>
          <w:b/>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29"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razem z nami dzieło tłumaczenia i wydawania Duchowej literatury dla naszego kraju, podajemy numer konta:</w:t>
      </w:r>
    </w:p>
    <w:p>
      <w:pPr>
        <w:pStyle w:val="BodyText"/>
      </w:pPr>
      <w:r>
        <w:rPr>
          <w:bCs/>
          <w:b/>
        </w:rPr>
        <w:t xml:space="preserve">Fundacja Świadome Chrześcijaństwo</w:t>
      </w:r>
      <w:r>
        <w:br/>
      </w:r>
      <w:r>
        <w:t xml:space="preserve">Nr rachunku: 51175000120000000034138044</w:t>
      </w:r>
    </w:p>
    <w:p>
      <w:pPr>
        <w:pStyle w:val="BodyText"/>
      </w:pPr>
      <w:r>
        <w:t xml:space="preserve">Pozostałe książki wydawnictwa dostępne pod adresem</w:t>
      </w:r>
      <w:r>
        <w:t xml:space="preserve"> </w:t>
      </w:r>
      <w:hyperlink r:id="rId21">
        <w:r>
          <w:rPr>
            <w:rStyle w:val="Hyperlink"/>
          </w:rPr>
          <w:t xml:space="preserve">wswch.pl</w:t>
        </w:r>
      </w:hyperlink>
      <w:r>
        <w:t xml:space="preserve">.</w:t>
      </w:r>
    </w:p>
    <w:bookmarkEnd w:id="29"/>
    <w:bookmarkEnd w:id="30"/>
    <w:bookmarkStart w:id="34"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31"/>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32"/>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33"/>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Cs/>
          <w:i/>
        </w:rPr>
        <w:t xml:space="preserve">The Sovereign Creator Has Spoken: Objective Authority for Living, Second Edition</w:t>
      </w:r>
      <w:r>
        <w:t xml:space="preserve">, dostępne na jego stronie www.prunch.org oraz na Amazon.com.</w:t>
      </w:r>
    </w:p>
    <w:bookmarkEnd w:id="34"/>
    <w:bookmarkStart w:id="36"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35"/>
      </w:r>
      <w:r>
        <w:t xml:space="preserve">.</w:t>
      </w:r>
    </w:p>
    <w:bookmarkEnd w:id="36"/>
    <w:bookmarkStart w:id="139" w:name="część-i-dowody-historyczne"/>
    <w:p>
      <w:pPr>
        <w:pStyle w:val="Heading1"/>
      </w:pPr>
      <w:r>
        <w:t xml:space="preserve">CZĘŚĆ I: Dowody Historyczne</w:t>
      </w:r>
    </w:p>
    <w:bookmarkStart w:id="64"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otwarcie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głupio, absurdalnie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absurdalnie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37"/>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głupio, absurdalnie niemożliwa!</w:t>
      </w:r>
    </w:p>
    <w:p>
      <w:pPr>
        <w:pStyle w:val="BodyText"/>
      </w:pPr>
      <w:r>
        <w:t xml:space="preserve">Nauka genetyki, wraz z projektami badającymi genom, odkryła, że losowa zmiana zaledwie trzech nukleotydów jest śmiertelna dla organizmu. Rozważ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38"/>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głupio, absurdalnie niemożliwa.</w:t>
      </w:r>
    </w:p>
    <w:p>
      <w:pPr>
        <w:pStyle w:val="BodyText"/>
      </w:pPr>
      <w:r>
        <w:t xml:space="preserve">Tak zwana „kolumna geologiczna”</w:t>
      </w:r>
      <w:r>
        <w:rPr>
          <w:rStyle w:val="FootnoteReference"/>
        </w:rPr>
        <w:footnoteReference w:id="39"/>
      </w:r>
      <w:r>
        <w:t xml:space="preserve"> </w:t>
      </w:r>
      <w:r>
        <w:t xml:space="preserve">to fikcja. W Australii znajdują się skamieniałe pnie drzew, stojące pionowo, przechodzące przez różne warstwy skał osadowych, które według „kolumny geologicznej” reprezentują wiele milionów lat</w:t>
      </w:r>
      <w:r>
        <w:rPr>
          <w:rStyle w:val="FootnoteReference"/>
        </w:rPr>
        <w:footnoteReference w:id="40"/>
      </w:r>
      <w:r>
        <w:t xml:space="preserve"> </w:t>
      </w:r>
      <w:r>
        <w:t xml:space="preserve">– to po prostu głupie, absurdalnie niemożliwe! W USA jest wysokie plateau (mesa)</w:t>
      </w:r>
      <w:r>
        <w:rPr>
          <w:rStyle w:val="FootnoteReference"/>
        </w:rPr>
        <w:footnoteReference w:id="41"/>
      </w:r>
      <w:r>
        <w:t xml:space="preserve">, z warstwą starszej skały na warstwie młodszej skały (według „kolumny”), ale obszar ten jest tak rozległy, że żadna znana siła nie byłaby w stanie pokonać tarcia powstałego przy próbie przesunięcia jednej warstwy po drugiej (stosowany argument) – to również jest niemożliwe dla „kolumny geologicznej”</w:t>
      </w:r>
      <w:r>
        <w:rPr>
          <w:rStyle w:val="FootnoteReference"/>
        </w:rPr>
        <w:footnoteReference w:id="42"/>
      </w:r>
      <w:r>
        <w:t xml:space="preserve">.</w:t>
      </w:r>
    </w:p>
    <w:p>
      <w:pPr>
        <w:pStyle w:val="BodyText"/>
      </w:pPr>
      <w:r>
        <w:drawing>
          <wp:inline>
            <wp:extent cx="5334000" cy="4000500"/>
            <wp:effectExtent b="0" l="0" r="0" t="0"/>
            <wp:docPr descr="Góra Chief Mountain" title="" id="44" name="Picture"/>
            <a:graphic>
              <a:graphicData uri="http://schemas.openxmlformats.org/drawingml/2006/picture">
                <pic:pic>
                  <pic:nvPicPr>
                    <pic:cNvPr descr="images/Chief_Mountain.jpg" id="45" name="Picture"/>
                    <pic:cNvPicPr>
                      <a:picLocks noChangeArrowheads="1" noChangeAspect="1"/>
                    </pic:cNvPicPr>
                  </pic:nvPicPr>
                  <pic:blipFill>
                    <a:blip r:embed="rId43"/>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Cs/>
          <w:i/>
        </w:rPr>
        <w:t xml:space="preserve">Chief Mountain</w:t>
      </w:r>
      <w:r>
        <w:t xml:space="preserve">, to przykład formacji, która ma warstwy skalne „nie po kolei” w sensie geologicznym – rzekomo starsze skały leżą na rzekomo młodszych. [zdj. tłum.]</w:t>
      </w:r>
      <w:r>
        <w:br/>
      </w:r>
      <w:hyperlink r:id="rId46">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Cs/>
          <w:i/>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Cs/>
          <w:b/>
        </w:rPr>
        <w:t xml:space="preserve">tej samej warstwie</w:t>
      </w:r>
      <w:r>
        <w:t xml:space="preserve"> </w:t>
      </w:r>
      <w:r>
        <w:t xml:space="preserve">skały osadowej natknął się na następujące znaleziska: dwa skamieniałe trylobity</w:t>
      </w:r>
      <w:r>
        <w:rPr>
          <w:rStyle w:val="FootnoteReference"/>
        </w:rPr>
        <w:footnoteReference w:id="47"/>
      </w:r>
      <w:r>
        <w:t xml:space="preserve">, które, według ewolucjonistów istniały 550 milionów lat temu, skamieniały mech zwany „lapidodendron”, który, według ewolucjonistów, istniał 250 milionów lat temu</w:t>
      </w:r>
      <w:r>
        <w:rPr>
          <w:rStyle w:val="FootnoteReference"/>
        </w:rPr>
        <w:footnoteReference w:id="48"/>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49"/>
      </w:r>
      <w:r>
        <w:t xml:space="preserve">, skamieniały czwarty palec lewej ręki kobiety</w:t>
      </w:r>
      <w:r>
        <w:rPr>
          <w:rStyle w:val="FootnoteReference"/>
        </w:rPr>
        <w:footnoteReference w:id="50"/>
      </w:r>
      <w:r>
        <w:t xml:space="preserve">, a nawet przedpotopowy żelazny młotek (jego żelazo nie rdzewieje, składa się w 96,6% z żelaza i 2,7% z chloru) –</w:t>
      </w:r>
      <w:r>
        <w:t xml:space="preserve"> </w:t>
      </w:r>
      <w:r>
        <w:rPr>
          <w:bCs/>
          <w:b/>
        </w:rPr>
        <w:t xml:space="preserve">wszystko to w tej samej warstwie skalnej!</w:t>
      </w:r>
    </w:p>
    <w:p>
      <w:pPr>
        <w:pStyle w:val="BodyText"/>
      </w:pPr>
      <w:r>
        <w:drawing>
          <wp:inline>
            <wp:extent cx="2791326" cy="4908884"/>
            <wp:effectExtent b="0" l="0" r="0" t="0"/>
            <wp:docPr descr="Paluxy River Taylor Site, Glen Rose, Teksas. Dwa wydłużone ślady stóp" title="" id="52" name="Picture"/>
            <a:graphic>
              <a:graphicData uri="http://schemas.openxmlformats.org/drawingml/2006/picture">
                <pic:pic>
                  <pic:nvPicPr>
                    <pic:cNvPr descr="images/Paluxy_River_Taylor_Site,_Glen_Rose,_Texas._Two_elongate_footprints.png" id="53" name="Picture"/>
                    <pic:cNvPicPr>
                      <a:picLocks noChangeArrowheads="1" noChangeAspect="1"/>
                    </pic:cNvPicPr>
                  </pic:nvPicPr>
                  <pic:blipFill>
                    <a:blip r:embed="rId51"/>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54">
        <w:r>
          <w:rPr>
            <w:rStyle w:val="Hyperlink"/>
          </w:rPr>
          <w:t xml:space="preserve">core.ac.uk/download/pdf/47225227.pdf</w:t>
        </w:r>
      </w:hyperlink>
    </w:p>
    <w:p>
      <w:pPr>
        <w:pStyle w:val="BodyText"/>
      </w:pPr>
      <w:r>
        <w:drawing>
          <wp:inline>
            <wp:extent cx="5334000" cy="4000500"/>
            <wp:effectExtent b="0" l="0" r="0" t="0"/>
            <wp:docPr descr="Creation Evidences Museum" title="" id="56" name="Picture"/>
            <a:graphic>
              <a:graphicData uri="http://schemas.openxmlformats.org/drawingml/2006/picture">
                <pic:pic>
                  <pic:nvPicPr>
                    <pic:cNvPr descr="images/Creation_Evidence_Museum_Original.jpeg" id="57" name="Picture"/>
                    <pic:cNvPicPr>
                      <a:picLocks noChangeArrowheads="1" noChangeAspect="1"/>
                    </pic:cNvPicPr>
                  </pic:nvPicPr>
                  <pic:blipFill>
                    <a:blip r:embed="rId55"/>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58">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 „kolumny geologicznej” 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głupio, absurdalnie niemożliwa</w:t>
      </w:r>
      <w:r>
        <w:rPr>
          <w:rStyle w:val="FootnoteReference"/>
        </w:rPr>
        <w:footnoteReference w:id="59"/>
      </w:r>
      <w:r>
        <w:t xml:space="preserve">.</w:t>
      </w:r>
    </w:p>
    <w:p>
      <w:pPr>
        <w:pStyle w:val="BodyText"/>
      </w:pPr>
      <w:r>
        <w:t xml:space="preserve">Rzeka Missisipi wyrzuca 80 000 ton osadów do Zatoki Meksykańskiej co godzinę! Wystarczy zmierzyć deltę, by zobaczyć, że Ziemia jest młoda</w:t>
      </w:r>
      <w:r>
        <w:rPr>
          <w:rStyle w:val="FootnoteReference"/>
        </w:rPr>
        <w:footnoteReference w:id="60"/>
      </w:r>
      <w:r>
        <w:t xml:space="preserve">. Ewolucjoniści twierdzą, że granit krystalizował się przez 300 milionów lat, ale w granicie występują „pierścienie polonowe” [ang. Polonium haloes, przyp. tłum.]</w:t>
      </w:r>
      <w:r>
        <w:rPr>
          <w:rStyle w:val="FootnoteReference"/>
        </w:rPr>
        <w:footnoteReference w:id="61"/>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głupio, absurdalnie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głupio, absurdalnie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62"/>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 „słowo, które nakazał na tysiąc pokoleń”.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63"/>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List do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64"/>
    <w:bookmarkStart w:id="86" w:name="wprowadzenie"/>
    <w:p>
      <w:pPr>
        <w:pStyle w:val="Heading2"/>
      </w:pPr>
      <w:r>
        <w:t xml:space="preserve">Wprowadzenie</w:t>
      </w:r>
    </w:p>
    <w:bookmarkStart w:id="80" w:name="natchnienie"/>
    <w:p>
      <w:pPr>
        <w:pStyle w:val="Heading3"/>
      </w:pPr>
      <w:r>
        <w:t xml:space="preserve">Natchnienie</w:t>
      </w:r>
    </w:p>
    <w:p>
      <w:pPr>
        <w:pStyle w:val="FirstParagraph"/>
      </w:pPr>
      <w:r>
        <w:t xml:space="preserve">Gdy piszę książkę</w:t>
      </w:r>
      <w:r>
        <w:rPr>
          <w:rStyle w:val="FootnoteReference"/>
        </w:rPr>
        <w:footnoteReference w:id="65"/>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Cs/>
          <w:i/>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Cs/>
          <w:b/>
        </w:rPr>
        <w:t xml:space="preserve">tylko wieczny Byt mógł wydać wieczne Słowo</w:t>
      </w:r>
      <w:r>
        <w:rPr>
          <w:rStyle w:val="FootnoteReference"/>
        </w:rPr>
        <w:footnoteReference w:id="66"/>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List do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67"/>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68"/>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69"/>
      </w:r>
    </w:p>
    <w:p>
      <w:pPr>
        <w:pStyle w:val="BodyText"/>
      </w:pPr>
      <w:r>
        <w:rPr>
          <w:iCs/>
          <w:i/>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70"/>
      </w:r>
      <w:r>
        <w:t xml:space="preserve"> </w:t>
      </w:r>
      <w:r>
        <w:t xml:space="preserve">(2 List do Tymoteusza 3,15-17). Z pewnością jednym z najważniejszych celów jest pokazanie, jak uzyskać wieczne zbawienie. Paweł kontynuuje, stwierdzając, że Pismo jest cenne ze względu na cztery rzeczy. Zwróć uwagę na kolejność:</w:t>
      </w:r>
    </w:p>
    <w:p>
      <w:pPr>
        <w:numPr>
          <w:ilvl w:val="0"/>
          <w:numId w:val="1004"/>
        </w:numPr>
        <w:pStyle w:val="Compact"/>
      </w:pPr>
      <w:r>
        <w:t xml:space="preserve">Pismo dostarcza obiektywnie prawdziwych informacji.</w:t>
      </w:r>
    </w:p>
    <w:p>
      <w:pPr>
        <w:numPr>
          <w:ilvl w:val="0"/>
          <w:numId w:val="1004"/>
        </w:numPr>
        <w:pStyle w:val="Compact"/>
      </w:pPr>
      <w:r>
        <w:t xml:space="preserve">Następnie Duch Święty używa Swego Miecza, aby przekonać o grzechu.</w:t>
      </w:r>
    </w:p>
    <w:p>
      <w:pPr>
        <w:numPr>
          <w:ilvl w:val="0"/>
          <w:numId w:val="1004"/>
        </w:numPr>
        <w:pStyle w:val="Compact"/>
      </w:pPr>
      <w:r>
        <w:t xml:space="preserve">To prowadzi do pokuty i nawrócenia.</w:t>
      </w:r>
    </w:p>
    <w:p>
      <w:pPr>
        <w:numPr>
          <w:ilvl w:val="0"/>
          <w:numId w:val="1004"/>
        </w:numPr>
        <w:pStyle w:val="Compact"/>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71"/>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72"/>
      </w:r>
      <w:r>
        <w:t xml:space="preserve"> </w:t>
      </w:r>
      <w:r>
        <w:t xml:space="preserve">Ewangelii Chrystusa</w:t>
      </w:r>
      <w:r>
        <w:rPr>
          <w:rStyle w:val="FootnoteReference"/>
        </w:rPr>
        <w:footnoteReference w:id="73"/>
      </w:r>
      <w:r>
        <w:t xml:space="preserve">, ponieważ jest ona mocą Bożą dla zbawienia każdego, kto wierzy (najpierw Żyda, potem Greka). Bo w niej jest ujawniona sprawiedliwość Boża, z wiary w wiarę, tak jak jest napisane:</w:t>
      </w:r>
      <w:r>
        <w:t xml:space="preserve"> </w:t>
      </w:r>
      <w:r>
        <w:t xml:space="preserve">‘</w:t>
      </w:r>
      <w:r>
        <w:t xml:space="preserve">Sprawiedliwy z wiary żyć będzie</w:t>
      </w:r>
      <w:r>
        <w:t xml:space="preserve">’</w:t>
      </w:r>
      <w:r>
        <w:t xml:space="preserve">.”</w:t>
      </w:r>
      <w:r>
        <w:rPr>
          <w:rStyle w:val="FootnoteReference"/>
        </w:rPr>
        <w:footnoteReference w:id="74"/>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75"/>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76"/>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Cs/>
          <w:i/>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77"/>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78"/>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79"/>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80"/>
    <w:bookmarkStart w:id="82"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81"/>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82"/>
    <w:bookmarkStart w:id="85"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83"/>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84"/>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Bożą ochronę Nowego Testamentu – jest to kwestia logiki. Ale co z dowodami historycznymi, czy są one zgodne z naszą logiką, czy nie? Teraz przejdę do tego pytania.</w:t>
      </w:r>
    </w:p>
    <w:bookmarkEnd w:id="85"/>
    <w:bookmarkEnd w:id="86"/>
    <w:bookmarkStart w:id="138" w:name="historyczne-dowody-na-zachowanie"/>
    <w:p>
      <w:pPr>
        <w:pStyle w:val="Heading2"/>
      </w:pPr>
      <w:r>
        <w:t xml:space="preserve">Historyczne Dowody na Zachowanie</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87"/>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94"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88"/>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89"/>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numPr>
          <w:ilvl w:val="0"/>
          <w:numId w:val="1006"/>
        </w:numPr>
        <w:pStyle w:val="Compact"/>
      </w:pPr>
      <w:r>
        <w:t xml:space="preserve">jeśli oryginalny egzemplarz miał być przechowywany, w celu kontroli jakości, powinien być wykonany na trwałym materiale</w:t>
      </w:r>
    </w:p>
    <w:p>
      <w:pPr>
        <w:numPr>
          <w:ilvl w:val="0"/>
          <w:numId w:val="1006"/>
        </w:numPr>
        <w:pStyle w:val="Compact"/>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Cs/>
          <w:b/>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90"/>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91"/>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92"/>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93"/>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94"/>
    <w:bookmarkStart w:id="122" w:name="X2567adac6f25933c916ef36242b5d7814bc2aed"/>
    <w:p>
      <w:pPr>
        <w:pStyle w:val="Heading3"/>
      </w:pPr>
      <w:r>
        <w:t xml:space="preserve">Wczesne Rozpoznanie</w:t>
      </w:r>
      <w:r>
        <w:t xml:space="preserve"> </w:t>
      </w:r>
      <w:r>
        <w:rPr>
          <w:rStyle w:val="FootnoteReference"/>
        </w:rPr>
        <w:footnoteReference w:id="95"/>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96"/>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97"/>
      </w:r>
    </w:p>
    <w:p>
      <w:pPr>
        <w:pStyle w:val="FirstParagraph"/>
      </w:pPr>
      <w:r>
        <w:rPr>
          <w:iCs/>
          <w:i/>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Cs/>
          <w:b/>
        </w:rPr>
        <w:t xml:space="preserve">teraz</w:t>
      </w:r>
      <w:r>
        <w:t xml:space="preserve"> </w:t>
      </w:r>
      <w:r>
        <w:t xml:space="preserve">ujawnionej i uczynionej znaną przez Pisma prorockie, zgodnie z nakazem wiecznego Boga, w celu posłuszeństwa wiary pośród wszystkich narodów etnicznych.”</w:t>
      </w:r>
      <w:r>
        <w:t xml:space="preserve"> </w:t>
      </w:r>
      <w:r>
        <w:rPr>
          <w:rStyle w:val="FootnoteReference"/>
        </w:rPr>
        <w:footnoteReference w:id="98"/>
      </w:r>
      <w:r>
        <w:t xml:space="preserve"> </w:t>
      </w:r>
      <w:r>
        <w:t xml:space="preserve">Paweł oświadcza, że</w:t>
      </w:r>
      <w:r>
        <w:t xml:space="preserve"> </w:t>
      </w:r>
      <w:r>
        <w:rPr>
          <w:bCs/>
          <w:b/>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Cs/>
          <w:b/>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Cs/>
          <w:b/>
        </w:rPr>
        <w:t xml:space="preserve">dokończyć</w:t>
      </w:r>
      <w:r>
        <w:t xml:space="preserve"> </w:t>
      </w:r>
      <w:r>
        <w:t xml:space="preserve">Słowo Boże, tajemnicę, która była ukryta od przeszłych wieków i pokoleń, ale</w:t>
      </w:r>
      <w:r>
        <w:t xml:space="preserve"> </w:t>
      </w:r>
      <w:r>
        <w:rPr>
          <w:bCs/>
          <w:b/>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 teraz 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 ważne 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odyText"/>
      </w:pPr>
      <w:r>
        <w:t xml:space="preserve">Biorąc pod uwagę, że wielu podjęło się uporządkowania opowieści dotyczących tych rzeczy, które naprawdę miały miejsce pośród nas,</w:t>
      </w:r>
      <w:r>
        <w:rPr>
          <w:rStyle w:val="FootnoteReference"/>
        </w:rPr>
        <w:footnoteReference w:id="99"/>
      </w:r>
      <w:r>
        <w:t xml:space="preserve"> </w:t>
      </w:r>
      <w:r>
        <w:t xml:space="preserve">tak jak ci, którzy stali się naocznymi świadkami, od początku, i słudzy Słowa dostarczyli nam je,</w:t>
      </w:r>
      <w:r>
        <w:rPr>
          <w:rStyle w:val="FootnoteReference"/>
        </w:rPr>
        <w:footnoteReference w:id="100"/>
      </w:r>
      <w:r>
        <w:t xml:space="preserve"> </w:t>
      </w:r>
      <w:r>
        <w:t xml:space="preserve">mnie również się to wydawało dobre, najdoskonalszy Teofilu, po starannym zapoznaniu się ze wszystkim z</w:t>
      </w:r>
      <w:r>
        <w:t xml:space="preserve"> </w:t>
      </w:r>
      <w:r>
        <w:rPr>
          <w:bCs/>
          <w:b/>
        </w:rPr>
        <w:t xml:space="preserve">Góry</w:t>
      </w:r>
      <w:r>
        <w:t xml:space="preserve">, napisać do ciebie dokładnie i po kolei,</w:t>
      </w:r>
      <w:r>
        <w:rPr>
          <w:rStyle w:val="FootnoteReference"/>
        </w:rPr>
        <w:footnoteReference w:id="101"/>
      </w:r>
      <w:r>
        <w:t xml:space="preserve"> </w:t>
      </w:r>
      <w:r>
        <w:t xml:space="preserve">abyś mógł</w:t>
      </w:r>
      <w:r>
        <w:t xml:space="preserve"> </w:t>
      </w:r>
      <w:r>
        <w:rPr>
          <w:bCs/>
          <w:b/>
        </w:rPr>
        <w:t xml:space="preserve">poznać</w:t>
      </w:r>
      <w:r>
        <w:t xml:space="preserve"> </w:t>
      </w:r>
      <w:r>
        <w:t xml:space="preserve">pewność tych rzeczy, o których zostałeś pouczony.</w:t>
      </w:r>
      <w:r>
        <w:rPr>
          <w:rStyle w:val="FootnoteReference"/>
        </w:rPr>
        <w:footnoteReference w:id="102"/>
      </w:r>
    </w:p>
    <w:p>
      <w:pPr>
        <w:pStyle w:val="BodyText"/>
      </w:pPr>
      <w:r>
        <w:t xml:space="preserve">Jak można zauważyć, przetłumaczyłem „wszystko z góry”, zamiast „wszystko od początku”. Normalne znaczenie greckiego słowa tutaj, ανωθεν, to dokładnie „z góry” i nie widzę powodu, aby odrzucać to znaczenie. Tym bardziej, że w poprzednim wersecie użył już normalnego wyrażenia, απ αρχης, które oznacza „od początku”. Przyjmuję, że Łukasz deklaruje natchnienie boskie, wprost.</w:t>
      </w:r>
    </w:p>
    <w:p>
      <w:pPr>
        <w:pStyle w:val="BodyText"/>
      </w:pPr>
      <w:r>
        <w:t xml:space="preserve">Teraz rozważę kilka wersetów, w których jeden apostoł rozpoznaje, że inny pisze Pismo Święte. Zacznę od 1 Listu do Tymoteusza 5,18. „Albowiem Pismo Święte mówi: «Nie będziesz zakładał kagańca wołowi, gdy młóci zboże» i «Robotnik jest godzien swojej zapłaty»”. Część dotycząca wołu jest cytatem z Księgi Powtórzonego Prawa 25,4: zdecydowanie Pismo Święte, ale część dotycząca robotnika jest cytatem z Ewangelii Łukasza 10,7! No, to jest bardzo pouczające. Paweł, były faryzeusz, zapewne przypisywał najwyższy poziom natchnienia pięciu księgom Prawa, więc spodziewamy się, że nazwie Księgę Powtórzonego Prawa Pismem Świętym. Jednak to, że postawił Łukasza na równi z Mojżeszem, jest trochę niesamowite. Chociaż między „opublikowaniem” Łukasza a napisaniem 1 Listu do Tymoteusza, mogło minąć prawie piętnaście lat, Łukasz został uznany i ogłoszony przez autorytet apostolski za Pismo Święte niedługo po tym, jak trafił do druku, że tak powiem. Dla człowieka, który kiedyś był surowym Faryzeuszem, postawienie Łukasza (wciąż żyjącego) na tym samym poziomie z Mojżeszem jest zdumiewające, wymagałoby to kierownictwa Ducha Świętego. Rzeczywiście, jeśli Paweł napisał ten list pod natchnieniem Ducha Świętego, jak wierzę, to Sam Bóg deklaruje Ewangelię Łukasza Pismem Świętym!</w:t>
      </w:r>
    </w:p>
    <w:p>
      <w:pPr>
        <w:pStyle w:val="BodyText"/>
      </w:pPr>
      <w:r>
        <w:t xml:space="preserve">W 2 Liście Piotra 3,15-16 Piotr stawia Listy Pawła na równi z „innymi Pismami”. Chociaż niektóre z nich były dostępne już prawdopodobnie od piętnastu lat, atrament na innych ledwie zdążył wyschnąć, a być może 2 List do Tymoteusza nie został jeszcze napisany, kiedy Piotr pisał. Pisma Pawła zostały rozpoznane i ogłoszone przez autorytet apostolski jako Pismo Święte, gdy tylko się pojawiły.</w:t>
      </w:r>
    </w:p>
    <w:p>
      <w:pPr>
        <w:pStyle w:val="BodyText"/>
      </w:pPr>
      <w:r>
        <w:t xml:space="preserve">1 List do Koryntian 15,4 brzmi następująco: „i że został On pogrzebany, i że został On podniesiony trzeciego dnia zgodnie z Pismami”. „z Pismami” odnosi się tu prawdopodobnie do Ewangelii, ponieważ „trzeciego dnia”</w:t>
      </w:r>
      <w:r>
        <w:t xml:space="preserve"> </w:t>
      </w:r>
      <w:r>
        <w:rPr>
          <w:bCs/>
          <w:b/>
        </w:rPr>
        <w:t xml:space="preserve">nie znajduje się w Starym Testamencie</w:t>
      </w:r>
      <w:r>
        <w:t xml:space="preserve">. Załapałeś? Ponieważ zwrot „trzeciego dnia” nie istnieje w Starym Testamencie, odniesienie to przypuszczalnie dotyczy Ewangelii.</w:t>
      </w:r>
    </w:p>
    <w:p>
      <w:pPr>
        <w:pStyle w:val="BodyText"/>
      </w:pPr>
      <w:r>
        <w:t xml:space="preserve">W Ewangelii Jana 2,22 przetłumaczyłbym, „więc uwierzyli Pismu, nawet słowu, które wypowiedział Jezus” – to, co Jezus powiedział w Ewangelii Jana 2,19, krążyło już jako „Pismo” w Ewangelii Mateusza 26,61 i 27,40 (kiedy Jan pisał, w 62 r. n.e.).</w:t>
      </w:r>
    </w:p>
    <w:p>
      <w:pPr>
        <w:pStyle w:val="BodyText"/>
      </w:pPr>
      <w:r>
        <w:t xml:space="preserve">Klemens I, którego pierwszy list do Koryntian datuje się zazwyczaj na około 96 r. n.e., intensywnie korzystał z Pisma Świętego, odwołując się do jego autorytetu i wykorzystywał materiały Nowego Testamentu równolegle z materiałami Starego Testamentu. Klemens cytował Psalm 118,18 i List do Hebrajczyków 12,6 równolegle, jako „święte słowo” (56,3-4).</w:t>
      </w:r>
      <w:r>
        <w:rPr>
          <w:rStyle w:val="FootnoteReference"/>
        </w:rPr>
        <w:footnoteReference w:id="103"/>
      </w:r>
      <w:r>
        <w:t xml:space="preserve"> </w:t>
      </w:r>
      <w:r>
        <w:t xml:space="preserve">Przypisuje 1 List do Koryntian „błogosławionemu apostołowi Pawłowi” i mówi o tym: „z prawdziwym natchnieniem napisał do was” (47,1-3). Wyraźnie cytuje List do Hebrajczyków, 1 List do Koryntian i List do Rzymian, a być może także Ewangelię Mateusza, Dzieje Apostolskie, List do Tytusa, List Jakuba i 1 List Piotra. Oto biskup Rzymu, przed końcem pierwszego wieku, piszący oficjalny list do kościoła w Koryncie, w którym wybrane księgi Nowego Testamentu są uznawane i ogłaszane przez zwierzchnictwo biskupie za Pismo Święte, w tym List do Hebrajczyków (i obejmujących co najmniej pięciu różnych autorów).</w:t>
      </w:r>
    </w:p>
    <w:p>
      <w:pPr>
        <w:pStyle w:val="BodyText"/>
      </w:pPr>
      <w:r>
        <w:t xml:space="preserve">List Barnaby, różnie datowany na lata 70-135 n.e., mówi w 4,14: „bądźmy ostrożni, aby nie, jak jest napisane, to powinno być z nami znalezione, że «wielu jest powołanych, lecz niewielu wybranych»”. Wydaje się, że jest to odniesienie do Ewangelii Mateusza 22,14 (lub 20,16), a wyrażenie „jak jest napisane” można uczciwie przyjąć jako termin techniczny odnoszący się do Pisma Świętego. W wersecie 5,9 znajduje się cytat z Ewangelii Mateusza 9,13 (lub Ewangelii Marka 2,17 lub Ewangelii Łukasza 5,32). W 13,7 znajduje się luźny cytat z Listu do Rzymian 4,11-12, którego słowa zostały przypisane Bogu. Podobnie w 15,4 znajdujemy: „Zwróćcie uwagę, dzieci, co oznacza «skończył w sześć dni». To oznacza to: że Pan zakończy wszystko w sześć tysięcy lat, ponieważ dzień u Niego oznacza tysiąc lat. A On Sam jest moim świadkiem, mówiąc: «Oto dzień Pański będzie jak tysiąc lat»”.</w:t>
      </w:r>
      <w:r>
        <w:t xml:space="preserve"> </w:t>
      </w:r>
      <w:r>
        <w:rPr>
          <w:rStyle w:val="FootnoteReference"/>
        </w:rPr>
        <w:footnoteReference w:id="104"/>
      </w:r>
    </w:p>
    <w:p>
      <w:pPr>
        <w:pStyle w:val="BodyText"/>
      </w:pPr>
      <w:r>
        <w:t xml:space="preserve">Autor, kimkolwiek był, wyraźnie przypisuje boskie autorstwo temu cytatowi, który wydaje się pochodzić z 2 Listu Piotra 3,8.</w:t>
      </w:r>
      <w:r>
        <w:rPr>
          <w:rStyle w:val="FootnoteReference"/>
        </w:rPr>
        <w:footnoteReference w:id="105"/>
      </w:r>
      <w:r>
        <w:t xml:space="preserve"> </w:t>
      </w:r>
      <w:r>
        <w:t xml:space="preserve">Innymi słowy, 2 List Piotra jest tutaj uznawany za Pismo Święte, jak również Ewangelia Mateusza i List do Rzymian. List Barnaby zawiera również możliwe aluzje do 1 i 2 Listu do Koryntian, Listu do Efezjan, Listu do Kolosan, 1 i 2 Listu do Tymoteusza, Listu do Tytusa, Listu do Hebrajczyków i 1 Listu Piotra.</w:t>
      </w:r>
    </w:p>
    <w:p>
      <w:pPr>
        <w:pStyle w:val="BodyText"/>
      </w:pPr>
      <w:r>
        <w:rPr>
          <w:iCs/>
          <w:i/>
        </w:rPr>
        <w:t xml:space="preserve">Drugi wiek</w:t>
      </w:r>
    </w:p>
    <w:p>
      <w:pPr>
        <w:pStyle w:val="BodyText"/>
      </w:pPr>
      <w:r>
        <w:t xml:space="preserve">Siedem listów Ignacego (ok. 110 r. n.e.) zawierają prawdopodobne aluzje do Ewangelii Mateusza, Ewangelii Jana, Listu do Rzymian, 1 Listu do Koryntian i Listu do Efezjan (w swoim własnym liście do Efezjan Ignacy mówi, że są one wspomniane we „wszystkich listach Pawła” – trochę hiperbola, ale był on wyraźnie świadomy korpusu Pawłowego</w:t>
      </w:r>
      <w:r>
        <w:rPr>
          <w:rStyle w:val="FootnoteReference"/>
        </w:rPr>
        <w:footnoteReference w:id="106"/>
      </w:r>
      <w:r>
        <w:t xml:space="preserve">) oraz możliwe aluzje do Ewangelii Łukasza, Dziejów Apostolskich, Listu do Galacjan, Listu do Filipian, Listu do Kolosan, 1 Listu do Tesaloniczan, 1 i 2 Listu do Tymoteusza oraz Listu do Tytusa, ale bardzo niewiele z nich to wyraźne cytaty, a nawet one nie są jako takie zidentyfikowane.</w:t>
      </w:r>
    </w:p>
    <w:p>
      <w:pPr>
        <w:pStyle w:val="BodyText"/>
      </w:pPr>
      <w:r>
        <w:t xml:space="preserve">Z drugiej strony, Polikarp, pisząc do kościoła w Filippi (ok. 115 r. n.e.?), snuje niemal nieprzerwaną serię wyraźnych cytatów i aluzji do pism Nowego Testamentu. Jego intensywne wykorzystanie Pisma Świętego przypomina Klemensa I, jednakże, Klemens korzystał głównie ze Starego Testamentu, podczas gdy Polikarp używał głównie Nowego. Istnieje może pięćdziesiąt wyraźnych cytatów wziętych z Ewangelii Mateusza, Ewangelii Łukasza, Dziejów Apostolskich, Listu do Rzymian, 1 i 2 Listu do Koryntian, Listu do Galacjan, Listu do Efezjan, Listu do Filipian, Listu do Kolosan, 1 i 2 Listu do Tesaloniczan, 1 i 2 Listu do Tymoteusza, 1 i 2 Listu Piotra oraz 1 Listu Jana, a także wiele aluzji, w tym do Ewangelii Marka, Listu do Hebrajczyków, Listu Jakuba oraz 2 i 3 Listu Jana. (Jedyny pisarz Nowego Testamentu, który nie został włączony, to Juda! Ale pamiętaj, że powyższe odnosi się do tylko jednego listu – jeśli Polikarp napisał inne listy, mógł również cytować Judę).</w:t>
      </w:r>
      <w:r>
        <w:t xml:space="preserve"> </w:t>
      </w:r>
      <w:r>
        <w:rPr>
          <w:bCs/>
          <w:b/>
        </w:rPr>
        <w:t xml:space="preserve">Zwróć uwagę, że idea „kanonu” Nowego Testamentu ewidentnie istniała już w 115 r. n.e., a „kanon” Polikarpa był dość podobny do naszego.</w:t>
      </w:r>
    </w:p>
    <w:p>
      <w:pPr>
        <w:pStyle w:val="BodyText"/>
      </w:pPr>
      <w:r>
        <w:t xml:space="preserve">Jego stosunek do pism Nowego Testamentu jasno wynika z 12,1: „Jestem pewien, że jesteście dobrze wyszkoleni w świętych Pismach,… A teraz, jak jest to powiedziane w tych Pismach: «Gniewajcie się, ale nie grzeszcie» i «Niech słońce nie zachodzi nad waszym gniewem». Błogosławiony ten, kto to pamięta”.</w:t>
      </w:r>
      <w:r>
        <w:rPr>
          <w:rStyle w:val="FootnoteReference"/>
        </w:rPr>
        <w:footnoteReference w:id="107"/>
      </w:r>
      <w:r>
        <w:t xml:space="preserve"> </w:t>
      </w:r>
      <w:r>
        <w:t xml:space="preserve">Obie części cytatu mogły pochodzić z Listu do Efezjan 4,26, ale ponieważ Polikarp podzielił go, w pierwszej połowie mógł odnosić się do Psalmu 4,5 (LXX). W obu przypadkach deklaruje, że List do Efezjan jest „świętym Pismem”. Dalszy wgląd w jego postawę można znaleźć w 3,1-2.</w:t>
      </w:r>
    </w:p>
    <w:p>
      <w:pPr>
        <w:pStyle w:val="BlockText"/>
      </w:pPr>
      <w:r>
        <w:t xml:space="preserve">Bracia, piszę wam to dotyczące prawości, nie z własnej inicjatywy, ale dlatego, że wy pierwsi zaprosiliście mnie. Gdyż ani ja, ani nikt podobny do mnie, nie jest w stanie rywalizować z mądrością błogosławionego i chwalebnego Pawła, który, kiedy żył wśród was, starannie i niezłomnie nauczał słowo prawdy twarzą w twarz ze swoimi współczesnymi, a kiedy był nieobecny, pisał do was listy. Dzięki uważnej lekturze jego listów będziecie mogli umocnić się w danej wam wierze, „która jest matką nas wszystkich”…</w:t>
      </w:r>
      <w:r>
        <w:rPr>
          <w:rStyle w:val="FootnoteReference"/>
        </w:rPr>
        <w:footnoteReference w:id="108"/>
      </w:r>
    </w:p>
    <w:p>
      <w:pPr>
        <w:pStyle w:val="FirstParagraph"/>
      </w:pPr>
      <w:r>
        <w:t xml:space="preserve">(To od osoby, która była być może najbardziej szanowanym biskupem w Azji Mniejszej w swoich czasach. Został zamęczony w 156 r. n.e.)</w:t>
      </w:r>
    </w:p>
    <w:p>
      <w:pPr>
        <w:pStyle w:val="BodyText"/>
      </w:pPr>
      <w:r>
        <w:t xml:space="preserve">Tak zwany Drugi List Klemensa do Koryntian</w:t>
      </w:r>
      <w:r>
        <w:rPr>
          <w:rStyle w:val="FootnoteReference"/>
        </w:rPr>
        <w:footnoteReference w:id="109"/>
      </w:r>
      <w:r>
        <w:t xml:space="preserve"> </w:t>
      </w:r>
      <w:r>
        <w:t xml:space="preserve">datowany jest zazwyczaj na okres przed 150 r. n.e. i wydaje się wyraźnie cytować Ewangelię Mateusza, Ewangelię Marka, Ewangelię Łukasza, Dzieje Apostolskie, 1 List do Koryntian, List do Efezjan, 1 List do Tymoteusza, List do Hebrajczyków, List Jakuba i 1 List Piotra, z możliwymi aluzjami do 2 Listu Piotra, List Judy i Objawienie Jana. Po zacytowaniu i omówieniu fragmentu ze Starego Testamentu, autor mówi dalej w 2,4: „Inne Pismo mówi: «Nie przyszedłem wzywać sprawiedliwych, ale grzeszników»” (Ewangelia Mateusza 9,13; Ewangelia Marka 2,17; Ewangelia Łukasza 5,32). Oto kolejny autor, który uznał pisma Nowego Testamentu za Pismo Święte.</w:t>
      </w:r>
    </w:p>
    <w:p>
      <w:pPr>
        <w:pStyle w:val="BodyText"/>
      </w:pPr>
      <w:r>
        <w:t xml:space="preserve">Dwa inne wczesne dzieła,</w:t>
      </w:r>
      <w:r>
        <w:t xml:space="preserve"> </w:t>
      </w:r>
      <w:r>
        <w:rPr>
          <w:iCs/>
          <w:i/>
        </w:rPr>
        <w:t xml:space="preserve">Didache</w:t>
      </w:r>
      <w:r>
        <w:rPr>
          <w:rStyle w:val="FootnoteReference"/>
        </w:rPr>
        <w:footnoteReference w:id="110"/>
      </w:r>
      <w:r>
        <w:t xml:space="preserve"> </w:t>
      </w:r>
      <w:r>
        <w:t xml:space="preserve">i List do Diogneta, posługują się pismami Nowego Testamentu jako autorytatywnymi, ale bez wyraźnego nazywania ich Pismem Świętym.</w:t>
      </w:r>
      <w:r>
        <w:t xml:space="preserve"> </w:t>
      </w:r>
      <w:r>
        <w:rPr>
          <w:iCs/>
          <w:i/>
        </w:rPr>
        <w:t xml:space="preserve">Didache</w:t>
      </w:r>
      <w:r>
        <w:t xml:space="preserve"> </w:t>
      </w:r>
      <w:r>
        <w:t xml:space="preserve">najwyraźniej cytuje z Ewangelii Mateusza, Ewangelii Łukasza, 1 Listu do Koryntian, Listu do Hebrajczyków i 1 Listu Piotra, a także zawiera możliwe aluzje do Dziejów Apostolskich, Listu do Rzymian, Listu do Efezjan, 1 i 2 Listu do Tesaloniczan oraz Objawienia Jana. List do Diogneta cytuje z Dziejów Apostolskich, 1 i 2 Listu do Koryntian, jednocześnie nawiązując do Ewangelii Marka, Ewangelii Jana, Listu do Rzymian, Listu do Efezjan, Listu do Filipian, 1 Listu do Tymoteusza, Listu do Tytusa, 1 Listu Piotra i 1 Listu Jana.</w:t>
      </w:r>
    </w:p>
    <w:p>
      <w:pPr>
        <w:pStyle w:val="BodyText"/>
      </w:pPr>
      <w:r>
        <w:t xml:space="preserve">Inne wczesne dzieło – Pasterz Hermasa – szeroko stosowane w II i III wieku, zawiera dość wyraźne aluzje do Ewangelii Mateusza, Ewangelii Marka, 1 Listu do Koryntian, Listu do Efezjan, Listu do Hebrajczyków, a zwłaszcza Listu Jakuba.</w:t>
      </w:r>
    </w:p>
    <w:p>
      <w:pPr>
        <w:pStyle w:val="BodyText"/>
      </w:pPr>
      <w:r>
        <w:t xml:space="preserve">Dotarły do nas dość rozległe prace Justyna Męczennika (zamęczonego w 165 r.), pochodzące mniej więcej z połowy II wieku. Jego „Dialog z Tryfonem” ukazuje mistrzowską znajomość Starego Testamentu, któremu przypisuje on najwyższy możliwy autorytet, ewidentnie trzymając się poglądu o natchnieniu jako dyktowaniu – w Tryfonie 34 mówi: „aby przekonać cię, że nie zrozumiałeś nic ze Świętych Pism, przypomnę ci inny psalm, podyktowany Dawidowi przez Ducha Świętego”</w:t>
      </w:r>
      <w:r>
        <w:rPr>
          <w:rStyle w:val="FootnoteReference"/>
        </w:rPr>
        <w:footnoteReference w:id="111"/>
      </w:r>
      <w:r>
        <w:t xml:space="preserve">. Całe sedno Tryfona polega na udowodnieniu, że Jezus jest Chrystusem i Bogiem, a zatem to, co powiedział i nakazał, miało najwyższy autorytet.</w:t>
      </w:r>
    </w:p>
    <w:p>
      <w:pPr>
        <w:pStyle w:val="BodyText"/>
      </w:pPr>
      <w:r>
        <w:t xml:space="preserve">W</w:t>
      </w:r>
      <w:r>
        <w:t xml:space="preserve"> </w:t>
      </w:r>
      <w:r>
        <w:rPr>
          <w:iCs/>
          <w:i/>
        </w:rPr>
        <w:t xml:space="preserve">Apologii I</w:t>
      </w:r>
      <w:r>
        <w:t xml:space="preserve">, 66 Justyn mówi: „Albowiem apostołowie w sporządzonych przez siebie wspomnieniach, które zwane są Ewangeliami, w ten sposób przekazali to, co zostało im nakazane…”</w:t>
      </w:r>
      <w:r>
        <w:rPr>
          <w:rStyle w:val="FootnoteReference"/>
        </w:rPr>
        <w:footnoteReference w:id="112"/>
      </w:r>
      <w:r>
        <w:t xml:space="preserve">. A w</w:t>
      </w:r>
      <w:r>
        <w:t xml:space="preserve"> </w:t>
      </w:r>
      <w:r>
        <w:rPr>
          <w:iCs/>
          <w:i/>
        </w:rPr>
        <w:t xml:space="preserve">Dialogu z Żydem Tryfonem</w:t>
      </w:r>
      <w:r>
        <w:t xml:space="preserve"> </w:t>
      </w:r>
      <w:r>
        <w:t xml:space="preserve">119 mówi, że tak jak Abraham uwierzył głosowi Boga, „tak samo my, uwierzywszy głosowi Boga wypowiedzianemu przez apostołów Chrystusa…”</w:t>
      </w:r>
    </w:p>
    <w:p>
      <w:pPr>
        <w:pStyle w:val="BodyText"/>
      </w:pPr>
      <w:r>
        <w:t xml:space="preserve">Z</w:t>
      </w:r>
      <w:r>
        <w:t xml:space="preserve"> </w:t>
      </w:r>
      <w:r>
        <w:rPr>
          <w:iCs/>
          <w:i/>
        </w:rPr>
        <w:t xml:space="preserve">Dialogu z Żydem Tryfonem</w:t>
      </w:r>
      <w:r>
        <w:t xml:space="preserve"> </w:t>
      </w:r>
      <w:r>
        <w:t xml:space="preserve">120 wynika również jasno, że Justyn uważał pisma Nowego Testamentu za Pismo Święte. Niezwykle interesujące jest jednoznaczne odniesienie do Księgi Objawienia w</w:t>
      </w:r>
      <w:r>
        <w:t xml:space="preserve"> </w:t>
      </w:r>
      <w:r>
        <w:rPr>
          <w:iCs/>
          <w:i/>
        </w:rPr>
        <w:t xml:space="preserve">Dialogu z Żydem Tryfonem</w:t>
      </w:r>
      <w:r>
        <w:t xml:space="preserve"> </w:t>
      </w:r>
      <w:r>
        <w:t xml:space="preserve">81. „Ponadto, był z nami pewien człowiek, który miał na imię Jan, jeden z apostołów Chrystusa, który prorokował, na podstawie objawienia, które zostało mu dane, że ci, którzy wierzą w naszego Chrystusa, będą mieszkać tysiąc lat w Jerozolimie”.</w:t>
      </w:r>
      <w:r>
        <w:rPr>
          <w:rStyle w:val="FootnoteReference"/>
        </w:rPr>
        <w:footnoteReference w:id="113"/>
      </w:r>
    </w:p>
    <w:p>
      <w:pPr>
        <w:pStyle w:val="BodyText"/>
      </w:pPr>
      <w:r>
        <w:t xml:space="preserve">Justin kontynuuje, mówiąc: „Tak jak również nasz Pan powiedział” i cytuje Ewangelię Łukasza 20,35, więc najwyraźniej uważał Księgę Objawnienia za autorytatywną. (Skoro już mowa o Księdze Objawnienia, w 165 roku Meliton, biskup Sardes, napisał komentarz do tej księgi).</w:t>
      </w:r>
    </w:p>
    <w:p>
      <w:pPr>
        <w:pStyle w:val="BodyText"/>
      </w:pPr>
      <w:r>
        <w:t xml:space="preserve">Najbardziej pouczający fragment występuje w</w:t>
      </w:r>
      <w:r>
        <w:t xml:space="preserve"> </w:t>
      </w:r>
      <w:r>
        <w:rPr>
          <w:iCs/>
          <w:i/>
        </w:rPr>
        <w:t xml:space="preserve">Apologii I</w:t>
      </w:r>
      <w:r>
        <w:t xml:space="preserve"> </w:t>
      </w:r>
      <w:r>
        <w:t xml:space="preserve">67.</w:t>
      </w:r>
    </w:p>
    <w:p>
      <w:pPr>
        <w:pStyle w:val="BlockText"/>
      </w:pPr>
      <w:r>
        <w:t xml:space="preserve">A w dzień zwany niedzielą odbywa się spotkanie w jednym miejscu tych, którzy mieszkają w miastach lub na wsi, i czytane są wspomnienia apostołów lub pisma proroków, dopóki pozwala na to czas. Kiedy czytelnik kończy, przewodniczący w dyskursie namawia nas i zachęca do naśladowania tych szlachetnych rzeczy.</w:t>
      </w:r>
      <w:r>
        <w:rPr>
          <w:rStyle w:val="FootnoteReference"/>
        </w:rPr>
        <w:footnoteReference w:id="114"/>
      </w:r>
    </w:p>
    <w:p>
      <w:pPr>
        <w:pStyle w:val="FirstParagraph"/>
      </w:pPr>
      <w:r>
        <w:t xml:space="preserve">Niezależnie od tego, czy kolejność ta sugeruje, że Ewangelie były preferowane względem Proroków, jasne jest, że zarówno jedne, jak i drugie, były uważane za autorytatywne i w równym stopniu nakazywane słuchaczom.</w:t>
      </w:r>
      <w:r>
        <w:t xml:space="preserve"> </w:t>
      </w:r>
      <w:r>
        <w:rPr>
          <w:bCs/>
          <w:b/>
        </w:rPr>
        <w:t xml:space="preserve">Zwróć następnie uwagę, że każde zgromadzenie musiało posiadać własną kopię pism apostołów do czytania</w:t>
      </w:r>
      <w:r>
        <w:t xml:space="preserve">, a takie czytanie miało miejsce co tydzień.</w:t>
      </w:r>
    </w:p>
    <w:p>
      <w:pPr>
        <w:pStyle w:val="BodyText"/>
      </w:pPr>
      <w:r>
        <w:t xml:space="preserve">Atenagoras, w swoim dziele „Plea”</w:t>
      </w:r>
      <w:r>
        <w:rPr>
          <w:rStyle w:val="FootnoteReference"/>
        </w:rPr>
        <w:footnoteReference w:id="115"/>
      </w:r>
      <w:r>
        <w:t xml:space="preserve">, napisanym na początku 177 roku, cytuje z Ewangelii Mateusza 5,28 jako z Pisma Świętego: „…nie wolno nam nawet oddawać się pożądliwemu spojrzeniu. Albowiem, Pismo Święte mówi, «Ten, kto patrzy na kobietę pożądliwie, już popełnił cudzołóstwo w swoim sercu»” (32)</w:t>
      </w:r>
      <w:r>
        <w:rPr>
          <w:rStyle w:val="FootnoteReference"/>
        </w:rPr>
        <w:footnoteReference w:id="116"/>
      </w:r>
      <w:r>
        <w:t xml:space="preserve">. Podobnie traktuje on Ewangelię Mateusza 19,9 lub Ewangelię Marka 10,11 w rozdziale 33.</w:t>
      </w:r>
    </w:p>
    <w:p>
      <w:pPr>
        <w:pStyle w:val="BodyText"/>
      </w:pPr>
      <w:r>
        <w:t xml:space="preserve">Teofil, biskup Antiochii</w:t>
      </w:r>
      <w:r>
        <w:rPr>
          <w:rStyle w:val="FootnoteReference"/>
        </w:rPr>
        <w:footnoteReference w:id="117"/>
      </w:r>
      <w:r>
        <w:t xml:space="preserve">, w swoim traktacie do Autolikusa cytuje 1 List do Tymoteusza 2,1 i List do Rzymian 13,7 jako „Słowo Boże” (iii.14), cytuje z czwartej Ewangelii, mówiąc, że Jan był „natchniony przez Ducha” (ii.22), Księga Izajasza i „Ewangelia” są wspomniane w jednym akapicie jako Pismo Święte (iii.14) i obstaje on w kilku fragmentach, że autorzy nigdy nie zaprzeczali sobie nawzajem: „Oświadczenia Proroków i Ewangelii okazują się spójne, ponieważ wszystkie były natchnione przez jednego Ducha Bożego” (ii.9; ii.35; iii.17).</w:t>
      </w:r>
      <w:r>
        <w:rPr>
          <w:rStyle w:val="FootnoteReference"/>
        </w:rPr>
        <w:footnoteReference w:id="118"/>
      </w:r>
    </w:p>
    <w:p>
      <w:pPr>
        <w:pStyle w:val="BodyText"/>
      </w:pPr>
      <w:r>
        <w:t xml:space="preserve">Dzieła Ireneusza (zm. 202 r.)</w:t>
      </w:r>
      <w:r>
        <w:rPr>
          <w:rStyle w:val="FootnoteReference"/>
        </w:rPr>
        <w:footnoteReference w:id="119"/>
      </w:r>
      <w:r>
        <w:t xml:space="preserve">, które zachowały się do dziś, jego główne dzieło</w:t>
      </w:r>
      <w:r>
        <w:t xml:space="preserve"> </w:t>
      </w:r>
      <w:r>
        <w:rPr>
          <w:iCs/>
          <w:i/>
        </w:rPr>
        <w:t xml:space="preserve">Przeciw heretykom</w:t>
      </w:r>
      <w:r>
        <w:rPr>
          <w:rStyle w:val="FootnoteReference"/>
        </w:rPr>
        <w:footnoteReference w:id="120"/>
      </w:r>
      <w:r>
        <w:t xml:space="preserve"> </w:t>
      </w:r>
      <w:r>
        <w:t xml:space="preserve">napisane około 185 r., są mniej więcej równe pod względem objętości do dzieł wszystkich poprzedzających Ojców razem wziętych.</w:t>
      </w:r>
    </w:p>
    <w:p>
      <w:pPr>
        <w:pStyle w:val="BodyText"/>
      </w:pPr>
      <w:r>
        <w:t xml:space="preserve">Jego świadectwo dotyczące autorytetu i natchnienia Pisma Świętego jest jasne i jednoznaczne. Przenika ono całość jego dzieł, a świadectwo to ma ponadprzeciętną wartość, ponieważ należy je traktować jako bezpośrednio reprezentujące co najmniej trzy kościoły, tych z Lyonu, Azji Mniejszej i Rzymu. Autorytatywne wykorzystanie obu Testamentów jest jasno określone.</w:t>
      </w:r>
      <w:r>
        <w:rPr>
          <w:rStyle w:val="FootnoteReference"/>
        </w:rPr>
        <w:footnoteReference w:id="121"/>
      </w:r>
    </w:p>
    <w:p>
      <w:pPr>
        <w:pStyle w:val="BodyText"/>
      </w:pPr>
      <w:r>
        <w:t xml:space="preserve">Ireneusz stwierdził, że apostołowie nauczali, iż Bóg jest Autorem obu Testamentów (</w:t>
      </w:r>
      <w:r>
        <w:rPr>
          <w:iCs/>
          <w:i/>
        </w:rPr>
        <w:t xml:space="preserve">Przeciw heretykom</w:t>
      </w:r>
      <w:r>
        <w:t xml:space="preserve"> </w:t>
      </w:r>
      <w:r>
        <w:t xml:space="preserve">IV. 32.2) i ewidentnie uważał, że pisma Nowego Testamentu formują drugi kanon. Cytował z każdego rozdziału Ewangelii Mateusza, 1 Listu do Koryntian, Listu do Galacjan, Listu do Efezjan, Listu do Kolosan i Listu do Filipian, ze wszystkich oprócz jednego lub dwóch rozdziałów Ewangelii Łukasza, Ewangelii Jana, Listu do Rzymian, 2 Listu do Tesaloniczan, 1 i 2 Listu do Tymoteusza oraz Listu do Tytusa, z większości rozdziałów Ewangelii Marka (w tym z ostatnich dwunastu wersetów), Dziejów Apostolskich, 2 Listu do Koryntian i Objawienia Jana oraz z każdej innej księgi z wyjątkiem Listu do Filemona i 3 Listu Jana. Te dwie księgi są tak krótkie, że Ireneusz mógł nie mieć okazji odwołać się do nich w swoich zachowanych dziełach – nie musi to jednak oznaczać, że nie miał o nich pojęcia lub, że je odrzucił.</w:t>
      </w:r>
      <w:r>
        <w:t xml:space="preserve"> </w:t>
      </w:r>
      <w:r>
        <w:rPr>
          <w:bCs/>
          <w:b/>
        </w:rPr>
        <w:t xml:space="preserve">Ewidentnie wymiary Kanonu Nowego Testamentu uznanego przez Ireneusza są bardzo zbliżone do tego, co posiadamy dzisiaj</w:t>
      </w:r>
      <w:r>
        <w:t xml:space="preserve">.</w:t>
      </w:r>
    </w:p>
    <w:p>
      <w:pPr>
        <w:pStyle w:val="BodyText"/>
      </w:pPr>
      <w:r>
        <w:t xml:space="preserve">Od czasów Ireneusza nie może być żadnych wątpliwości dotyczących stosunku Kościoła do pism Nowego Testamentu – są one Pismem Świętym. Tertulian (w 208 r.) powiedział o Kościele w Rzymie: „prawo i proroków łączy w jednym tomie z pismami ewangelistów i apostołów” (</w:t>
      </w:r>
      <w:r>
        <w:rPr>
          <w:iCs/>
          <w:i/>
        </w:rPr>
        <w:t xml:space="preserve">Recepta przeciw heretykom</w:t>
      </w:r>
      <w:r>
        <w:t xml:space="preserve"> </w:t>
      </w:r>
      <w:r>
        <w:t xml:space="preserve">[ang.</w:t>
      </w:r>
      <w:r>
        <w:t xml:space="preserve"> </w:t>
      </w:r>
      <w:r>
        <w:rPr>
          <w:iCs/>
          <w:i/>
        </w:rPr>
        <w:t xml:space="preserve">Prescription against Heretics</w:t>
      </w:r>
      <w:r>
        <w:t xml:space="preserve">, przyp. tłum.], 36).</w:t>
      </w:r>
    </w:p>
    <w:p>
      <w:pPr>
        <w:pStyle w:val="BodyText"/>
      </w:pPr>
      <w:r>
        <w:t xml:space="preserve">Proszę o uwagę! Jak dotąd przedstawione dowody wnoszą do naszej dyskusji następujący wkład: implikacje ich stosunku wobec Tekstu. To, czy ktoś dzisiaj zgadza się z nimi, czy nie, nie ma związku. Pierwsi Chrześcijanie wierzyli, że „księgi” Nowego Testamentu były natchnione przez Boga, stanowiąc drugi Kanon. W wyniku swojej wiary traktowali te pisma z troską i szacunkiem.</w:t>
      </w:r>
    </w:p>
    <w:bookmarkEnd w:id="122"/>
    <w:bookmarkStart w:id="135" w:name="czy-pierwsi-chrześcijanie-byli-ostrożni"/>
    <w:p>
      <w:pPr>
        <w:pStyle w:val="Heading3"/>
      </w:pPr>
      <w:r>
        <w:t xml:space="preserve">Czy pierwsi chrześcijanie byli ostrożni?</w:t>
      </w:r>
    </w:p>
    <w:p>
      <w:pPr>
        <w:pStyle w:val="FirstParagraph"/>
      </w:pPr>
      <w:r>
        <w:t xml:space="preserve">Zostało szeroko przyjęte, że pierwsi Chrześcijanie byli albo obojętni, albo niezdolni do czuwania nad czystością tekstu. (Przypomnij sobie słowa Horta przytoczone powyżej). Ponownie konieczny jest przegląd założeń. Wielu z pierwszych wierzących było pobożnymi Żydami, którzy mieli zakorzeniony szacunek i troskę o Pismo Starego Testamentu, sięgające najdrobniejszej kropki czy kreski. Ten szacunek i troska w naturalny sposób rozciągały się również na Pismo Nowego Testamentu.</w:t>
      </w:r>
    </w:p>
    <w:p>
      <w:pPr>
        <w:pStyle w:val="BodyText"/>
      </w:pPr>
      <w:r>
        <w:t xml:space="preserve">Dlaczego współcześni krytycy powinni zakładać, że pierwsi chrześcijanie, a zwłaszcza przywódcy duchowi pośród nich, byli gorsi pod względem uczciwości lub inteligencji? Ojciec cytujący z pamięci lub dostosowujący fragment do swoich potrzeb w kazaniu, lub liście w żadnym wypadku nie oznacza, że pozwoliłby sobie na podobną swobodę podczas przepisywania księgi lub korpusu. Zwykła uczciwość wymagałaby od niego sporządzenia wiernej kopii. Czy mamy zakładać, że każdy, kto sporządzał kopie ksiąg Nowego Testamentu w tamtych wczesnych latach, był łotrem lub głupcem? Paweł był z pewnością człowiekiem tak samo inteligentnym, jak każdy z nas. Jeśli List do Hebrajczyków został napisany przez kogoś innego, mamy tu kolejnego człowieka o wysokiej duchowej wnikliwości i mocy intelektualnej. Byli Barnaba i Apollos, i Klemens, i Polikarp, i tak dalej, i tak dalej. Kościół ma i miał ludzi rozsądnych i inteligentnych przez wszystkie lata. Zaczynając od tego, co</w:t>
      </w:r>
      <w:r>
        <w:t xml:space="preserve"> </w:t>
      </w:r>
      <w:r>
        <w:rPr>
          <w:bCs/>
          <w:b/>
        </w:rPr>
        <w:t xml:space="preserve">wiedzieli</w:t>
      </w:r>
      <w:r>
        <w:t xml:space="preserve">, że jest czystym tekstem, najwcześniejsi Ojcowie nie musieli być krytykami tekstu. Musieli tylko być dość uczciwi i ostrożni. Ale czy nie ma dobrych powodów, aby sądzić, że byli</w:t>
      </w:r>
      <w:r>
        <w:t xml:space="preserve"> </w:t>
      </w:r>
      <w:r>
        <w:rPr>
          <w:bCs/>
          <w:b/>
        </w:rPr>
        <w:t xml:space="preserve">szczególnie</w:t>
      </w:r>
      <w:r>
        <w:t xml:space="preserve"> </w:t>
      </w:r>
      <w:r>
        <w:t xml:space="preserve">czujni i ostrożni?</w:t>
      </w:r>
    </w:p>
    <w:p>
      <w:pPr>
        <w:pStyle w:val="BodyText"/>
      </w:pPr>
      <w:r>
        <w:rPr>
          <w:iCs/>
          <w:i/>
        </w:rPr>
        <w:t xml:space="preserve">Apostołowie</w:t>
      </w:r>
    </w:p>
    <w:p>
      <w:pPr>
        <w:pStyle w:val="BodyText"/>
      </w:pPr>
      <w:r>
        <w:t xml:space="preserve">Apostołowie nie tylko sami ogłosili pisma Nowego Testamentu Pismem Świętym, co wywołało szacunek i troskę w ich traktowaniu, ale także wyraźnie ostrzegli wierzących, aby mieli się na baczności przed fałszywymi nauczycielami. Rozważ Dzieje Apostolskie 21,28-31. „Więc uważajcie na siebie i na całe stado, w którym Duch Święty umieścił was jako nadzorców, do wypasania zgromadzenia Pana i Boga</w:t>
      </w:r>
      <w:r>
        <w:rPr>
          <w:rStyle w:val="FootnoteReference"/>
        </w:rPr>
        <w:footnoteReference w:id="123"/>
      </w:r>
      <w:r>
        <w:t xml:space="preserve">, które nabył On Swoją własną krwią. Wiem bowiem to, że po moim odejściu wejdą między was okrutne wilki, nie oszczędzając stada. Tak, spośród was samych powstaną ludzie, głosząc wypaczone rzeczy, aby odciągnąć uczniów za sobą. Dlatego bądźcie czujni”. Czy Paweł mógłby wyrazić się jaśniej?</w:t>
      </w:r>
    </w:p>
    <w:p>
      <w:pPr>
        <w:pStyle w:val="BodyText"/>
      </w:pPr>
      <w:r>
        <w:t xml:space="preserve">Rozważ teraz List do Galacjan 1,6-9. „Jestem niemiło zaskoczony, że tak szybko odwracacie się od tego, który powołał was łaską Chrystusa, ku innej ewangelii – nie jest to jedynie wariant, ale niektórzy ludzie niepokoją was i chcą zniekształcić Ewangelię Chrystusa. A nawet gdybyśmy my lub anioł z nieba głosił wam ewangelię inną niż ta, którą wam głosiliśmy, niech będzie przeklęty! Tak jak właśnie powiedzieliśmy, powtarzam tutaj stanowczo: jeśli ktoś głosi wam ewangelię inną niż ta, którą otrzymaliście, niech będzie przeklęty!!”</w:t>
      </w:r>
      <w:r>
        <w:rPr>
          <w:rStyle w:val="FootnoteReference"/>
        </w:rPr>
        <w:footnoteReference w:id="124"/>
      </w:r>
      <w:r>
        <w:t xml:space="preserve"> </w:t>
      </w:r>
      <w:r>
        <w:t xml:space="preserve">Czy Paweł mógłby wyrazić się jeszcze bardziej stanowczo? Zwróć uwagę, że Paweł twierdzi, iż jest kompetentny do zdefiniowania jedynej prawdziwej Ewangelii Chrystusa, a mógł to zrobić prawdziwie tylko dzięki natchnieniu boskiemu.</w:t>
      </w:r>
    </w:p>
    <w:p>
      <w:pPr>
        <w:pStyle w:val="BodyText"/>
      </w:pPr>
      <w:r>
        <w:t xml:space="preserve">Rozważ teraz 2 List Piotra 2,1-2. „Jednakże, byli również fałszywi prorocy pośród ludu, tak jak, w istocie, będą pośród was fałszywi nauczyciele, którzy wprowadzą destrukcyjne herezje, nawet zaprzeczając Właściciela, który ich wykupił (przynosząc na siebie szybką zagładę). I wielu pójdzie ich rozwiązłymi drogami, przez co droga Prawdy zostanie zniesławiona”. Piotr ostrzegł wierzących, aby mieli się na baczności przed fałszywymi nauczycielami.</w:t>
      </w:r>
    </w:p>
    <w:p>
      <w:pPr>
        <w:pStyle w:val="BodyText"/>
      </w:pPr>
      <w:r>
        <w:t xml:space="preserve">A dalej jest 2 List Jana 1,7;9-11. „Gdyż wielu oszustów przyszło na świat,</w:t>
      </w:r>
      <w:r>
        <w:rPr>
          <w:rStyle w:val="FootnoteReference"/>
        </w:rPr>
        <w:footnoteReference w:id="125"/>
      </w:r>
      <w:r>
        <w:t xml:space="preserve"> </w:t>
      </w:r>
      <w:r>
        <w:t xml:space="preserve">którzy nie uznają Jezusa Chrystusa jako przychodzącego w ciele</w:t>
      </w:r>
      <w:r>
        <w:rPr>
          <w:rStyle w:val="FootnoteReference"/>
        </w:rPr>
        <w:footnoteReference w:id="126"/>
      </w:r>
      <w:r>
        <w:t xml:space="preserve"> </w:t>
      </w:r>
      <w:r>
        <w:t xml:space="preserve">– to jest oszust, a nawet Antychryst!”, „Każdy, kto się odwraca i nie trwa w nauczaniu Chrystusa, nie ma Boga, ale każdy, kto trwa w nauczaniu Chrystusa, ma zarówno Ojca, jak i Syna. Jeśli ktoś przychodzi do was i nie przynosi tej nauki, nie przyjmujcie go do waszego domu, nie mówcie mu nawet: «Życzę ci wszystkiego dobrego», bo każdy, kto mu mówi: «Życzę ci wszystkiego dobrego», uczestniczy w jego zgubnych dziełach”</w:t>
      </w:r>
      <w:r>
        <w:rPr>
          <w:rStyle w:val="FootnoteReference"/>
        </w:rPr>
        <w:footnoteReference w:id="127"/>
      </w:r>
      <w:r>
        <w:t xml:space="preserve">. Niektórzy mogą odczuwać, że język Jana jest nieco ostry, ale on zdecydowanie ostrzegał ich. Wracając do wersetu 7, Tekst zawiera „przychodzącego”, a nie „przybyłego”, więc ewidentnie Jan odnosi się do powtórnego przyjścia Chrystusa, które z pewnością będzie „w ciele”. Przypomnij sobie słowa aniołów w Dziejach Apostolskich 1,11.</w:t>
      </w:r>
    </w:p>
    <w:p>
      <w:pPr>
        <w:pStyle w:val="BodyText"/>
      </w:pPr>
      <w:r>
        <w:t xml:space="preserve">Oświadczenie Piotra dotyczące „przekręcania”, któremu poddawano słowa Pawła (2 List Piotra 3,16) sugeruje, że istniała świadomość i troska co do tekstu i sposobu, w jaki się z nim obchodzono. Uznaję, że Apostołowie skupiali się na interpretacji zamiast na kopiowaniu tekstu, a jednak, jako że każda zmiana tekstu może skutkować odmienną interpretacją, możemy rozsądnie wnioskować, że ich troska o prawdę obejmowała wierne przekazywanie tekstu.</w:t>
      </w:r>
    </w:p>
    <w:p>
      <w:pPr>
        <w:pStyle w:val="BodyText"/>
      </w:pPr>
      <w:r>
        <w:t xml:space="preserve">Rzeczywiście, trudno byłoby znaleźć wyraźniejsze odzwierciedlenie tej troski niż to zawarte w Objawieniu Jana 22,18-19. „Ja sam świadczę wszystkim, którzy słyszą słów proroctwa tej księgi: Jeśli ktokolwiek doda do nich, niech Bóg doda</w:t>
      </w:r>
      <w:r>
        <w:t xml:space="preserve"> </w:t>
      </w:r>
      <w:r>
        <w:rPr>
          <w:bCs/>
          <w:b/>
        </w:rPr>
        <w:t xml:space="preserve">mu</w:t>
      </w:r>
      <w:r>
        <w:t xml:space="preserve"> </w:t>
      </w:r>
      <w:r>
        <w:t xml:space="preserve">siedem plag wypisanych w tej księdze! A jeśli ktokolwiek zabierze ze sł</w:t>
      </w:r>
      <w:r>
        <w:rPr>
          <w:bCs/>
          <w:b/>
        </w:rPr>
        <w:t xml:space="preserve">ów</w:t>
      </w:r>
      <w:r>
        <w:rPr>
          <w:rStyle w:val="FootnoteReference"/>
        </w:rPr>
        <w:footnoteReference w:id="128"/>
      </w:r>
      <w:r>
        <w:t xml:space="preserve"> </w:t>
      </w:r>
      <w:r>
        <w:t xml:space="preserve">księgi tego proroctwa, niech Bóg odejmie jego udział z drzewa życia i ze Świętego Miasta, które są opisane w tej księdze!” Ponieważ to uwielbiony Chrystus przemawia, czyż każdy prawdziwy Jego naśladowca nie zwróci szczególną uwagę?</w:t>
      </w:r>
    </w:p>
    <w:p>
      <w:pPr>
        <w:pStyle w:val="BodyText"/>
      </w:pPr>
      <w:r>
        <w:t xml:space="preserve">Suwerenny Jezus wyraźnie wyraził tę ochronną troskę na początku Swojej ziemskiej służby. W Ewangelii Mateusza 5,19 czytamy: „ktokolwiek unieważni jedno z najmniejszych z tych przykazań i tak naucza ludzi…”. Zwróć uwagę, „jedno z najmniejszych” – troska Pana rozciąga się nawet na „najmniejsze”.</w:t>
      </w:r>
    </w:p>
    <w:p>
      <w:pPr>
        <w:pStyle w:val="BodyText"/>
      </w:pPr>
      <w:r>
        <w:rPr>
          <w:iCs/>
          <w:i/>
        </w:rPr>
        <w:t xml:space="preserve">Pierwsi liderzy</w:t>
      </w:r>
    </w:p>
    <w:p>
      <w:pPr>
        <w:pStyle w:val="BodyText"/>
      </w:pPr>
      <w:r>
        <w:t xml:space="preserve">Pierwsi liderzy dostarczają kilku pomocnych wskazówek dotyczących stanu rzeczy w ich czasach. Listy Ignacego zawierają kilka odniesień do intensywnych kontaktów między kościołami (Azji Mniejszej, Grecji i Rzymu) za pośrednictwem posłańców (często oficjalnych), co wydaje się wskazywać na głębokie poczucie solidarności łączącej ich ze sobą oraz szerokie rozpowszechnianie wiadomości i opinii – problem z heretykiem w jednym miejscu szybko stawał się znany wszędzie, itd. Że istniało silne przekonanie o integralności Świętych Pism, jasno pokazuje Polikarp (7,1): „Ktokolwiek wypacza słowa Pana… ten jest pierworodnym Szatana”. Współcześni krytycy mogą nie lubić terminologii Polikarpa, ale użycie przez niego tak mocnego języka jasno pokazuje, że nie był on jedynie świadomy i zaniepokojony, on był</w:t>
      </w:r>
      <w:r>
        <w:t xml:space="preserve"> </w:t>
      </w:r>
      <w:r>
        <w:rPr>
          <w:bCs/>
          <w:b/>
        </w:rPr>
        <w:t xml:space="preserve">wzburzony</w:t>
      </w:r>
      <w:r>
        <w:t xml:space="preserve">.</w:t>
      </w:r>
    </w:p>
    <w:p>
      <w:pPr>
        <w:pStyle w:val="BodyText"/>
      </w:pPr>
      <w:r>
        <w:t xml:space="preserve">Podobnie, Justyn Męczennik mówi (Apologia I</w:t>
      </w:r>
      <w:r>
        <w:rPr>
          <w:rStyle w:val="FootnoteReference"/>
        </w:rPr>
        <w:footnoteReference w:id="129"/>
      </w:r>
      <w:r>
        <w:t xml:space="preserve">, 58): „okropne demony wysunęły także Marcjona z Pontu”. Ponownie, tak mocny język jasno pokazuje, że był on świadomy i zaniepokojony. A w</w:t>
      </w:r>
      <w:r>
        <w:t xml:space="preserve"> </w:t>
      </w:r>
      <w:r>
        <w:rPr>
          <w:iCs/>
          <w:i/>
        </w:rPr>
        <w:t xml:space="preserve">Dialogu z Żydem Tryfonem</w:t>
      </w:r>
      <w:r>
        <w:rPr>
          <w:rStyle w:val="FootnoteReference"/>
        </w:rPr>
        <w:footnoteReference w:id="130"/>
      </w:r>
      <w:r>
        <w:t xml:space="preserve"> </w:t>
      </w:r>
      <w:r>
        <w:t xml:space="preserve">XXXV [rozdział 35, przyp. tłum.] mówi o heretykach nauczających doktryn duchów błędu, fakt ten „sprawia, iż my, którzy jesteśmy uczniami prawdziwej i czystej doktryny Jezusa Chrystusa, stajemy się bardziej wierni i niezłomni w nadziei ogłoszonej przez Niego.”</w:t>
      </w:r>
    </w:p>
    <w:p>
      <w:pPr>
        <w:pStyle w:val="BodyText"/>
      </w:pPr>
      <w:r>
        <w:t xml:space="preserve">Wydaje się oczywiste, że działalność heretycka miałaby dokładnie taki skutek, postawienia wiernych na baczności i zmuszenia ich do zdefiniowania w swoich własnych umysłach tego, czego zamierzają bronić. Tak więc okrojony kanon Marcjona ewidentnie pobudził wiernych do zdefiniowania prawdziwego kanonu. Ale Marcjon zmienił również sformułowania Listów Łukasza i Pawła, a z ich gorzkich skarg jasno wynika, że wierni byli zarówno świadomi, jak i zaniepokojeni. Na marginesie możemy zauważyć, że działalność heretycka dostarcza również niebezpośredniego dowodu na to, że pisma Nowego Testamentu były uważane za Pismo Święte – po co fatygować się fałszowaniem ich, jeśli nie miały one autorytetu?</w:t>
      </w:r>
    </w:p>
    <w:p>
      <w:pPr>
        <w:pStyle w:val="BodyText"/>
      </w:pPr>
      <w:r>
        <w:t xml:space="preserve">Dionizy, biskup Koryntu (168-176), skarżył się, że jego własne listy zostały przerobione, a co gorsza, również Pismo Święte.</w:t>
      </w:r>
    </w:p>
    <w:p>
      <w:pPr>
        <w:pStyle w:val="BodyText"/>
      </w:pPr>
      <w:r>
        <w:t xml:space="preserve">I upierali się, że otrzymali czystą tradycję. Tak więc Ireneusz powiedział, że doktryna apostołów została przekazana przez sukcesję biskupów, strzeżona i zachowana, bez żadnego podrabiania Świętych Pism, nie dopuszczając ani dodatków, ani skrótów, obejmując publiczne czytanie bez zafałszowań (</w:t>
      </w:r>
      <w:r>
        <w:rPr>
          <w:iCs/>
          <w:i/>
        </w:rPr>
        <w:t xml:space="preserve">Przeciw heretykom</w:t>
      </w:r>
      <w:r>
        <w:t xml:space="preserve"> </w:t>
      </w:r>
      <w:r>
        <w:t xml:space="preserve">IV. 32:8).</w:t>
      </w:r>
    </w:p>
    <w:p>
      <w:pPr>
        <w:pStyle w:val="BodyText"/>
      </w:pPr>
      <w:r>
        <w:t xml:space="preserve">Tertulian, również, mówi o swoim prawie do Pism Nowego Testamentu: „Posiadam pewne akty własności od samych pierwotnych właścicieli… Jestem spadkobiercą apostołów. Tak jak oni starannie przygotowali swoją wolę i testament, i powierzyli je w zarząd… tak samo ja je posiadam”.</w:t>
      </w:r>
      <w:r>
        <w:rPr>
          <w:rStyle w:val="FootnoteReference"/>
        </w:rPr>
        <w:footnoteReference w:id="131"/>
      </w:r>
    </w:p>
    <w:p>
      <w:pPr>
        <w:pStyle w:val="BodyText"/>
      </w:pPr>
      <w:r>
        <w:rPr>
          <w:iCs/>
          <w:i/>
        </w:rPr>
        <w:t xml:space="preserve">Ireneusz</w:t>
      </w:r>
    </w:p>
    <w:p>
      <w:pPr>
        <w:pStyle w:val="BodyText"/>
      </w:pPr>
      <w:r>
        <w:t xml:space="preserve">W celu zapewnienia dokładności transkrypcji autorzy czasami dodawali na końcu swoich dzieł literackich wezwanie skierowane do przyszłych kopistów. Dlatego, na przykład, Ireneusz dołączył na końcu swojego traktatu</w:t>
      </w:r>
      <w:r>
        <w:t xml:space="preserve"> </w:t>
      </w:r>
      <w:r>
        <w:rPr>
          <w:iCs/>
          <w:i/>
        </w:rPr>
        <w:t xml:space="preserve">O Ogdoadzie</w:t>
      </w:r>
      <w:r>
        <w:t xml:space="preserve"> </w:t>
      </w:r>
      <w:r>
        <w:t xml:space="preserve">następującą notatkę: „Zaklinam was, którzy będziecie kopiować tę księgę, przez naszego Pana Jezusa Chrystusa i Jego chwalebne nadejście, kiedy przyjdzie osądzić żywych i umarłych, abyście porównywali to, co przepisujecie, i starannie poprawiali w oparciu o ten rękopis, z którego kopiujecie, a także, abyście przepisali to wezwanie i umieścili je w kopii”.</w:t>
      </w:r>
      <w:r>
        <w:rPr>
          <w:rStyle w:val="FootnoteReference"/>
        </w:rPr>
        <w:footnoteReference w:id="132"/>
      </w:r>
    </w:p>
    <w:p>
      <w:pPr>
        <w:pStyle w:val="BodyText"/>
      </w:pPr>
      <w:r>
        <w:t xml:space="preserve">Jeżeli Ireneusz podejmował tak ekstremalne środki ostrożności, w celu wiernego przekazywania własnego dzieła, to o ileż bardziej troszczyłby się o wierne kopiowanie Słowa Bożego? W rzeczywistości demonstruje on swoją troskę o dokładność tekstu, broniąc tradycyjnego odczytu</w:t>
      </w:r>
      <w:r>
        <w:t xml:space="preserve"> </w:t>
      </w:r>
      <w:r>
        <w:rPr>
          <w:bCs/>
          <w:b/>
        </w:rPr>
        <w:t xml:space="preserve">pojedynczej litery</w:t>
      </w:r>
      <w:r>
        <w:t xml:space="preserve">. Pytanie brzmi, czy apostoł Jan napisał χξς̓ (666) czy χις̓ (616) w Księdze Objawienia 13,18. Ireneusz zapewnia, że 666 znajduje się „we wszystkich najbardziej uznanych i najstarszych kopiach” i że „ci, którzy widzieli Jana twarzą w twarz”, świadczą o tym. Ostrzega też tych, którzy dokonali zmiany (pojedynczej litery), że „nie będzie łagodnej kary dla tego, kto albo coś dodaje albo ujmie z Pisma Świętego” (xxx.1 [rozdział 30, paragraf 1, przyp. tłum.]). Przypuszczalnie Ireneusz odnosi się do Księgi Objawienia 22,18-19.</w:t>
      </w:r>
    </w:p>
    <w:p>
      <w:pPr>
        <w:pStyle w:val="BodyText"/>
      </w:pPr>
      <w:r>
        <w:t xml:space="preserve">Biorąc pod uwagę bliskie relacje Polikarpa z Janem, jego prywatna kopia Księgi Objawienia najprawdopodobniej została przepisana z Autografu. A biorąc pod uwagę wielki szacunek Ireneusza do Polikarpa, jego prywatna kopia Księgi Objawienia prawdopodobnie została przepisana z kopii Polikarpa. Chociaż Ireneusz najwyraźniej nie był już w stanie odnieść się do Autografu (niecałe dziewięćdziesiąt lat po jego napisaniu!), był ewidentnie w stanie zidentyfikować wierną kopię i z całą pewnością stwierdzić, jak brzmiał oryginalny tekst – to w 186 roku. Co prowadzi nas do Tertuliana.</w:t>
      </w:r>
    </w:p>
    <w:p>
      <w:pPr>
        <w:pStyle w:val="BodyText"/>
      </w:pPr>
      <w:r>
        <w:rPr>
          <w:iCs/>
          <w:i/>
        </w:rPr>
        <w:t xml:space="preserve">Tertulian</w:t>
      </w:r>
    </w:p>
    <w:p>
      <w:pPr>
        <w:pStyle w:val="BodyText"/>
      </w:pPr>
      <w:r>
        <w:t xml:space="preserve">Około roku 208 nawoływał heretyków do udania się do kościołów apostolskich, w których trony apostołów nadal górują w swoich miejscach, w których czytane są ich autentyczne pisma (</w:t>
      </w:r>
      <w:r>
        <w:rPr>
          <w:iCs/>
          <w:i/>
        </w:rPr>
        <w:t xml:space="preserve">authenticae</w:t>
      </w:r>
      <w:r>
        <w:t xml:space="preserve"> </w:t>
      </w:r>
      <w:r>
        <w:t xml:space="preserve">[z łac. prawdziwie, autentyczne, przyp. tłum.]), wyrażające głos i reprezentujące twarz każdego z nich z osobna. Achaja jest bardzo blisko was, (w której) znajduje się Korynt. Ponieważ nie jesteście daleko od Macedonii, macie Filippi, (a tam też) macie Tesaloniczan. Ponieważ możecie przeprawić się do Azji, macie Efez. Ponieważ ponadto jesteście blisko Włoch, macie Rzym, z którego dociera nawet do naszych własnych rąk sam autorytet (samych apostołów).</w:t>
      </w:r>
      <w:r>
        <w:t xml:space="preserve"> </w:t>
      </w:r>
      <w:r>
        <w:rPr>
          <w:rStyle w:val="FootnoteReference"/>
        </w:rPr>
        <w:footnoteReference w:id="133"/>
      </w:r>
    </w:p>
    <w:p>
      <w:pPr>
        <w:pStyle w:val="BodyText"/>
      </w:pPr>
      <w:r>
        <w:t xml:space="preserve">Niektórzy uważali, że Tertulian twierdził, że autografy Pawła były nadal czytane w jego czasach (208), ale na pewno miał na myśli przynajmniej, że korzystali z wiernych kopii. Czy coś innego można było oczekiwać? Na przykład, gdy Chrześcijanie z Efezu widzieli, że Autograf listu Pawła do nich zaczyna się niszczyć, czyż nie wykonaliby starannie identycznej kopii do swojego dalszego użytku, a która zawierałaby oświadczenie o tym, że została ona uwierzytelniona? Czy pozwoliliby Autografowi zginąć bez wykonania takiej kopii? (Musiał być ciągły napływ ludzi, którzy przychodzili, albo aby zrobić kopie ich listu, albo aby zweryfikować poprawność odczytu). Uważam, że jesteśmy zobowiązani do wniosku, że w roku 200 Kościół w Efezie nadal był w stanie poświadczyć oryginalne sformułowania swojego listu (i tak samo w przypadku innych) – ale jest to współczesne z papirusami P</w:t>
      </w:r>
      <w:r>
        <w:rPr>
          <w:vertAlign w:val="superscript"/>
        </w:rPr>
        <w:t xml:space="preserve">46</w:t>
      </w:r>
      <w:r>
        <w:t xml:space="preserve">, P</w:t>
      </w:r>
      <w:r>
        <w:rPr>
          <w:vertAlign w:val="superscript"/>
        </w:rPr>
        <w:t xml:space="preserve">66</w:t>
      </w:r>
      <w:r>
        <w:t xml:space="preserve"> </w:t>
      </w:r>
      <w:r>
        <w:t xml:space="preserve">i P</w:t>
      </w:r>
      <w:r>
        <w:rPr>
          <w:vertAlign w:val="superscript"/>
        </w:rPr>
        <w:t xml:space="preserve">75</w:t>
      </w:r>
      <w:r>
        <w:rPr>
          <w:rStyle w:val="FootnoteReference"/>
        </w:rPr>
        <w:footnoteReference w:id="134"/>
      </w:r>
      <w:r>
        <w:t xml:space="preserve">!</w:t>
      </w:r>
    </w:p>
    <w:p>
      <w:pPr>
        <w:pStyle w:val="BodyText"/>
      </w:pPr>
      <w:r>
        <w:t xml:space="preserve">Zarówno Justyn Męczennik, jak i Ireneusz twierdzili, że Kościół był w ich czasach rozprzestrzeniony po całej ziemi – pamiętaj, że Ireneusz w 177 roku został biskupem Lyonu w</w:t>
      </w:r>
      <w:r>
        <w:t xml:space="preserve"> </w:t>
      </w:r>
      <w:r>
        <w:rPr>
          <w:bCs/>
          <w:b/>
        </w:rPr>
        <w:t xml:space="preserve">Galii</w:t>
      </w:r>
      <w:r>
        <w:t xml:space="preserve"> </w:t>
      </w:r>
      <w:r>
        <w:t xml:space="preserve">i nie był pierwszym biskupem w tym regionie. Łącząc tę informację z oświadczeniem Justyna, że wspomnienia apostołów były czytane w każdą niedzielę podczas zgromadzeń, staje się jasne, że musiały istnieć tysiące kopii pism Nowego Testamentu w użyciu do 200 roku n.e. Każde zgromadzenie potrzebowało co najmniej jednej kopii do czytania, i musiały istnieć prywatne kopie wśród tych, którzy mogli sobie na nie pozwolić.</w:t>
      </w:r>
    </w:p>
    <w:p>
      <w:pPr>
        <w:pStyle w:val="BodyText"/>
      </w:pPr>
      <w:r>
        <w:t xml:space="preserve">Mamy obiektywne dowody historyczne potwierdzające następujące tezy:</w:t>
      </w:r>
      <w:r>
        <w:t xml:space="preserve"> </w:t>
      </w:r>
      <w:r>
        <w:t xml:space="preserve">- Prawdziwy tekst nigdy nie został „zagubiony”.</w:t>
      </w:r>
      <w:r>
        <w:t xml:space="preserve"> </w:t>
      </w:r>
      <w:r>
        <w:t xml:space="preserve">- W 200 roku n.e. nadal można było weryfikować i potwierdzać dokładne oryginalne sformułowania kilku ksiąg.</w:t>
      </w:r>
      <w:r>
        <w:t xml:space="preserve"> </w:t>
      </w:r>
      <w:r>
        <w:t xml:space="preserve">- Nie było zatem potrzeby stosowania krytyki tekstu, a wszelkie tego typu działania byłyby sztuczne.</w:t>
      </w:r>
    </w:p>
    <w:p>
      <w:pPr>
        <w:pStyle w:val="BodyText"/>
      </w:pPr>
      <w:r>
        <w:t xml:space="preserve">Dyscyplina krytyki tekstu (jakiegokolwiek tekstu) bazuje na założeniu/insynuacji/oświadczeniu, że istnieją uzasadnione wątpliwości co do dokładnego oryginalnego sformułowania tekstu. Nikt nie zajmuje się krytyką tekstu na przykład Biblii Króla Jakuba z 1611 roku, ponieważ nadal istnieją egzemplarze oryginalnego wydania. W odniesieniu do krytyki tekstu Nowego Testamentu</w:t>
      </w:r>
      <w:r>
        <w:t xml:space="preserve"> </w:t>
      </w:r>
      <w:r>
        <w:rPr>
          <w:bCs/>
          <w:b/>
        </w:rPr>
        <w:t xml:space="preserve">kluczową kwestią jest zachowanie jego Tekstu. Aby jakikolwiek tekst miał obiektywny autorytet, musimy wiedzieć, czym on jest.</w:t>
      </w:r>
    </w:p>
    <w:p>
      <w:pPr>
        <w:pStyle w:val="BodyText"/>
      </w:pPr>
      <w:r>
        <w:t xml:space="preserve">Jednakże, kontynuując, przypuszczalnie niektóre obszary mogą znajdować się w lepszej sytuacji, jeśli chodzi o ochronę i przekazywanie prawdziwego tekstu niż inne.</w:t>
      </w:r>
    </w:p>
    <w:bookmarkEnd w:id="135"/>
    <w:bookmarkStart w:id="137" w:name="kto-miał-najlepsze-kwalifikacje"/>
    <w:p>
      <w:pPr>
        <w:pStyle w:val="Heading3"/>
      </w:pPr>
      <w:r>
        <w:t xml:space="preserve">Kto miał najlepsze kwalifikacje?</w:t>
      </w:r>
    </w:p>
    <w:p>
      <w:pPr>
        <w:pStyle w:val="FirstParagraph"/>
      </w:pPr>
      <w:r>
        <w:t xml:space="preserve">Jakie czynniki byłyby istotne dla zagwarantowania lub przynajmniej ułatwienia wiernego przekazywania tekstu pism Nowego Testamentu? Uważam, że istnieją cztery czynniki decydujące: dostęp do Autografów, biegłość w języku źródłowym, siła Kościoła oraz odpowiednie nastawienie do Tekstu.</w:t>
      </w:r>
    </w:p>
    <w:p>
      <w:pPr>
        <w:pStyle w:val="BodyText"/>
      </w:pPr>
      <w:r>
        <w:rPr>
          <w:iCs/>
          <w:i/>
        </w:rPr>
        <w:t xml:space="preserve">Dostęp do Autografów</w:t>
      </w:r>
    </w:p>
    <w:p>
      <w:pPr>
        <w:pStyle w:val="BodyText"/>
      </w:pPr>
      <w:r>
        <w:t xml:space="preserve">Kryterium to stosowano prawdopodobnie przez znacznie mniej niż sto lat (w tym czasie Autografy zostały prawdopodobnie zużyte do cna), ale ma ono ogromne znaczenie dla właściwego zrozumienia historii przekazywania Tekstu. Już w roku 100 musiało istnieć wiele kopii różnych ksiąg (niektórych więcej niż innych), a jednocześnie z pewnością nadal było możliwe aby porównać kopię z oryginałem lub kopią gwarantowaną, gdyby pojawiły się jakieś wątpliwości.</w:t>
      </w:r>
      <w:r>
        <w:rPr>
          <w:rStyle w:val="FootnoteReference"/>
        </w:rPr>
        <w:footnoteReference w:id="136"/>
      </w:r>
      <w:r>
        <w:t xml:space="preserve"> </w:t>
      </w:r>
      <w:r>
        <w:t xml:space="preserve">Rzecz w tym, że istniał rosnący strumień wiernie wykonanych kopii, pochodzących od posiadaczy Autografów do reszty świata Chrześcijańskiego. W tych wczesnych latach twórcy kopii wiedzieli, że prawdziwe sformułowania mogą być zweryfikowane, co zniechęcało ich do swobodnego traktowania tekstu.</w:t>
      </w:r>
    </w:p>
    <w:bookmarkEnd w:id="137"/>
    <w:bookmarkEnd w:id="138"/>
    <w:bookmarkEnd w:id="1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1">
    <w:p>
      <w:pPr>
        <w:pStyle w:val="FootnoteText"/>
      </w:pPr>
      <w:r>
        <w:rPr>
          <w:rStyle w:val="FootnoteReference"/>
        </w:rPr>
        <w:footnoteRef/>
      </w:r>
      <w:r>
        <w:t xml:space="preserve"> </w:t>
      </w:r>
      <w:r>
        <w:t xml:space="preserve">Krytyka tekstu (łac.</w:t>
      </w:r>
      <w:r>
        <w:t xml:space="preserve"> </w:t>
      </w:r>
      <w:r>
        <w:rPr>
          <w:iCs/>
          <w:i/>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32">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33">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35">
    <w:p>
      <w:pPr>
        <w:pStyle w:val="FootnoteText"/>
      </w:pPr>
      <w:r>
        <w:rPr>
          <w:rStyle w:val="FootnoteReference"/>
        </w:rPr>
        <w:footnoteRef/>
      </w:r>
      <w:r>
        <w:t xml:space="preserve"> </w:t>
      </w:r>
      <w:r>
        <w:t xml:space="preserve">Oryginalna okładka i formatowanie nie zostało wykorzystane w polskim tłumaczeniu. [przyp. tłum.]</w:t>
      </w:r>
    </w:p>
  </w:footnote>
  <w:footnote w:id="37">
    <w:p>
      <w:pPr>
        <w:pStyle w:val="FootnoteText"/>
      </w:pPr>
      <w:r>
        <w:rPr>
          <w:rStyle w:val="FootnoteReference"/>
        </w:rPr>
        <w:footnoteRef/>
      </w:r>
      <w:r>
        <w:t xml:space="preserve"> </w:t>
      </w:r>
      <w:r>
        <w:t xml:space="preserve">Najmniejsze białka można opisać za pomocą znacznie mniejszej ilości bitów niż 1500, natomiast do opisu nieorganicznego wszechświata potrzeba rzędy wielkości więcej niż 350 bitów. Autor prawdopodobnie odnosił się do teorii</w:t>
      </w:r>
      <w:r>
        <w:t xml:space="preserve"> </w:t>
      </w:r>
      <w:r>
        <w:rPr>
          <w:iCs/>
          <w:i/>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38">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Cs/>
          <w:i/>
        </w:rPr>
        <w:t xml:space="preserve">The Chimpanzee Sequencing and Analysis Consortium, Nature, 2005</w:t>
      </w:r>
      <w:r>
        <w:br/>
      </w:r>
      <w:r>
        <w:rPr>
          <w:iCs/>
          <w:i/>
        </w:rPr>
        <w:t xml:space="preserve">Evolutionary Rate at the Molecular Level - Kimura, 1968</w:t>
      </w:r>
      <w:r>
        <w:br/>
      </w:r>
      <w:r>
        <w:rPr>
          <w:iCs/>
          <w:i/>
        </w:rPr>
        <w:t xml:space="preserve">Why evolution is true - Jerry A. Coyne</w:t>
      </w:r>
    </w:p>
  </w:footnote>
  <w:footnote w:id="39">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40">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41">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42">
    <w:p>
      <w:pPr>
        <w:pStyle w:val="FootnoteText"/>
      </w:pPr>
      <w:r>
        <w:rPr>
          <w:rStyle w:val="FootnoteReference"/>
        </w:rPr>
        <w:footnoteRef/>
      </w:r>
      <w:r>
        <w:t xml:space="preserve"> </w:t>
      </w:r>
      <w:r>
        <w:t xml:space="preserve">Autorowi prawdopodobnie chodzi o</w:t>
      </w:r>
      <w:r>
        <w:t xml:space="preserve"> </w:t>
      </w:r>
      <w:r>
        <w:rPr>
          <w:iCs/>
          <w:i/>
        </w:rPr>
        <w:t xml:space="preserve">Lewis Overthrust</w:t>
      </w:r>
      <w:r>
        <w:t xml:space="preserve">, obszar o wymiarach ok. 450km długości i szerokości sięgającej do 50km. Zwolennicy teorii ewolucji próbują dowieźć komputerowo i w eksperymentach laboratoryjnych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47">
    <w:p>
      <w:pPr>
        <w:pStyle w:val="FootnoteText"/>
      </w:pPr>
      <w:r>
        <w:rPr>
          <w:rStyle w:val="FootnoteReference"/>
        </w:rPr>
        <w:footnoteRef/>
      </w:r>
      <w:r>
        <w:t xml:space="preserve"> </w:t>
      </w:r>
      <w:r>
        <w:t xml:space="preserve">Trylobity (Trilobita, z gr. treis</w:t>
      </w:r>
      <w:r>
        <w:t xml:space="preserve"> </w:t>
      </w:r>
      <w:r>
        <w:t xml:space="preserve">‘</w:t>
      </w:r>
      <w:r>
        <w:t xml:space="preserve">trzy</w:t>
      </w:r>
      <w:r>
        <w:t xml:space="preserve">’</w:t>
      </w:r>
      <w:r>
        <w:t xml:space="preserve"> </w:t>
      </w:r>
      <w:r>
        <w:t xml:space="preserve">+ lobos</w:t>
      </w:r>
      <w:r>
        <w:t xml:space="preserve"> </w:t>
      </w:r>
      <w:r>
        <w:t xml:space="preserve">‘</w:t>
      </w:r>
      <w:r>
        <w:t xml:space="preserve">płat</w:t>
      </w:r>
      <w:r>
        <w:t xml:space="preserve">’</w:t>
      </w:r>
      <w:r>
        <w:t xml:space="preserve">)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48">
    <w:p>
      <w:pPr>
        <w:pStyle w:val="FootnoteText"/>
      </w:pPr>
      <w:r>
        <w:rPr>
          <w:rStyle w:val="FootnoteReference"/>
        </w:rPr>
        <w:footnoteRef/>
      </w:r>
      <w:r>
        <w:t xml:space="preserve"> </w:t>
      </w:r>
      <w:r>
        <w:t xml:space="preserve">Zgodnie z aktualną wiedzą paleobotaniczną, Lepidodendron był dominującym drzewem w okresie karbonu, który trwał od około 359 do 299 milionów lat temu [przyp. tłum.]</w:t>
      </w:r>
      <w:r>
        <w:br/>
      </w:r>
      <w:r>
        <w:t xml:space="preserve">https://www.britannica.com/plant/Lepidodendron</w:t>
      </w:r>
    </w:p>
  </w:footnote>
  <w:footnote w:id="49">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50">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59">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60">
    <w:p>
      <w:pPr>
        <w:pStyle w:val="FootnoteText"/>
      </w:pPr>
      <w:r>
        <w:rPr>
          <w:rStyle w:val="FootnoteReference"/>
        </w:rPr>
        <w:footnoteRef/>
      </w:r>
      <w:r>
        <w:t xml:space="preserve"> </w:t>
      </w:r>
      <w:r>
        <w:t xml:space="preserve">Nawet jeżeli obliczenia kreacjonistów, datujące deltę Rzeki Missisipi na 30 000 lat są poprawne, nie zmienia to faktu, że sama rzeka Missisipi może być młodsza niż cała ziemia. [przyp. tłum.]</w:t>
      </w:r>
      <w:r>
        <w:br/>
      </w:r>
      <w:r>
        <w:t xml:space="preserve">https://www.talkorigins.org/faqs/hovind/howgood-yea2.html</w:t>
      </w:r>
    </w:p>
  </w:footnote>
  <w:footnote w:id="61">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zdają się wskazywać, że Ziemia została stworzona natychmiastowo, w chłodnym stanie. Jeśli to prawda, jest to wyraźny dowód na stworzenie i młodą Ziemię. Kontrargumenty do pracy Gentry’ego to mała liczba dowodów, że pierścienie powstały rzeczywiście przez polon, teoria że radon (z któego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62">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63">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65">
    <w:p>
      <w:pPr>
        <w:pStyle w:val="FootnoteText"/>
      </w:pPr>
      <w:r>
        <w:rPr>
          <w:rStyle w:val="FootnoteReference"/>
        </w:rPr>
        <w:footnoteRef/>
      </w:r>
      <w:r>
        <w:t xml:space="preserve"> </w:t>
      </w:r>
      <w:r>
        <w:t xml:space="preserve">Do tej pory opublikowałem osiem, plus Tekst Grecki.</w:t>
      </w:r>
    </w:p>
  </w:footnote>
  <w:footnote w:id="66">
    <w:p>
      <w:pPr>
        <w:pStyle w:val="FootnoteText"/>
      </w:pPr>
      <w:r>
        <w:rPr>
          <w:rStyle w:val="FootnoteReference"/>
        </w:rPr>
        <w:footnoteRef/>
      </w:r>
      <w:r>
        <w:t xml:space="preserve"> </w:t>
      </w:r>
      <w:r>
        <w:t xml:space="preserve">Odniosłem się już do 1 Kronik 16,15.</w:t>
      </w:r>
    </w:p>
  </w:footnote>
  <w:footnote w:id="67">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68">
    <w:p>
      <w:pPr>
        <w:pStyle w:val="FootnoteText"/>
      </w:pPr>
      <w:r>
        <w:rPr>
          <w:rStyle w:val="FootnoteReference"/>
        </w:rPr>
        <w:footnoteRef/>
      </w:r>
      <w:r>
        <w:t xml:space="preserve"> </w:t>
      </w:r>
      <w:r>
        <w:t xml:space="preserve">Słowo przetłumaczone jako „wydanie” [ang.</w:t>
      </w:r>
      <w:r>
        <w:t xml:space="preserve"> </w:t>
      </w:r>
      <w:r>
        <w:rPr>
          <w:iCs/>
          <w:i/>
        </w:rPr>
        <w:t xml:space="preserve">release</w:t>
      </w:r>
      <w:r>
        <w:t xml:space="preserve">, gr.</w:t>
      </w:r>
      <w:r>
        <w:t xml:space="preserve"> </w:t>
      </w:r>
      <w:r>
        <w:rPr>
          <w:iCs/>
          <w:i/>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69">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70">
    <w:p>
      <w:pPr>
        <w:pStyle w:val="FootnoteText"/>
      </w:pPr>
      <w:r>
        <w:rPr>
          <w:rStyle w:val="FootnoteReference"/>
        </w:rPr>
        <w:footnoteRef/>
      </w:r>
      <w:r>
        <w:t xml:space="preserve"> </w:t>
      </w:r>
      <w:r>
        <w:t xml:space="preserve">Dostęp do Pisma jest niezbędny do duchowego wzrostu i pracy.</w:t>
      </w:r>
    </w:p>
  </w:footnote>
  <w:footnote w:id="71">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72">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73">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74">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75">
    <w:p>
      <w:pPr>
        <w:pStyle w:val="FootnoteText"/>
      </w:pPr>
      <w:r>
        <w:rPr>
          <w:rStyle w:val="FootnoteReference"/>
        </w:rPr>
        <w:footnoteRef/>
      </w:r>
      <w:r>
        <w:t xml:space="preserve"> </w:t>
      </w:r>
      <w:r>
        <w:t xml:space="preserve">Bardzo niewiele rozdziałów zostało napisanych w języku aramejskim.</w:t>
      </w:r>
    </w:p>
  </w:footnote>
  <w:footnote w:id="76">
    <w:p>
      <w:pPr>
        <w:pStyle w:val="FootnoteText"/>
      </w:pPr>
      <w:r>
        <w:rPr>
          <w:rStyle w:val="FootnoteReference"/>
        </w:rPr>
        <w:footnoteRef/>
      </w:r>
      <w:r>
        <w:t xml:space="preserve"> </w:t>
      </w:r>
      <w:r>
        <w:t xml:space="preserve">Więc nie mamy tu do czynienia z nauką w sensie obiektywnym.</w:t>
      </w:r>
    </w:p>
  </w:footnote>
  <w:footnote w:id="77">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78">
    <w:p>
      <w:pPr>
        <w:pStyle w:val="FootnoteText"/>
      </w:pPr>
      <w:r>
        <w:rPr>
          <w:rStyle w:val="FootnoteReference"/>
        </w:rPr>
        <w:footnoteRef/>
      </w:r>
      <w:r>
        <w:t xml:space="preserve"> </w:t>
      </w:r>
      <w:r>
        <w:t xml:space="preserve">Mowa o informacjach historycznych w Biblii, w porównaniu do proroctw. [przyp. tłum.]</w:t>
      </w:r>
    </w:p>
  </w:footnote>
  <w:footnote w:id="79">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81">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83">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84">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87">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88">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 „Rodziną 35” [Nowy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89">
    <w:p>
      <w:pPr>
        <w:pStyle w:val="FootnoteText"/>
      </w:pPr>
      <w:r>
        <w:rPr>
          <w:rStyle w:val="FootnoteReference"/>
        </w:rPr>
        <w:footnoteRef/>
      </w:r>
      <w:r>
        <w:t xml:space="preserve"> </w:t>
      </w:r>
      <w:r>
        <w:t xml:space="preserve">„Przynieś księgi, zwłaszcza pergaminy” (2 List do Tymoteusza 4,13). Możemy z tego wywnioskować, że pergamin był już w użyciu, ale „księgi” były prawdopodobnie na papirusie, w przeciwnym wypadku, po co ten kontrast?</w:t>
      </w:r>
    </w:p>
  </w:footnote>
  <w:footnote w:id="90">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91">
    <w:p>
      <w:pPr>
        <w:pStyle w:val="FootnoteText"/>
      </w:pPr>
      <w:r>
        <w:rPr>
          <w:rStyle w:val="FootnoteReference"/>
        </w:rPr>
        <w:footnoteRef/>
      </w:r>
      <w:r>
        <w:t xml:space="preserve"> </w:t>
      </w:r>
      <w:r>
        <w:t xml:space="preserve">NKJV - Biblia, przekład New King James Version. [przyp. tłum.]</w:t>
      </w:r>
    </w:p>
  </w:footnote>
  <w:footnote w:id="92">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93">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95">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96">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97">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98">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99">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100">
    <w:p>
      <w:pPr>
        <w:pStyle w:val="FootnoteText"/>
      </w:pPr>
      <w:r>
        <w:rPr>
          <w:rStyle w:val="FootnoteReference"/>
        </w:rPr>
        <w:footnoteRef/>
      </w:r>
      <w:r>
        <w:t xml:space="preserve"> </w:t>
      </w:r>
      <w:r>
        <w:t xml:space="preserve">Łukasz obstaje, że jego informacje pochodzą od odpowiedzialnych naocznych świadków, którzy byli tam przez cały czas.</w:t>
      </w:r>
    </w:p>
  </w:footnote>
  <w:footnote w:id="101">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102">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 w:id="103">
    <w:p>
      <w:pPr>
        <w:pStyle w:val="FootnoteText"/>
      </w:pPr>
      <w:r>
        <w:rPr>
          <w:rStyle w:val="FootnoteReference"/>
        </w:rPr>
        <w:footnoteRef/>
      </w:r>
      <w:r>
        <w:t xml:space="preserve"> </w:t>
      </w:r>
      <w:r>
        <w:t xml:space="preserve">Zdaję sobie sprawę, że mogła to być Księga Przysłów 3,12 (LXX), a nie List do Hebrajczyków 12,6. Klemens wielokrotnie cytuje z obu ksiąg w całym liście, więc pod tym względem są one równorzędnymi kandydatami. Jednak list Klemensa zgadza się dosłownie z Listem do Hebrajczyków, podczas gdy Księga Przysłów (LXX) różni się jednym ważnym słowem. Co więcej, głównym przesłaniem rozdziału 56 Listu Klemensa jest to, że napomnienie należy przyjmować łagodnie i jak od Pana, co jest również przesłaniem Listu do Hebrajczyków 12,3-11. Ponieważ Klemens ewidentnie miał przed sobą obie księgi (w następnym rozdziale cytuje dziewięć następujących po sobie wersetów z Księgi Przysłów 1,23-31), dosłowna zgodność z Listem do Hebrajczyków jest znamienna. Jeśli celowo wybrał sformułowanie z Listu do Hebrajczyków zamiast z Księgi Przysłów, co może to sugerować o ich randze?</w:t>
      </w:r>
    </w:p>
  </w:footnote>
  <w:footnote w:id="104">
    <w:p>
      <w:pPr>
        <w:pStyle w:val="FootnoteText"/>
      </w:pPr>
      <w:r>
        <w:rPr>
          <w:rStyle w:val="FootnoteReference"/>
        </w:rPr>
        <w:footnoteRef/>
      </w:r>
      <w:r>
        <w:t xml:space="preserve"> </w:t>
      </w:r>
      <w:r>
        <w:t xml:space="preserve">Skorzystałem z tłumaczenia Francisa Glimma zawartego w książce The Apostolic Fathers (Nowy Jork: Cima Publishing Co., Inc., 1947), należącej do serii The Fathers of the Church, red. Ludwig Schopp.</w:t>
      </w:r>
    </w:p>
  </w:footnote>
  <w:footnote w:id="105">
    <w:p>
      <w:pPr>
        <w:pStyle w:val="FootnoteText"/>
      </w:pPr>
      <w:r>
        <w:rPr>
          <w:rStyle w:val="FootnoteReference"/>
        </w:rPr>
        <w:footnoteRef/>
      </w:r>
      <w:r>
        <w:t xml:space="preserve"> </w:t>
      </w:r>
      <w:r>
        <w:t xml:space="preserve">J.V. Bartlet mówi o formułach cytatów używanych w Liście Barnaby do wprowadzenia cytatów z Pisma Świętego: „ogólnym rezultatem jest absolutna doktryna natchnienia”, ale nie jest skłonny rozważać, że użyto 2 Listu Piotra. Oxford Society of Historical Research, The New Testament in the Apostolic Fathers (Oxford: Clarendon Press, 1905), str. 2, 15.</w:t>
      </w:r>
    </w:p>
  </w:footnote>
  <w:footnote w:id="106">
    <w:p>
      <w:pPr>
        <w:pStyle w:val="FootnoteText"/>
      </w:pPr>
      <w:r>
        <w:rPr>
          <w:rStyle w:val="FootnoteReference"/>
        </w:rPr>
        <w:footnoteRef/>
      </w:r>
      <w:r>
        <w:t xml:space="preserve"> </w:t>
      </w:r>
      <w:r>
        <w:t xml:space="preserve">Korpus Pawłowy (łac.</w:t>
      </w:r>
      <w:r>
        <w:t xml:space="preserve"> </w:t>
      </w:r>
      <w:r>
        <w:rPr>
          <w:iCs/>
          <w:i/>
        </w:rPr>
        <w:t xml:space="preserve">corpus Paulinum</w:t>
      </w:r>
      <w:r>
        <w:t xml:space="preserve">) - zbiór listów przypisywanych apostołowi Pawłowi. [przyp. tłum.]</w:t>
      </w:r>
    </w:p>
  </w:footnote>
  <w:footnote w:id="107">
    <w:p>
      <w:pPr>
        <w:pStyle w:val="FootnoteText"/>
      </w:pPr>
      <w:r>
        <w:rPr>
          <w:rStyle w:val="FootnoteReference"/>
        </w:rPr>
        <w:footnoteRef/>
      </w:r>
      <w:r>
        <w:t xml:space="preserve"> </w:t>
      </w:r>
      <w:r>
        <w:t xml:space="preserve">Francis Glimm, ponownie.</w:t>
      </w:r>
    </w:p>
  </w:footnote>
  <w:footnote w:id="108">
    <w:p>
      <w:pPr>
        <w:pStyle w:val="FootnoteText"/>
      </w:pPr>
      <w:r>
        <w:rPr>
          <w:rStyle w:val="FootnoteReference"/>
        </w:rPr>
        <w:footnoteRef/>
      </w:r>
      <w:r>
        <w:t xml:space="preserve">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w:t>
      </w:r>
    </w:p>
  </w:footnote>
  <w:footnote w:id="109">
    <w:p>
      <w:pPr>
        <w:pStyle w:val="FootnoteText"/>
      </w:pPr>
      <w:r>
        <w:rPr>
          <w:rStyle w:val="FootnoteReference"/>
        </w:rPr>
        <w:footnoteRef/>
      </w:r>
      <w:r>
        <w:t xml:space="preserve"> </w:t>
      </w:r>
      <w:r>
        <w:t xml:space="preserve">Drugi List Klemensa do Koryntian – pismo ze schyłku okresu ojców apostolskich, wcześniej mylnie przypisywane biskupowi Rzymu św. Klemensowi. [przyp. tłum.]</w:t>
      </w:r>
      <w:r>
        <w:br/>
      </w:r>
      <w:r>
        <w:t xml:space="preserve">https://pl.wikipedia.org/wiki/2._List_Klemensa_do_Koryntian</w:t>
      </w:r>
    </w:p>
  </w:footnote>
  <w:footnote w:id="110">
    <w:p>
      <w:pPr>
        <w:pStyle w:val="FootnoteText"/>
      </w:pPr>
      <w:r>
        <w:rPr>
          <w:rStyle w:val="FootnoteReference"/>
        </w:rPr>
        <w:footnoteRef/>
      </w:r>
      <w:r>
        <w:t xml:space="preserve"> </w:t>
      </w:r>
      <w:r>
        <w:t xml:space="preserve">Didache lub Nauka dwunastu apostołów (gr. Διδαχὴ) – anonimowy krótki traktat starożytnego chrześcijaństwa, jedno ze starszych pism Ojców apostolskich. [przyp. tłum.]</w:t>
      </w:r>
      <w:r>
        <w:br/>
      </w:r>
      <w:r>
        <w:t xml:space="preserve">https://pl.wikipedia.org/wiki/Didache</w:t>
      </w:r>
    </w:p>
  </w:footnote>
  <w:footnote w:id="111">
    <w:p>
      <w:pPr>
        <w:pStyle w:val="FootnoteText"/>
      </w:pPr>
      <w:r>
        <w:rPr>
          <w:rStyle w:val="FootnoteReference"/>
        </w:rPr>
        <w:footnoteRef/>
      </w:r>
      <w:r>
        <w:t xml:space="preserve"> </w:t>
      </w:r>
      <w:r>
        <w:t xml:space="preserve">Skorzystałem z tłumaczenia zamieszczonego w tomie I The Ante-Nicene Fathers, red. A. Roberts i J. Donaldson (Grand Rapids: Wm. B. Eerdmans Publishing Co., 1956).</w:t>
      </w:r>
    </w:p>
  </w:footnote>
  <w:footnote w:id="112">
    <w:p>
      <w:pPr>
        <w:pStyle w:val="FootnoteText"/>
      </w:pPr>
      <w:r>
        <w:rPr>
          <w:rStyle w:val="FootnoteReference"/>
        </w:rPr>
        <w:footnoteRef/>
      </w:r>
      <w:r>
        <w:t xml:space="preserve"> </w:t>
      </w:r>
      <w:r>
        <w:t xml:space="preserve">Skorzystałem z tłumaczenia autorstwa E.R. Hardy’ego w Early Christian Fathers, red. C. C. Richardson (Philadelphia: The Westminster Press, 1953).</w:t>
      </w:r>
    </w:p>
  </w:footnote>
  <w:footnote w:id="113">
    <w:p>
      <w:pPr>
        <w:pStyle w:val="FootnoteText"/>
      </w:pPr>
      <w:r>
        <w:rPr>
          <w:rStyle w:val="FootnoteReference"/>
        </w:rPr>
        <w:footnoteRef/>
      </w:r>
      <w:r>
        <w:t xml:space="preserve"> </w:t>
      </w:r>
      <w:r>
        <w:t xml:space="preserve">Roberts i Donaldson, ponownie.</w:t>
      </w:r>
    </w:p>
  </w:footnote>
  <w:footnote w:id="114">
    <w:p>
      <w:pPr>
        <w:pStyle w:val="FootnoteText"/>
      </w:pPr>
      <w:r>
        <w:rPr>
          <w:rStyle w:val="FootnoteReference"/>
        </w:rPr>
        <w:footnoteRef/>
      </w:r>
      <w:r>
        <w:t xml:space="preserve"> </w:t>
      </w:r>
      <w:r>
        <w:t xml:space="preserve">E.R. Hardy, ponownie. Jego staranne badania wczesnochrześcijańskich papirusów literackich doprowadziły C.H. Robertsa do następującego wniosku: „Wskazuje to na ostrożne i regularne korzystanie ze świętych pism przez lokalne społeczności” (</w:t>
      </w:r>
      <w:r>
        <w:rPr>
          <w:iCs/>
          <w:i/>
        </w:rPr>
        <w:t xml:space="preserve">Manuscript, Society and Belief in Early Christian Egypt</w:t>
      </w:r>
      <w:r>
        <w:t xml:space="preserve"> </w:t>
      </w:r>
      <w:r>
        <w:t xml:space="preserve">[Londyn: Oxford University Press, 1979], str. 25). Na podstawie P. Oxy. iii. 405 [Papirus z Oksyrynchos tom III, nr 405, przyp. tłum.] wnioskuje on również, że kopia dzieła Ireneusza,</w:t>
      </w:r>
      <w:r>
        <w:t xml:space="preserve"> </w:t>
      </w:r>
      <w:r>
        <w:rPr>
          <w:iCs/>
          <w:i/>
        </w:rPr>
        <w:t xml:space="preserve">Adversus Haereses</w:t>
      </w:r>
      <w:r>
        <w:t xml:space="preserve">, napisana w Lyonie, została przywieziona do Oksyrynchos w ciągu pierwszych kilku lat od jej powstania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 str. 23, 53), stanowiąc wymowne świadectwo skali ruchu między wczesnymi kościołami.</w:t>
      </w:r>
    </w:p>
  </w:footnote>
  <w:footnote w:id="115">
    <w:p>
      <w:pPr>
        <w:pStyle w:val="FootnoteText"/>
      </w:pPr>
      <w:r>
        <w:rPr>
          <w:rStyle w:val="FootnoteReference"/>
        </w:rPr>
        <w:footnoteRef/>
      </w:r>
      <w:r>
        <w:t xml:space="preserve"> </w:t>
      </w:r>
      <w:r>
        <w:t xml:space="preserve">Atenagoras z Aten napisał rozprawę</w:t>
      </w:r>
      <w:r>
        <w:t xml:space="preserve"> </w:t>
      </w:r>
      <w:r>
        <w:rPr>
          <w:iCs/>
          <w:i/>
        </w:rPr>
        <w:t xml:space="preserve">Πρεσβεία περὶ Χριστιανῶν</w:t>
      </w:r>
      <w:r>
        <w:t xml:space="preserve">, w języku angielskim znaną jako</w:t>
      </w:r>
      <w:r>
        <w:t xml:space="preserve"> </w:t>
      </w:r>
      <w:r>
        <w:rPr>
          <w:iCs/>
          <w:i/>
        </w:rPr>
        <w:t xml:space="preserve">A Plea for the Christians</w:t>
      </w:r>
      <w:r>
        <w:t xml:space="preserve"> </w:t>
      </w:r>
      <w:r>
        <w:t xml:space="preserve">albo</w:t>
      </w:r>
      <w:r>
        <w:t xml:space="preserve"> </w:t>
      </w:r>
      <w:r>
        <w:rPr>
          <w:iCs/>
          <w:i/>
        </w:rPr>
        <w:t xml:space="preserve">An Embassy for the Christians</w:t>
      </w:r>
      <w:r>
        <w:t xml:space="preserve">, na język polski przetłumaczoną przez Stanisława Kalinkowskiego pod tytułem „Prośba za chrześcijanami”, Warszawa: Instytut Wydawniczy PAX, 1985. [przyp. tłum.]</w:t>
      </w:r>
    </w:p>
  </w:footnote>
  <w:footnote w:id="116">
    <w:p>
      <w:pPr>
        <w:pStyle w:val="FootnoteText"/>
      </w:pPr>
      <w:r>
        <w:rPr>
          <w:rStyle w:val="FootnoteReference"/>
        </w:rPr>
        <w:footnoteRef/>
      </w:r>
      <w:r>
        <w:t xml:space="preserve"> </w:t>
      </w:r>
      <w:r>
        <w:t xml:space="preserve">Skorzystałem z tłumaczenia autorstwa C.C. Richardsona z książki Early Christian Fathers.</w:t>
      </w:r>
    </w:p>
  </w:footnote>
  <w:footnote w:id="117">
    <w:p>
      <w:pPr>
        <w:pStyle w:val="FootnoteText"/>
      </w:pPr>
      <w:r>
        <w:rPr>
          <w:rStyle w:val="FootnoteReference"/>
        </w:rPr>
        <w:footnoteRef/>
      </w:r>
      <w:r>
        <w:t xml:space="preserve"> </w:t>
      </w:r>
      <w:r>
        <w:t xml:space="preserve">Teofil z Antiochii, biskup Antiochii Syryjskiej w latach 169–182. [przyp. tłum.]</w:t>
      </w:r>
      <w:r>
        <w:br/>
      </w:r>
      <w:r>
        <w:t xml:space="preserve">https://pl.wikipedia.org/wiki/Teofil_z_Antiochii</w:t>
      </w:r>
    </w:p>
  </w:footnote>
  <w:footnote w:id="118">
    <w:p>
      <w:pPr>
        <w:pStyle w:val="FootnoteText"/>
      </w:pPr>
      <w:r>
        <w:rPr>
          <w:rStyle w:val="FootnoteReference"/>
        </w:rPr>
        <w:footnoteRef/>
      </w:r>
      <w:r>
        <w:t xml:space="preserve"> </w:t>
      </w:r>
      <w:r>
        <w:t xml:space="preserve">Wzięte z G.D. Barry, The Inspiration and Authority of Holy Scripture (Nowy Jork: The McMillan Company, 1919), str. 52.</w:t>
      </w:r>
    </w:p>
  </w:footnote>
  <w:footnote w:id="119">
    <w:p>
      <w:pPr>
        <w:pStyle w:val="FootnoteText"/>
      </w:pPr>
      <w:r>
        <w:rPr>
          <w:rStyle w:val="FootnoteReference"/>
        </w:rPr>
        <w:footnoteRef/>
      </w:r>
      <w:r>
        <w:t xml:space="preserve"> </w:t>
      </w:r>
      <w:r>
        <w:t xml:space="preserve">Ireneusz z Lyonu - ur. ok. 140 w Smyrnie w Azji Mniejszej, zm. ok. 202 w Lugdunum) – biskup Vienne, teolog, apologeta, ojciec i Doktor Kościoła, męczennik chrześcijański, święty Kościoła katolickiego i prawosławnego. [przyp. tłum.]</w:t>
      </w:r>
      <w:r>
        <w:br/>
      </w:r>
      <w:r>
        <w:t xml:space="preserve">https://pl.wikipedia.org/wiki/Ireneusz_z_Lyonu</w:t>
      </w:r>
    </w:p>
  </w:footnote>
  <w:footnote w:id="120">
    <w:p>
      <w:pPr>
        <w:pStyle w:val="FootnoteText"/>
      </w:pPr>
      <w:r>
        <w:rPr>
          <w:rStyle w:val="FootnoteReference"/>
        </w:rPr>
        <w:footnoteRef/>
      </w:r>
      <w:r>
        <w:t xml:space="preserve"> </w:t>
      </w:r>
      <w:r>
        <w:t xml:space="preserve">Autor prawdopodobnie ma na myśli dzieło znane w Polsce jako</w:t>
      </w:r>
      <w:r>
        <w:t xml:space="preserve"> </w:t>
      </w:r>
      <w:r>
        <w:rPr>
          <w:iCs/>
          <w:i/>
        </w:rPr>
        <w:t xml:space="preserve">Przeciwko herezjom</w:t>
      </w:r>
      <w:r>
        <w:t xml:space="preserve"> </w:t>
      </w:r>
      <w:r>
        <w:t xml:space="preserve">(</w:t>
      </w:r>
      <w:r>
        <w:rPr>
          <w:iCs/>
          <w:i/>
        </w:rPr>
        <w:t xml:space="preserve">Adversus haereses</w:t>
      </w:r>
      <w:r>
        <w:t xml:space="preserve">). [przyp. tłum.]</w:t>
      </w:r>
      <w:r>
        <w:br/>
      </w:r>
      <w:r>
        <w:t xml:space="preserve">https://pl.wikipedia.org/wiki/Adversus_haereses</w:t>
      </w:r>
    </w:p>
  </w:footnote>
  <w:footnote w:id="121">
    <w:p>
      <w:pPr>
        <w:pStyle w:val="FootnoteText"/>
      </w:pPr>
      <w:r>
        <w:rPr>
          <w:rStyle w:val="FootnoteReference"/>
        </w:rPr>
        <w:footnoteRef/>
      </w:r>
      <w:r>
        <w:t xml:space="preserve">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 strona 53.</w:t>
      </w:r>
    </w:p>
  </w:footnote>
  <w:footnote w:id="123">
    <w:p>
      <w:pPr>
        <w:pStyle w:val="FootnoteText"/>
      </w:pPr>
      <w:r>
        <w:rPr>
          <w:rStyle w:val="FootnoteReference"/>
        </w:rPr>
        <w:footnoteRef/>
      </w:r>
      <w:r>
        <w:t xml:space="preserve"> </w:t>
      </w:r>
      <w:r>
        <w:t xml:space="preserve">Owce należą do Pana, a nie do starszych. Około 7% greckich manuskryptów pomija „Pan i”, podobnie jak większość wersji. „Pan i Bóg” odnosi się do Jezusa.</w:t>
      </w:r>
    </w:p>
  </w:footnote>
  <w:footnote w:id="124">
    <w:p>
      <w:pPr>
        <w:pStyle w:val="FootnoteText"/>
      </w:pPr>
      <w:r>
        <w:rPr>
          <w:rStyle w:val="FootnoteReference"/>
        </w:rPr>
        <w:footnoteRef/>
      </w:r>
      <w:r>
        <w:t xml:space="preserve"> </w:t>
      </w:r>
      <w:r>
        <w:t xml:space="preserve">Te „inne ewangelie” wydają się być dostępne w dużych ilościach. Ci, którzy je promują, są przeklęci.</w:t>
      </w:r>
    </w:p>
  </w:footnote>
  <w:footnote w:id="125">
    <w:p>
      <w:pPr>
        <w:pStyle w:val="FootnoteText"/>
      </w:pPr>
      <w:r>
        <w:rPr>
          <w:rStyle w:val="FootnoteReference"/>
        </w:rPr>
        <w:footnoteRef/>
      </w:r>
      <w:r>
        <w:t xml:space="preserve"> </w:t>
      </w:r>
      <w:r>
        <w:t xml:space="preserve">Około 82% greckich manuskryptów zawiera sformułowanie „przyszło” zamiast „wyszło” (jak w większości wersji). Pozostałe 18% prawdopodobnie opisuje oszustów wychodzących z kościoła do świata, ale nie o to chodziło Janowi. Oszuści zostali wprowadzeni do świata przez szatana, oryginalnego i głównego oszusta.</w:t>
      </w:r>
    </w:p>
  </w:footnote>
  <w:footnote w:id="126">
    <w:p>
      <w:pPr>
        <w:pStyle w:val="FootnoteText"/>
      </w:pPr>
      <w:r>
        <w:rPr>
          <w:rStyle w:val="FootnoteReference"/>
        </w:rPr>
        <w:footnoteRef/>
      </w:r>
      <w:r>
        <w:t xml:space="preserve"> </w:t>
      </w:r>
      <w:r>
        <w:t xml:space="preserve">Przypomnij sobie słowa aniołów w Dziejach Apostolskich 1,11: „Ten Jezus, który został wzięty w górę od was do nieba, przyjdzie On ponownie w dokładnie taki sam sposób, w jaki obserwowaliście Go wchodzącego do nieba”. Aniołowie są stanowczy: powrót będzie taki jak odejście. Przyjmuję, że Pan powróci z tym samym uwielbionym ludzkim ciałem, dostrzegalnie, wyszedłszy z obłoku, a Jego stopy dotkną tego samego miejsca, z którego odeszły (zobacz Ewangelia Mateusza 24,30: „nadchodzącego na obłokach” oraz Księga Zachariasza 14,4: „Jego stopy staną na Górze Oliwnej”).</w:t>
      </w:r>
    </w:p>
  </w:footnote>
  <w:footnote w:id="127">
    <w:p>
      <w:pPr>
        <w:pStyle w:val="FootnoteText"/>
      </w:pPr>
      <w:r>
        <w:rPr>
          <w:rStyle w:val="FootnoteReference"/>
        </w:rPr>
        <w:footnoteRef/>
      </w:r>
      <w:r>
        <w:t xml:space="preserve"> </w:t>
      </w:r>
      <w:r>
        <w:t xml:space="preserve">Ludzie, którzy nie wierzą i nie nauczają tego, czego nauczał Chrystus, są po drugiej stronie. Bycie złowrogim oznacza bycie agresywnie złym. Oczywiście powinniśmy unikać wszystkiego, co mogłoby być interpretowane jako identyfikowanie się z takimi ludźmi.</w:t>
      </w:r>
    </w:p>
  </w:footnote>
  <w:footnote w:id="128">
    <w:p>
      <w:pPr>
        <w:pStyle w:val="FootnoteText"/>
      </w:pPr>
      <w:r>
        <w:rPr>
          <w:rStyle w:val="FootnoteReference"/>
        </w:rPr>
        <w:footnoteRef/>
      </w:r>
      <w:r>
        <w:t xml:space="preserve"> </w:t>
      </w:r>
      <w:r>
        <w:t xml:space="preserve">„Słów”, w liczbie mnogiej, obejmuje poszczególne słowa, które składają się na całość. Ci krytycy tekstu, którzy bez skrupułów usunęli słowa z Tekstu, opierając się na inspirowanych przez szatana założeniach, są wykluczeni. Ci, którzy interpretują Tekst w taki sposób, aby uniknąć jego oczywistego znaczenia, podobnie. Jehowa Syn potwierdza, że słowa są „prawdziwe i</w:t>
      </w:r>
      <w:r>
        <w:t xml:space="preserve"> </w:t>
      </w:r>
      <w:r>
        <w:rPr>
          <w:bCs/>
          <w:b/>
        </w:rPr>
        <w:t xml:space="preserve">wierne</w:t>
      </w:r>
      <w:r>
        <w:t xml:space="preserve">” i oczekuje od nas, że będziemy je tak interpretować.</w:t>
      </w:r>
    </w:p>
  </w:footnote>
  <w:footnote w:id="129">
    <w:p>
      <w:pPr>
        <w:pStyle w:val="FootnoteText"/>
      </w:pPr>
      <w:r>
        <w:rPr>
          <w:rStyle w:val="FootnoteReference"/>
        </w:rPr>
        <w:footnoteRef/>
      </w:r>
      <w:r>
        <w:t xml:space="preserve"> </w:t>
      </w:r>
      <w:r>
        <w:t xml:space="preserve">Apologia pierwsza powstała około 155 r. do cesarza Antonina Piusa. [przyp. tłum.]</w:t>
      </w:r>
      <w:r>
        <w:br/>
      </w:r>
      <w:r>
        <w:t xml:space="preserve">https://pl.wikipedia.org/wiki/Justyn_M%C4%99czennik</w:t>
      </w:r>
    </w:p>
  </w:footnote>
  <w:footnote w:id="130">
    <w:p>
      <w:pPr>
        <w:pStyle w:val="FootnoteText"/>
      </w:pPr>
      <w:r>
        <w:rPr>
          <w:rStyle w:val="FootnoteReference"/>
        </w:rPr>
        <w:footnoteRef/>
      </w:r>
      <w:r>
        <w:t xml:space="preserve"> </w:t>
      </w:r>
      <w:r>
        <w:t xml:space="preserve">Dialog z Żydem Tryfonem - relacja z dwudniowej, być może fikcyjnej rozmowy Justyna z rabinem (reprezentantem hellenistycznej diaspory), która odbyła się w Efezie, spisana w 142 rozdziałach. Nie zachowała się w całości, brakuje części wstępu i 74 rozdziału. [przyp. tłum.]</w:t>
      </w:r>
      <w:r>
        <w:br/>
      </w:r>
      <w:r>
        <w:t xml:space="preserve">https://pl.wikipedia.org/wiki/Justyn_M%C4%99czennik</w:t>
      </w:r>
    </w:p>
  </w:footnote>
  <w:footnote w:id="131">
    <w:p>
      <w:pPr>
        <w:pStyle w:val="FootnoteText"/>
      </w:pPr>
      <w:r>
        <w:rPr>
          <w:rStyle w:val="FootnoteReference"/>
        </w:rPr>
        <w:footnoteRef/>
      </w:r>
      <w:r>
        <w:t xml:space="preserve"> </w:t>
      </w:r>
      <w:r>
        <w:rPr>
          <w:iCs/>
          <w:i/>
        </w:rPr>
        <w:t xml:space="preserve">Recepta przeciw heretykom</w:t>
      </w:r>
      <w:r>
        <w:t xml:space="preserve"> </w:t>
      </w:r>
      <w:r>
        <w:t xml:space="preserve">[ang.</w:t>
      </w:r>
      <w:r>
        <w:t xml:space="preserve"> </w:t>
      </w:r>
      <w:r>
        <w:rPr>
          <w:iCs/>
          <w:i/>
        </w:rPr>
        <w:t xml:space="preserve">Prescription against Heretics</w:t>
      </w:r>
      <w:r>
        <w:t xml:space="preserve">, przyp. tłum.], 37. Skorzystałem z tłumaczenia Petera Holmesa zamieszczonego w tomie III serii</w:t>
      </w:r>
      <w:r>
        <w:t xml:space="preserve"> </w:t>
      </w:r>
      <w:r>
        <w:rPr>
          <w:iCs/>
          <w:i/>
        </w:rPr>
        <w:t xml:space="preserve">The Ante-Nicene Fathers</w:t>
      </w:r>
      <w:r>
        <w:t xml:space="preserve">.</w:t>
      </w:r>
    </w:p>
  </w:footnote>
  <w:footnote w:id="132">
    <w:p>
      <w:pPr>
        <w:pStyle w:val="FootnoteText"/>
      </w:pPr>
      <w:r>
        <w:rPr>
          <w:rStyle w:val="FootnoteReference"/>
        </w:rPr>
        <w:footnoteRef/>
      </w:r>
      <w:r>
        <w:t xml:space="preserve"> </w:t>
      </w:r>
      <w:r>
        <w:t xml:space="preserve">B.M. Metzger,</w:t>
      </w:r>
      <w:r>
        <w:t xml:space="preserve"> </w:t>
      </w:r>
      <w:r>
        <w:rPr>
          <w:iCs/>
          <w:i/>
        </w:rPr>
        <w:t xml:space="preserve">Tekst Nowego Testamentu</w:t>
      </w:r>
      <w:r>
        <w:t xml:space="preserve"> </w:t>
      </w:r>
      <w:r>
        <w:t xml:space="preserve">[ang.</w:t>
      </w:r>
      <w:r>
        <w:t xml:space="preserve"> </w:t>
      </w:r>
      <w:r>
        <w:rPr>
          <w:iCs/>
          <w:i/>
        </w:rPr>
        <w:t xml:space="preserve">The Text of the New Testament</w:t>
      </w:r>
      <w:r>
        <w:t xml:space="preserve">, przyp. tłum.] (Londyn: Oxford University Press, 1964), str. 21.</w:t>
      </w:r>
    </w:p>
  </w:footnote>
  <w:footnote w:id="133">
    <w:p>
      <w:pPr>
        <w:pStyle w:val="FootnoteText"/>
      </w:pPr>
      <w:r>
        <w:rPr>
          <w:rStyle w:val="FootnoteReference"/>
        </w:rPr>
        <w:footnoteRef/>
      </w:r>
      <w:r>
        <w:t xml:space="preserve"> </w:t>
      </w:r>
      <w:r>
        <w:rPr>
          <w:iCs/>
          <w:i/>
        </w:rPr>
        <w:t xml:space="preserve">Recepta przeciw heretykom</w:t>
      </w:r>
      <w:r>
        <w:t xml:space="preserve"> </w:t>
      </w:r>
      <w:r>
        <w:t xml:space="preserve">[ang.</w:t>
      </w:r>
      <w:r>
        <w:t xml:space="preserve"> </w:t>
      </w:r>
      <w:r>
        <w:rPr>
          <w:iCs/>
          <w:i/>
        </w:rPr>
        <w:t xml:space="preserve">Prescription against Heretics</w:t>
      </w:r>
      <w:r>
        <w:t xml:space="preserve">, przyp. tłum.], 36, korzystając z tłumaczenia Holmesa.</w:t>
      </w:r>
    </w:p>
  </w:footnote>
  <w:footnote w:id="134">
    <w:p>
      <w:pPr>
        <w:pStyle w:val="FootnoteText"/>
      </w:pPr>
      <w:r>
        <w:rPr>
          <w:rStyle w:val="FootnoteReference"/>
        </w:rPr>
        <w:footnoteRef/>
      </w:r>
      <w:r>
        <w:t xml:space="preserve"> </w:t>
      </w:r>
      <w:r>
        <w:t xml:space="preserve">Są to symbole papirusów według systemu Gregory-Aland [przyp. tłum.]</w:t>
      </w:r>
      <w:r>
        <w:br/>
      </w:r>
      <w:r>
        <w:t xml:space="preserve">https://grokipedia.com/page/Papyrus_46</w:t>
      </w:r>
      <w:r>
        <w:br/>
      </w:r>
      <w:r>
        <w:t xml:space="preserve">https://pl.wikipedia.org/wiki/Papirus_Bodmer_II</w:t>
      </w:r>
      <w:r>
        <w:br/>
      </w:r>
      <w:r>
        <w:t xml:space="preserve">https://pl.wikipedia.org/wiki/Papirus_Bodmer_XIV-XV</w:t>
      </w:r>
    </w:p>
  </w:footnote>
  <w:footnote w:id="136">
    <w:p>
      <w:pPr>
        <w:pStyle w:val="FootnoteText"/>
      </w:pPr>
      <w:r>
        <w:rPr>
          <w:rStyle w:val="FootnoteReference"/>
        </w:rPr>
        <w:footnoteRef/>
      </w:r>
      <w:r>
        <w:t xml:space="preserve"> </w:t>
      </w:r>
      <w:r>
        <w:t xml:space="preserve">Zobacz jednak sekcję powyżej, w której sugeruję możliwość, że Autografy powstały jako wiele kopii.</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9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Lucida Grande"/>
    <m:brkBin m:val="before"/>
    <m:brkBinSub m:val="--"/>
    <m:smallFrac m:val="false"/>
    <m:dispDef m:val="false"/>
    <m:lMargin m:val="0"/>
    <m:rMargin m:val="0"/>
    <m:wrapRight/>
    <m:intLim m:val="subSup"/>
    <m:naryLim m:val="subSup"/>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jpg" /><Relationship Type="http://schemas.openxmlformats.org/officeDocument/2006/relationships/image" Id="rId55" Target="media/rId55.jpg" /><Relationship Type="http://schemas.openxmlformats.org/officeDocument/2006/relationships/image" Id="rId51" Target="media/rId51.png" /><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2026-03-07T11:08:24Z</dcterms:created>
  <dcterms:modified xsi:type="dcterms:W3CDTF">2026-03-07T11:08:24Z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Boża ochrona Nowego Testamentu</vt:lpwstr>
  </property>
  <property fmtid="{D5CDD505-2E9C-101B-9397-08002B2CF9AE}" pid="10" name="tags">
    <vt:lpwstr/>
  </property>
</Properties>
</file>