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„stracone”</w:t>
      </w:r>
    </w:p>
    <w:p>
      <w:pPr>
        <w:pStyle w:val="BodyText"/>
      </w:pPr>
      <w:r>
        <w:rPr>
          <w:rStyle w:val="FootnoteReference"/>
        </w:rPr>
        <w:footnoteReference w:id="96"/>
      </w:r>
    </w:p>
    <w:p>
      <w:pPr>
        <w:pStyle w:val="BodyText"/>
      </w:pPr>
      <w:r>
        <w:t xml:space="preserve">Naturalistic critics like to assume that the New Testament writings were not recognized as Scripture when they first appeared and thus, through the consequent carelessness in transcription, the text was confused and the original wording</w:t>
      </w:r>
      <w:r>
        <w:t xml:space="preserve"> </w:t>
      </w:r>
      <w:r>
        <w:t xml:space="preserve">‘</w:t>
      </w:r>
      <w:r>
        <w:t xml:space="preserve">lost</w:t>
      </w:r>
      <w:r>
        <w:t xml:space="preserve">’</w:t>
      </w:r>
      <w:r>
        <w:t xml:space="preserve"> </w:t>
      </w:r>
      <w:r>
        <w:t xml:space="preserve">(in the sense that no one knew for sure what it was) at the very start. Thus Colwell said:</w:t>
      </w:r>
      <w:r>
        <w:t xml:space="preserve"> </w:t>
      </w:r>
      <w:r>
        <w:t xml:space="preserve">“</w:t>
      </w:r>
      <w:r>
        <w:t xml:space="preserve">Most of the manuals and handbooks now in print (including mine!) will tell you that these variations were the fruit of careless treatment which was possible because the books of the New Testament had not yet attained a strong position as</w:t>
      </w:r>
      <w:r>
        <w:t xml:space="preserve"> </w:t>
      </w:r>
      <w:r>
        <w:t xml:space="preserve">‘</w:t>
      </w:r>
      <w:r>
        <w:t xml:space="preserve">Bible</w:t>
      </w:r>
      <w:r>
        <w:t xml:space="preserve">’</w:t>
      </w:r>
      <w:r>
        <w:t xml:space="preserve">.</w:t>
      </w:r>
      <w:r>
        <w:t xml:space="preserve">”</w:t>
      </w:r>
      <w:r>
        <w:t xml:space="preserve"> </w:t>
      </w:r>
      <w:r>
        <w:t xml:space="preserve">And Hort had said:</w:t>
      </w:r>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s. 53. (Później zmienił zdanie.)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2025-11-06T16:32:27Z</dcterms:created>
  <dcterms:modified xsi:type="dcterms:W3CDTF">2025-11-06T16:32:27Z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