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39"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38"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The school of literary criticism that existed at Alexandria would also be a negative factor, if it influenced the Church at all, and W.R. Farmer argues that it did. “But there is ample evidence that by the time of Eusebius the Alexandrian text-critical practices were being followed in at least some of the scriptoria where New Testament manuscripts were being produced. Exactly when Alexandrian text-critical principles were first used… is not known.”1 He goes on to suggest that the Christian school founded in Alexandria by Pantaenus, around 180, was bound to be influenced by the scholars of the great library of that city. The point is, the principles used in attempting to ‘restore’ the works of Homer would not be appropriate for the NT writings when appeal to the Autographs, or exact copies made from them, was still possible.</w:t>
      </w:r>
    </w:p>
    <w:p>
      <w:pPr>
        <w:pStyle w:val="BodyText"/>
      </w:pPr>
      <w:r>
        <w:rPr>
          <w:i/>
          <w:iCs/>
        </w:rPr>
        <w:t xml:space="preserve">Wniosek</w:t>
      </w:r>
    </w:p>
    <w:bookmarkEnd w:id="137"/>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2026-04-02T16:32:42Z</dcterms:created>
  <dcterms:modified xsi:type="dcterms:W3CDTF">2026-04-02T16:32:42Z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