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Oznacza to to: że</w:t>
      </w:r>
    </w:p>
    <w:p>
      <w:pPr>
        <w:pStyle w:val="FirstParagraph"/>
      </w:pPr>
      <w:r>
        <w:t xml:space="preserve">chociaż bardziej naturalnie brzmiałoby:</w:t>
      </w:r>
    </w:p>
    <w:p>
      <w:pPr>
        <w:pStyle w:val="BlockText"/>
      </w:pPr>
      <w:r>
        <w:t xml:space="preserve">Oznacza to, że</w:t>
      </w:r>
    </w:p>
    <w:p>
      <w:pPr>
        <w:pStyle w:val="FirstParagraph"/>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10"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09"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08"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Oznacza to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p>
    <w:p>
      <w:pPr>
        <w:pStyle w:val="BodyText"/>
      </w:pPr>
      <w:r>
        <w:t xml:space="preserve">His attitude toward the New Testament writings is clear from 12,1:</w:t>
      </w:r>
      <w:r>
        <w:t xml:space="preserve"> </w:t>
      </w:r>
      <w:r>
        <w:t xml:space="preserve">“</w:t>
      </w:r>
      <w:r>
        <w:t xml:space="preserve">I am sure that you are well trained in the sacred Scriptures,… Now, as it is said in these Scriptures:</w:t>
      </w:r>
      <w:r>
        <w:t xml:space="preserve"> </w:t>
      </w:r>
      <w:r>
        <w:t xml:space="preserve">‘</w:t>
      </w:r>
      <w:r>
        <w:t xml:space="preserve">Be angry and sin not,</w:t>
      </w:r>
      <w:r>
        <w:t xml:space="preserve">’</w:t>
      </w:r>
      <w:r>
        <w:t xml:space="preserve"> </w:t>
      </w:r>
      <w:r>
        <w:t xml:space="preserve">and</w:t>
      </w:r>
      <w:r>
        <w:t xml:space="preserve"> </w:t>
      </w:r>
      <w:r>
        <w:t xml:space="preserve">‘</w:t>
      </w:r>
      <w:r>
        <w:t xml:space="preserve">Let not the sun go down upon your wrath.</w:t>
      </w:r>
      <w:r>
        <w:t xml:space="preserve">’</w:t>
      </w:r>
      <w:r>
        <w:t xml:space="preserve"> </w:t>
      </w:r>
      <w:r>
        <w:t xml:space="preserve">Blessed is he who remembers this.</w:t>
      </w:r>
      <w:r>
        <w:t xml:space="preserve">”</w:t>
      </w:r>
      <w:r>
        <w:t xml:space="preserve"> </w:t>
      </w:r>
      <w:r>
        <w:t xml:space="preserve">Both parts of the quotation could come from Ephesians 4,26 but since Polycarp split it up he may have been referring to Psalm 4,5 (LXX) in the first half. In either case he is declaring Ephesians to be</w:t>
      </w:r>
      <w:r>
        <w:t xml:space="preserve"> </w:t>
      </w:r>
      <w:r>
        <w:t xml:space="preserve">“</w:t>
      </w:r>
      <w:r>
        <w:t xml:space="preserve">sacred Scripture</w:t>
      </w:r>
      <w:r>
        <w:t xml:space="preserve">”</w:t>
      </w:r>
      <w:r>
        <w:t xml:space="preserve">. A further insight into his attitude is found in 3,1-2.</w:t>
      </w:r>
    </w:p>
    <w:bookmarkEnd w:id="108"/>
    <w:bookmarkEnd w:id="109"/>
    <w:bookmarkEnd w:id="11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 corpus Paulinum)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2025-12-25T07:50:11Z</dcterms:created>
  <dcterms:modified xsi:type="dcterms:W3CDTF">2025-12-25T07:50:11Z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