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odrzucił.</w:t>
      </w:r>
      <w:r>
        <w:t xml:space="preserve"> </w:t>
      </w:r>
      <w:r>
        <w:rPr>
          <w:bCs/>
          <w:b/>
        </w:rPr>
        <w:t xml:space="preserve">Evidentnie wymiary Kanonu Nowego Testamentu uznanego przez Ireneusza są bardzo zbliżone do tego, co posiadamy dzisiaj</w:t>
      </w:r>
      <w:r>
        <w:t xml:space="preserve">.</w:t>
      </w:r>
    </w:p>
    <w:p>
      <w:pPr>
        <w:pStyle w:val="BodyText"/>
      </w:pPr>
      <w:r>
        <w:t xml:space="preserve">Począwszy od czasów Ireneusza nie może być żadnych wątpliwości dotyczących stosunku Kościska do pism Nowego Testamentu – są one Pismem Świętym. Tertulian (w 208 r.) powiedział o Kościele w Rzymie: „łączy ona prawo i proroków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From the time of Irenaeus on there can be no doubt concerning the attitude of the Church toward the New Testament writings—they are Scripture. Tertullian (in 208) said of the church at Rome,</w:t>
      </w:r>
      <w:r>
        <w:t xml:space="preserve"> </w:t>
      </w:r>
      <w:r>
        <w:t xml:space="preserve">“</w:t>
      </w:r>
      <w:r>
        <w:t xml:space="preserve">the law and the prophets she unites in one volume with the writings of evangelists and apostles</w:t>
      </w:r>
      <w:r>
        <w:t xml:space="preserve">”</w:t>
      </w:r>
      <w:r>
        <w:t xml:space="preserve"> </w:t>
      </w:r>
      <w:r>
        <w:t xml:space="preserve">(</w:t>
      </w:r>
      <w:r>
        <w:rPr>
          <w:iCs/>
          <w:i/>
        </w:rPr>
        <w:t xml:space="preserve">Prescription against Heretics</w:t>
      </w:r>
      <w:r>
        <w:t xml:space="preserve">, 36).</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2026-01-24T09:41:42Z</dcterms:created>
  <dcterms:modified xsi:type="dcterms:W3CDTF">2026-01-24T09:41:42Z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