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rPr>
          <w:rStyle w:val="FootnoteReference"/>
        </w:rPr>
        <w:footnoteReference w:id="137"/>
      </w:r>
    </w:p>
    <w:p>
      <w:pPr>
        <w:pStyle w:val="BodyText"/>
      </w:pPr>
      <w:r>
        <w:t xml:space="preserve">The Aegean region clearly had the best start, and Alexandria the worst—the text in Egypt could only be second hand, at best. On the face of it, we may reasonably assume that in the earliest period of the transmission of the NT Text the most reliable copies would be circulating in the region that held the Autographs. Recalling the discussion of Tertullian above, I believe we may reasonably extend this conclusion to AD 200 and beyond. So, in the year 200 someone looking for the best text of the NT would presumably go to the Aegean area, certainly not to Egypt.1</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states:</w:t>
      </w:r>
      <w:r>
        <w:t xml:space="preserve"> </w:t>
      </w:r>
      <w:r>
        <w:t xml:space="preserve">“</w:t>
      </w:r>
      <w:r>
        <w:t xml:space="preserve">Egypt was distinguished from other provinces of the Church, so far as we can judge, by the early dominance of Gnosticism</w:t>
      </w:r>
      <w:r>
        <w:t xml:space="preserve">”</w:t>
      </w:r>
      <w:r>
        <w:t xml:space="preserve">. He further informs us that</w:t>
      </w:r>
      <w:r>
        <w:t xml:space="preserve"> </w:t>
      </w:r>
      <w:r>
        <w:t xml:space="preserve">“</w:t>
      </w:r>
      <w:r>
        <w:t xml:space="preserve">at the close of the 2nd century</w:t>
      </w:r>
      <w:r>
        <w:t xml:space="preserve">”</w:t>
      </w:r>
      <w:r>
        <w:t xml:space="preserve"> </w:t>
      </w:r>
      <w:r>
        <w:t xml:space="preserve">the Egyptian church was</w:t>
      </w:r>
      <w:r>
        <w:t xml:space="preserve"> </w:t>
      </w:r>
      <w:r>
        <w:t xml:space="preserve">“</w:t>
      </w:r>
      <w:r>
        <w:t xml:space="preserve">dominantly gnostic</w:t>
      </w:r>
      <w:r>
        <w:t xml:space="preserve">”</w:t>
      </w:r>
      <w:r>
        <w:t xml:space="preserve"> </w:t>
      </w:r>
      <w:r>
        <w:t xml:space="preserve">and then goes on to say:</w:t>
      </w:r>
      <w:r>
        <w:t xml:space="preserve"> </w:t>
      </w:r>
      <w:r>
        <w:t xml:space="preserve">“</w:t>
      </w:r>
      <w:r>
        <w:t xml:space="preserve">The copies existing in the gnostic communities could not be used, because they were under suspicion of being corrupt</w:t>
      </w:r>
      <w:r>
        <w:t xml:space="preserve">”</w:t>
      </w:r>
      <w:r>
        <w:t xml:space="preserve">. Now this is all very instructive—what Aland is telling us, in other words, is that up to AD 200 the textual tradition in Egypt could not be trusted. (K. and B. Aland, p. 59 and K. Aland,</w:t>
      </w:r>
      <w:r>
        <w:t xml:space="preserve"> </w:t>
      </w:r>
      <w:r>
        <w:t xml:space="preserve">“</w:t>
      </w:r>
      <w:r>
        <w:t xml:space="preserve">The Text of the Church?</w:t>
      </w:r>
      <w:r>
        <w:t xml:space="preserve">”</w:t>
      </w:r>
      <w:r>
        <w:t xml:space="preserve">, Trinity Jour- nal,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2026-03-09T05:30:41Z</dcterms:created>
  <dcterms:modified xsi:type="dcterms:W3CDTF">2026-03-09T05:30:41Z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