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5"/>
      </w:r>
    </w:p>
    <w:p>
      <w:pPr>
        <w:pStyle w:val="BodyText"/>
      </w:pPr>
      <w:r>
        <w:t xml:space="preserve">As the figure suggests, I argue that Diocletian’s campaign had a purifying effect upon the stream of transmission. In order to withstand torture rather than give up your MS(S), you would have to be a truly committed believer, the sort of person who would want good copies of the Scriptures. Thus it was probably the more contaminated MSS that were destroyed, in the main, leaving the purer MSS to replenish the earth.2 The arrow within the cones represents Family 35 (see Part II below).</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5">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2026-05-14T04:07:53Z</dcterms:created>
  <dcterms:modified xsi:type="dcterms:W3CDTF">2026-05-14T04:07:53Z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