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The argument from probability would apply to secular writings as well as the New Testament and does not take into account any unusual concern for purity of text. I have argued, however, that the early Christians did have a special concern for their Scriptures and that this concern accompanied the spread of Christianity. Thus Irenaeus clearly took his concern for textual purity (which extended to a single letter) to Gaul and undoubtedly influenced the Christians in that area. The point is that the text form of the NT Autographs had a big advantage over that of any secular literature, so that its commanding position would become even greater than the argument from probability would suggest, and all the more so if the Autographs were ‘published’ as multiple copies. The rapid multiplication and spread of good copies would raise to absolutely prohibitive levels the chances against an opportunity for aberrant text forms to gain any kind of widespread acceptance or use.1</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2026-04-11T05:00:06Z</dcterms:created>
  <dcterms:modified xsi:type="dcterms:W3CDTF">2026-04-11T05:00:06Z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