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jpg" ContentType="image/jpeg"/>
  <Override PartName="/word/media/rId44.jpg" ContentType="image/jpe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 zachował swój Tekst!</w:t>
      </w:r>
    </w:p>
    <w:p>
      <w:pPr>
        <w:pStyle w:val="Subtitle"/>
      </w:pPr>
      <w:r>
        <w:t xml:space="preserve">Boża ochrona Nowego Testamentu</w:t>
      </w:r>
    </w:p>
    <w:p>
      <w:pPr>
        <w:pStyle w:val="Author"/>
      </w:pPr>
      <w:r>
        <w:t xml:space="preserve">Wilbur N. 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9" w:name="od-tłumacza"/>
    <w:p>
      <w:pPr>
        <w:pStyle w:val="Heading1"/>
      </w:pPr>
      <w:r>
        <w:t xml:space="preserve">Od tłumacza</w:t>
      </w:r>
    </w:p>
    <w:p>
      <w:pPr>
        <w:pStyle w:val="FirstParagraph"/>
      </w:pPr>
      <w:r>
        <w:t xml:space="preserve">Tłumaczenie czwartej edycji książki</w:t>
      </w:r>
      <w:r>
        <w:t xml:space="preserve"> </w:t>
      </w:r>
      <w:hyperlink r:id="rId9">
        <w:r>
          <w:rPr>
            <w:rStyle w:val="Hyperlink"/>
            <w:i/>
            <w:iCs/>
          </w:rPr>
          <w:t xml:space="preserve">GOD HAS PRESERVED HIS TEXT! The Divine Preservation of the New Testament</w:t>
        </w:r>
      </w:hyperlink>
      <w:r>
        <w:br/>
      </w:r>
      <w:r>
        <w:t xml:space="preserve">ISBN: 978-0-9974686-9-4</w:t>
      </w:r>
      <w:r>
        <w:br/>
      </w:r>
      <w:r>
        <w:rPr>
          <w:i/>
          <w:iCs/>
        </w:rPr>
        <w:t xml:space="preserve">Wilbur N. Pickering</w:t>
      </w:r>
    </w:p>
    <w:p>
      <w:pPr>
        <w:pStyle w:val="BodyText"/>
      </w:pPr>
      <w:r>
        <w:t xml:space="preserve">Tłumaczenie wykonał Tomasz Skraskowski dla</w:t>
      </w:r>
      <w:r>
        <w:t xml:space="preserve"> </w:t>
      </w:r>
      <w:hyperlink r:id="rId10">
        <w:r>
          <w:rPr>
            <w:rStyle w:val="Hyperlink"/>
          </w:rPr>
          <w:t xml:space="preserve">Wydawnictwa Świadome Chrześcijaństwo</w:t>
        </w:r>
      </w:hyperlink>
      <w:r>
        <w:t xml:space="preserve">. Zdjęcia dodane przez tłumacza zazaczone są adnotacją</w:t>
      </w:r>
      <w:r>
        <w:t xml:space="preserve"> </w:t>
      </w:r>
      <w:r>
        <w:rPr>
          <w:i/>
          <w:iCs/>
        </w:rPr>
        <w:t xml:space="preserve">[zdj. tłum.]</w:t>
      </w:r>
      <w:r>
        <w:t xml:space="preserve">, przypisy dodane przez tłumacza zaznaczone są adnotacją</w:t>
      </w:r>
      <w:r>
        <w:t xml:space="preserve"> </w:t>
      </w:r>
      <w:r>
        <w:rPr>
          <w:i/>
          <w:iCs/>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To oznacza to: że</w:t>
      </w:r>
    </w:p>
    <w:p>
      <w:pPr>
        <w:pStyle w:val="FirstParagraph"/>
      </w:pPr>
      <w:r>
        <w:t xml:space="preserve">chociaż bardziej naturalnie brzmiałoby:</w:t>
      </w:r>
    </w:p>
    <w:p>
      <w:pPr>
        <w:pStyle w:val="BlockText"/>
      </w:pPr>
      <w:r>
        <w:t xml:space="preserve">Oznacza to, że</w:t>
      </w:r>
    </w:p>
    <w:p>
      <w:pPr>
        <w:pStyle w:val="FirstParagraph"/>
      </w:pPr>
      <w:r>
        <w:t xml:space="preserve">Tyczy się to również cytowanych przez autora fragmentów Biblii - są one tłumaczone na język polski, żeby odwołania do konkretnych słów i wyrażeń pozostały w książce spójne i zrozumiałe.</w:t>
      </w:r>
    </w:p>
    <w:p>
      <w:pPr>
        <w:pStyle w:val="BodyText"/>
      </w:pPr>
      <w:r>
        <w:t xml:space="preserve">Tłumaczenie dostępne do pobrania z</w:t>
      </w:r>
      <w:r>
        <w:t xml:space="preserve"> </w:t>
      </w:r>
      <w:hyperlink r:id="rId11">
        <w:r>
          <w:rPr>
            <w:rStyle w:val="Hyperlink"/>
          </w:rPr>
          <w:t xml:space="preserve">tometchy.github.io/Bog-zachowal-swoj-Tekst-Wilbur-Pickering</w:t>
        </w:r>
      </w:hyperlink>
      <w:r>
        <w:t xml:space="preserve"> </w:t>
      </w:r>
      <w:r>
        <w:t xml:space="preserve">w formatach:</w:t>
      </w:r>
    </w:p>
    <w:p>
      <w:pPr>
        <w:pStyle w:val="Compact"/>
        <w:numPr>
          <w:ilvl w:val="0"/>
          <w:numId w:val="1001"/>
        </w:numPr>
      </w:pPr>
      <w:hyperlink r:id="rId12">
        <w:r>
          <w:rPr>
            <w:rStyle w:val="Hyperlink"/>
          </w:rPr>
          <w:t xml:space="preserve">EPUB</w:t>
        </w:r>
      </w:hyperlink>
    </w:p>
    <w:p>
      <w:pPr>
        <w:pStyle w:val="Compact"/>
        <w:numPr>
          <w:ilvl w:val="0"/>
          <w:numId w:val="1001"/>
        </w:numPr>
      </w:pPr>
      <w:hyperlink r:id="rId13">
        <w:r>
          <w:rPr>
            <w:rStyle w:val="Hyperlink"/>
          </w:rPr>
          <w:t xml:space="preserve">PDF</w:t>
        </w:r>
      </w:hyperlink>
    </w:p>
    <w:p>
      <w:pPr>
        <w:pStyle w:val="Compact"/>
        <w:numPr>
          <w:ilvl w:val="0"/>
          <w:numId w:val="1001"/>
        </w:numPr>
      </w:pPr>
      <w:hyperlink r:id="rId14">
        <w:r>
          <w:rPr>
            <w:rStyle w:val="Hyperlink"/>
          </w:rPr>
          <w:t xml:space="preserve">DOCX</w:t>
        </w:r>
      </w:hyperlink>
    </w:p>
    <w:p>
      <w:pPr>
        <w:pStyle w:val="FirstParagraph"/>
      </w:pPr>
      <w:r>
        <w:rPr>
          <w:i/>
          <w:iCs/>
        </w:rPr>
        <w:t xml:space="preserve">© 2021 Wilbur N. Pickering</w:t>
      </w:r>
      <w:r>
        <w:br/>
      </w:r>
      <w:r>
        <w:t xml:space="preserve">Oryginał dostępny na http://thechristiancommons.com.</w:t>
      </w:r>
    </w:p>
    <w:p>
      <w:pPr>
        <w:pStyle w:val="BodyText"/>
      </w:pPr>
      <w:r>
        <w:t xml:space="preserve">Udostępniono na licencji:</w:t>
      </w:r>
      <w:r>
        <w:br/>
      </w:r>
      <w:r>
        <w:rPr>
          <w:i/>
          <w:iCs/>
        </w:rPr>
        <w:t xml:space="preserve">Uznanie autorstwa - Na tych samych warunkach 4.0 Międzynarodowa</w:t>
      </w:r>
      <w:r>
        <w:br/>
      </w:r>
      <w:r>
        <w:t xml:space="preserve">CC BY-SA 4.0 -</w:t>
      </w:r>
      <w:r>
        <w:t xml:space="preserve"> </w:t>
      </w:r>
      <w:hyperlink r:id="rId15">
        <w:r>
          <w:rPr>
            <w:rStyle w:val="Hyperlink"/>
          </w:rPr>
          <w:t xml:space="preserve">creativecommons.org/licenses/by-sa/4.0</w:t>
        </w:r>
      </w:hyperlink>
    </w:p>
    <w:p>
      <w:pPr>
        <w:pStyle w:val="BodyText"/>
      </w:pPr>
      <w:r>
        <w:t xml:space="preserve">Licencja zezwala na:</w:t>
      </w:r>
    </w:p>
    <w:p>
      <w:pPr>
        <w:pStyle w:val="Compact"/>
        <w:numPr>
          <w:ilvl w:val="0"/>
          <w:numId w:val="1002"/>
        </w:numPr>
      </w:pPr>
      <w:r>
        <w:rPr>
          <w:b/>
          <w:bCs/>
        </w:rPr>
        <w:t xml:space="preserve">Dzielenie się</w:t>
      </w:r>
      <w:r>
        <w:t xml:space="preserve"> </w:t>
      </w:r>
      <w:r>
        <w:t xml:space="preserve">— kopiuj i rozpowszechniaj utwór w dowolnym medium i formacie dla dowolnego celu, także komercyjnego.</w:t>
      </w:r>
    </w:p>
    <w:p>
      <w:pPr>
        <w:pStyle w:val="Compact"/>
        <w:numPr>
          <w:ilvl w:val="0"/>
          <w:numId w:val="1002"/>
        </w:numPr>
      </w:pPr>
      <w:r>
        <w:rPr>
          <w:b/>
          <w:bCs/>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pStyle w:val="Compact"/>
        <w:numPr>
          <w:ilvl w:val="0"/>
          <w:numId w:val="1003"/>
        </w:numPr>
      </w:pPr>
      <w:r>
        <w:rPr>
          <w:b/>
          <w:bCs/>
        </w:rPr>
        <w:t xml:space="preserve">Uznanie autorstwa</w:t>
      </w:r>
      <w:r>
        <w:t xml:space="preserve"> </w:t>
      </w:r>
      <w:r>
        <w:t xml:space="preserve">— Utwór należy oznaczyć słowami „</w:t>
      </w:r>
      <w:r>
        <w:rPr>
          <w:i/>
          <w:iCs/>
        </w:rPr>
        <w:t xml:space="preserve">Oryginał dostępny na http://thechristiancommons.com.</w:t>
      </w:r>
      <w:r>
        <w:t xml:space="preserve">”, podać link do licencji i</w:t>
      </w:r>
      <w:r>
        <w:t xml:space="preserve"> </w:t>
      </w:r>
      <w:hyperlink r:id="rId16">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pStyle w:val="Compact"/>
        <w:numPr>
          <w:ilvl w:val="0"/>
          <w:numId w:val="1003"/>
        </w:numPr>
      </w:pPr>
      <w:r>
        <w:rPr>
          <w:b/>
          <w:bCs/>
        </w:rPr>
        <w:t xml:space="preserve">Na tych samych warunkach</w:t>
      </w:r>
      <w:r>
        <w:t xml:space="preserve"> </w:t>
      </w:r>
      <w:r>
        <w:t xml:space="preserve">— Remiksując utwór, przetwarzając go lub tworząc na jego podstawie, należy swoje dzieło rozpowszechniać na</w:t>
      </w:r>
      <w:r>
        <w:t xml:space="preserve"> </w:t>
      </w:r>
      <w:hyperlink r:id="rId17">
        <w:r>
          <w:rPr>
            <w:rStyle w:val="Hyperlink"/>
          </w:rPr>
          <w:t xml:space="preserve">tej samej licencji</w:t>
        </w:r>
      </w:hyperlink>
      <w:r>
        <w:t xml:space="preserve">, co oryginał.</w:t>
      </w:r>
    </w:p>
    <w:p>
      <w:pPr>
        <w:pStyle w:val="Compact"/>
        <w:numPr>
          <w:ilvl w:val="0"/>
          <w:numId w:val="1003"/>
        </w:numPr>
      </w:pPr>
      <w:r>
        <w:rPr>
          <w:b/>
          <w:bCs/>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18"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razem z nami dzieło tłumaczenia i wydawania Duchowej literatury dla naszego kraju, podajemy numer konta:</w:t>
      </w:r>
    </w:p>
    <w:p>
      <w:pPr>
        <w:pStyle w:val="BodyText"/>
      </w:pPr>
      <w:r>
        <w:rPr>
          <w:b/>
          <w:bCs/>
        </w:rPr>
        <w:t xml:space="preserve">Fundacja Świadome Chrześcijaństwo</w:t>
      </w:r>
      <w:r>
        <w:br/>
      </w:r>
      <w:r>
        <w:t xml:space="preserve">Nr rachunku: 51175000120000000034138044</w:t>
      </w:r>
    </w:p>
    <w:p>
      <w:pPr>
        <w:pStyle w:val="BodyText"/>
      </w:pPr>
      <w:r>
        <w:t xml:space="preserve">Pozostałe książki wydawnictwa dostępne pod adresem</w:t>
      </w:r>
      <w:r>
        <w:t xml:space="preserve"> </w:t>
      </w:r>
      <w:hyperlink r:id="rId10">
        <w:r>
          <w:rPr>
            <w:rStyle w:val="Hyperlink"/>
          </w:rPr>
          <w:t xml:space="preserve">wswch.pl</w:t>
        </w:r>
      </w:hyperlink>
      <w:r>
        <w:t xml:space="preserve">.</w:t>
      </w:r>
    </w:p>
    <w:bookmarkEnd w:id="18"/>
    <w:bookmarkEnd w:id="19"/>
    <w:bookmarkStart w:id="23"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20"/>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21"/>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22"/>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
          <w:iCs/>
        </w:rPr>
        <w:t xml:space="preserve">The Sovereign Creator Has Spoken: Objective Authority for Living, Second Edition</w:t>
      </w:r>
      <w:r>
        <w:t xml:space="preserve">, dostępne na jego stronie www.prunch.org oraz na Amazon.com.</w:t>
      </w:r>
    </w:p>
    <w:bookmarkEnd w:id="23"/>
    <w:bookmarkStart w:id="25"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24"/>
      </w:r>
      <w:r>
        <w:t xml:space="preserve">.</w:t>
      </w:r>
    </w:p>
    <w:bookmarkEnd w:id="25"/>
    <w:bookmarkStart w:id="147" w:name="część-i-dowody-historyczne"/>
    <w:p>
      <w:pPr>
        <w:pStyle w:val="Heading1"/>
      </w:pPr>
      <w:r>
        <w:t xml:space="preserve">CZĘŚĆ I: Dowody historyczne</w:t>
      </w:r>
    </w:p>
    <w:bookmarkStart w:id="53"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otwarcie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głupio, absurdalnie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absurdalnie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26"/>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głupio, absurdalnie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27"/>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głupio, absurdalnie niemożliwa.</w:t>
      </w:r>
    </w:p>
    <w:p>
      <w:pPr>
        <w:pStyle w:val="BodyText"/>
      </w:pPr>
      <w:r>
        <w:t xml:space="preserve">Tak zwana „kolumna geologiczna”</w:t>
      </w:r>
      <w:r>
        <w:rPr>
          <w:rStyle w:val="FootnoteReference"/>
        </w:rPr>
        <w:footnoteReference w:id="28"/>
      </w:r>
      <w:r>
        <w:t xml:space="preserve"> </w:t>
      </w:r>
      <w:r>
        <w:t xml:space="preserve">to fikcja. W Australii znajdują się skamieniałe pnie drzew, stojące pionowo, przechodzące przez różne warstwy skał osadowych, które według „kolumny geologicznej” reprezentują wiele milionów lat</w:t>
      </w:r>
      <w:r>
        <w:rPr>
          <w:rStyle w:val="FootnoteReference"/>
        </w:rPr>
        <w:footnoteReference w:id="29"/>
      </w:r>
      <w:r>
        <w:t xml:space="preserve"> </w:t>
      </w:r>
      <w:r>
        <w:t xml:space="preserve">– to po prostu głupie, absurdalnie niemożliwe! W USA jest wysokie plateau (mesa)</w:t>
      </w:r>
      <w:r>
        <w:rPr>
          <w:rStyle w:val="FootnoteReference"/>
        </w:rPr>
        <w:footnoteReference w:id="30"/>
      </w:r>
      <w:r>
        <w:t xml:space="preserve">, z warstwą starszej skały na warstwie młodszej skały (według „kolumny”), ale obszar ten jest tak rozległy, że żadna znana siła nie byłaby w stanie pokonać tarcia powstałego przy próbie przesunięcia jednej warstwy po drugiej (stosowany argument) – to również jest niemożliwe dla „kolumny geologicznej”</w:t>
      </w:r>
      <w:r>
        <w:rPr>
          <w:rStyle w:val="FootnoteReference"/>
        </w:rPr>
        <w:footnoteReference w:id="31"/>
      </w:r>
      <w:r>
        <w:t xml:space="preserve">.</w:t>
      </w:r>
    </w:p>
    <w:p>
      <w:pPr>
        <w:pStyle w:val="BodyText"/>
      </w:pPr>
      <w:r>
        <w:drawing>
          <wp:inline>
            <wp:extent cx="5334000" cy="4000500"/>
            <wp:effectExtent b="0" l="0" r="0" t="0"/>
            <wp:docPr descr="Góra Chief Mountain" title="" id="33" name="Picture"/>
            <a:graphic>
              <a:graphicData uri="http://schemas.openxmlformats.org/drawingml/2006/picture">
                <pic:pic>
                  <pic:nvPicPr>
                    <pic:cNvPr descr="images/Chief_Mountain.jpg" id="34" name="Picture"/>
                    <pic:cNvPicPr>
                      <a:picLocks noChangeArrowheads="1" noChangeAspect="1"/>
                    </pic:cNvPicPr>
                  </pic:nvPicPr>
                  <pic:blipFill>
                    <a:blip r:embed="rId32"/>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
          <w:iCs/>
        </w:rPr>
        <w:t xml:space="preserve">Chief Mountain</w:t>
      </w:r>
      <w:r>
        <w:t xml:space="preserve">, to przykład formacji, która ma warstwy skalne „nie po kolei” w sensie geologicznym – rzekomo starsze skały leżą na rzekomo młodszych. [zdj. tłum.]</w:t>
      </w:r>
      <w:r>
        <w:br/>
      </w:r>
      <w:hyperlink r:id="rId35">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
          <w:iCs/>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
          <w:bCs/>
        </w:rPr>
        <w:t xml:space="preserve">tej samej warstwie</w:t>
      </w:r>
      <w:r>
        <w:t xml:space="preserve"> </w:t>
      </w:r>
      <w:r>
        <w:t xml:space="preserve">skały osadowej natknął się na następujące znaleziska: dwa skamieniałe trylobity</w:t>
      </w:r>
      <w:r>
        <w:rPr>
          <w:rStyle w:val="FootnoteReference"/>
        </w:rPr>
        <w:footnoteReference w:id="36"/>
      </w:r>
      <w:r>
        <w:t xml:space="preserve">, które, według ewolucjonistów istniały 550 milionów lat temu, skamieniały mech zwany „lapidodendron”, który, według ewolucjonistów, istniał 250 milionów lat temu</w:t>
      </w:r>
      <w:r>
        <w:rPr>
          <w:rStyle w:val="FootnoteReference"/>
        </w:rPr>
        <w:footnoteReference w:id="37"/>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38"/>
      </w:r>
      <w:r>
        <w:t xml:space="preserve">, skamieniały czwarty palec lewej ręki kobiety</w:t>
      </w:r>
      <w:r>
        <w:rPr>
          <w:rStyle w:val="FootnoteReference"/>
        </w:rPr>
        <w:footnoteReference w:id="39"/>
      </w:r>
      <w:r>
        <w:t xml:space="preserve">, a nawet przedpotopowy żelazny młotek (jego żelazo nie rdzewieje, składa się w 96,6% z żelaza i 2,7% z chloru) –</w:t>
      </w:r>
      <w:r>
        <w:t xml:space="preserve"> </w:t>
      </w:r>
      <w:r>
        <w:rPr>
          <w:b/>
          <w:bCs/>
        </w:rPr>
        <w:t xml:space="preserve">wszystko to w tej samej warstwie skalnej!</w:t>
      </w:r>
    </w:p>
    <w:p>
      <w:pPr>
        <w:pStyle w:val="BodyText"/>
      </w:pPr>
      <w:r>
        <w:drawing>
          <wp:inline>
            <wp:extent cx="2791326" cy="4908884"/>
            <wp:effectExtent b="0" l="0" r="0" t="0"/>
            <wp:docPr descr="Paluxy River Taylor Site, Glen Rose, Teksas. Dwa wydłużone ślady stóp" title="" id="41" name="Picture"/>
            <a:graphic>
              <a:graphicData uri="http://schemas.openxmlformats.org/drawingml/2006/picture">
                <pic:pic>
                  <pic:nvPicPr>
                    <pic:cNvPr descr="images/Paluxy_River_Taylor_Site,_Glen_Rose,_Texas._Two_elongate_footprints.png" id="42" name="Picture"/>
                    <pic:cNvPicPr>
                      <a:picLocks noChangeArrowheads="1" noChangeAspect="1"/>
                    </pic:cNvPicPr>
                  </pic:nvPicPr>
                  <pic:blipFill>
                    <a:blip r:embed="rId40"/>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43">
        <w:r>
          <w:rPr>
            <w:rStyle w:val="Hyperlink"/>
          </w:rPr>
          <w:t xml:space="preserve">core.ac.uk/download/pdf/47225227.pdf</w:t>
        </w:r>
      </w:hyperlink>
    </w:p>
    <w:p>
      <w:pPr>
        <w:pStyle w:val="BodyText"/>
      </w:pPr>
      <w:r>
        <w:drawing>
          <wp:inline>
            <wp:extent cx="5334000" cy="4000500"/>
            <wp:effectExtent b="0" l="0" r="0" t="0"/>
            <wp:docPr descr="Creation Evidences Museum" title="" id="45" name="Picture"/>
            <a:graphic>
              <a:graphicData uri="http://schemas.openxmlformats.org/drawingml/2006/picture">
                <pic:pic>
                  <pic:nvPicPr>
                    <pic:cNvPr descr="images/Creation_Evidence_Museum_Original.jpeg" id="46" name="Picture"/>
                    <pic:cNvPicPr>
                      <a:picLocks noChangeArrowheads="1" noChangeAspect="1"/>
                    </pic:cNvPicPr>
                  </pic:nvPicPr>
                  <pic:blipFill>
                    <a:blip r:embed="rId44"/>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47">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 „kolumny geologicznej” 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głupio, absurdalnie niemożliwa</w:t>
      </w:r>
      <w:r>
        <w:rPr>
          <w:rStyle w:val="FootnoteReference"/>
        </w:rPr>
        <w:footnoteReference w:id="48"/>
      </w:r>
      <w:r>
        <w:t xml:space="preserve">.</w:t>
      </w:r>
    </w:p>
    <w:p>
      <w:pPr>
        <w:pStyle w:val="BodyText"/>
      </w:pPr>
      <w:r>
        <w:t xml:space="preserve">Rzeka Missisipi wyrzuca 80 000 ton osadów do Zatoki Meksykańskiej co godzinę! Wystarczy zmierzyć deltę, by zobaczyć, że Ziemia jest młoda</w:t>
      </w:r>
      <w:r>
        <w:rPr>
          <w:rStyle w:val="FootnoteReference"/>
        </w:rPr>
        <w:footnoteReference w:id="49"/>
      </w:r>
      <w:r>
        <w:t xml:space="preserve">. Ewolucjoniści twierdzą, że granit krystalizował się przez 300 milionów lat, ale w granicie występują „pierścienie polonowe” [ang. Polonium haloes, przyp. tłum.]</w:t>
      </w:r>
      <w:r>
        <w:rPr>
          <w:rStyle w:val="FootnoteReference"/>
        </w:rPr>
        <w:footnoteReference w:id="50"/>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głupio, absurdalnie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głupio, absurdalnie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51"/>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 „słowo, które nakazał na tysiąc pokoleń”.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52"/>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List do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53"/>
    <w:bookmarkStart w:id="75" w:name="wprowadzenie"/>
    <w:p>
      <w:pPr>
        <w:pStyle w:val="Heading2"/>
      </w:pPr>
      <w:r>
        <w:t xml:space="preserve">Wprowadzenie</w:t>
      </w:r>
    </w:p>
    <w:bookmarkStart w:id="69" w:name="natchnienie"/>
    <w:p>
      <w:pPr>
        <w:pStyle w:val="Heading3"/>
      </w:pPr>
      <w:r>
        <w:t xml:space="preserve">Natchnienie</w:t>
      </w:r>
    </w:p>
    <w:p>
      <w:pPr>
        <w:pStyle w:val="FirstParagraph"/>
      </w:pPr>
      <w:r>
        <w:t xml:space="preserve">Gdy piszę książkę</w:t>
      </w:r>
      <w:r>
        <w:rPr>
          <w:rStyle w:val="FootnoteReference"/>
        </w:rPr>
        <w:footnoteReference w:id="54"/>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
          <w:iCs/>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
          <w:bCs/>
        </w:rPr>
        <w:t xml:space="preserve">tylko wieczny Byt mógł wydać wieczne Słowo</w:t>
      </w:r>
      <w:r>
        <w:rPr>
          <w:rStyle w:val="FootnoteReference"/>
        </w:rPr>
        <w:footnoteReference w:id="55"/>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List do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56"/>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57"/>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58"/>
      </w:r>
    </w:p>
    <w:p>
      <w:pPr>
        <w:pStyle w:val="BodyText"/>
      </w:pPr>
      <w:r>
        <w:rPr>
          <w:i/>
          <w:iCs/>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59"/>
      </w:r>
      <w:r>
        <w:t xml:space="preserve"> </w:t>
      </w:r>
      <w:r>
        <w:t xml:space="preserve">(2 List do Tymoteusza 3,15-17). Z pewnością jednym z najważniejszych celów jest pokazanie, jak uzyskać wieczne zbawienie. Paweł kontynuuje, stwierdzając, że Pismo jest cenne ze względu na cztery rzeczy. Zwróć uwagę na kolejność:</w:t>
      </w:r>
    </w:p>
    <w:p>
      <w:pPr>
        <w:pStyle w:val="Compact"/>
        <w:numPr>
          <w:ilvl w:val="0"/>
          <w:numId w:val="1004"/>
        </w:numPr>
      </w:pPr>
      <w:r>
        <w:t xml:space="preserve">Pismo dostarcza obiektywnie prawdziwych informacji.</w:t>
      </w:r>
    </w:p>
    <w:p>
      <w:pPr>
        <w:pStyle w:val="Compact"/>
        <w:numPr>
          <w:ilvl w:val="0"/>
          <w:numId w:val="1004"/>
        </w:numPr>
      </w:pPr>
      <w:r>
        <w:t xml:space="preserve">Następnie Duch Święty używa Swego Miecza, aby przekonać o grzechu.</w:t>
      </w:r>
    </w:p>
    <w:p>
      <w:pPr>
        <w:pStyle w:val="Compact"/>
        <w:numPr>
          <w:ilvl w:val="0"/>
          <w:numId w:val="1004"/>
        </w:numPr>
      </w:pPr>
      <w:r>
        <w:t xml:space="preserve">To prowadzi do pokuty i nawrócenia.</w:t>
      </w:r>
    </w:p>
    <w:p>
      <w:pPr>
        <w:pStyle w:val="Compact"/>
        <w:numPr>
          <w:ilvl w:val="0"/>
          <w:numId w:val="1004"/>
        </w:numPr>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60"/>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61"/>
      </w:r>
      <w:r>
        <w:t xml:space="preserve"> </w:t>
      </w:r>
      <w:r>
        <w:t xml:space="preserve">Ewangelii Chrystusa</w:t>
      </w:r>
      <w:r>
        <w:rPr>
          <w:rStyle w:val="FootnoteReference"/>
        </w:rPr>
        <w:footnoteReference w:id="62"/>
      </w:r>
      <w:r>
        <w:t xml:space="preserve">, ponieważ jest ona mocą Bożą dla zbawienia każdego, kto wierzy (najpierw Żyda, potem Greka). Bo w niej jest ujawniona sprawiedliwość Boża, z wiary w wiarę, tak jak jest napisane:</w:t>
      </w:r>
      <w:r>
        <w:t xml:space="preserve"> </w:t>
      </w:r>
      <w:r>
        <w:t xml:space="preserve">‘Sprawiedliwy z wiary żyć będzie’</w:t>
      </w:r>
      <w:r>
        <w:t xml:space="preserve">.”</w:t>
      </w:r>
      <w:r>
        <w:rPr>
          <w:rStyle w:val="FootnoteReference"/>
        </w:rPr>
        <w:footnoteReference w:id="63"/>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64"/>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65"/>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
          <w:iCs/>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66"/>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67"/>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68"/>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69"/>
    <w:bookmarkStart w:id="71"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70"/>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71"/>
    <w:bookmarkStart w:id="74"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72"/>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73"/>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Bożą ochronę Nowego Testamentu – jest to kwestia logiki. Ale co z dowodami historycznymi, czy są one zgodne z naszą logiką, czy nie? Teraz przejdę do tego pytania.</w:t>
      </w:r>
    </w:p>
    <w:bookmarkEnd w:id="74"/>
    <w:bookmarkEnd w:id="75"/>
    <w:bookmarkStart w:id="146" w:name="historyczne-dowody-na-zachowanie-tekstu"/>
    <w:p>
      <w:pPr>
        <w:pStyle w:val="Heading2"/>
      </w:pPr>
      <w:r>
        <w:t xml:space="preserve">Historyczne dowody na zachowanie tekstu</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76"/>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83"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77"/>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78"/>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pStyle w:val="Compact"/>
        <w:numPr>
          <w:ilvl w:val="0"/>
          <w:numId w:val="1006"/>
        </w:numPr>
      </w:pPr>
      <w:r>
        <w:t xml:space="preserve">jeśli oryginalny egzemplarz miał być przechowywany, w celu kontroli jakości, powinien być wykonany na trwałym materiale</w:t>
      </w:r>
    </w:p>
    <w:p>
      <w:pPr>
        <w:pStyle w:val="Compact"/>
        <w:numPr>
          <w:ilvl w:val="0"/>
          <w:numId w:val="1006"/>
        </w:numPr>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
          <w:bCs/>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79"/>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80"/>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81"/>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82"/>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83"/>
    <w:bookmarkStart w:id="111" w:name="X2567adac6f25933c916ef36242b5d7814bc2aed"/>
    <w:p>
      <w:pPr>
        <w:pStyle w:val="Heading3"/>
      </w:pPr>
      <w:r>
        <w:t xml:space="preserve">Wczesne rozpoznanie</w:t>
      </w:r>
      <w:r>
        <w:t xml:space="preserve"> </w:t>
      </w:r>
      <w:r>
        <w:rPr>
          <w:rStyle w:val="FootnoteReference"/>
        </w:rPr>
        <w:footnoteReference w:id="84"/>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85"/>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86"/>
      </w:r>
    </w:p>
    <w:p>
      <w:pPr>
        <w:pStyle w:val="FirstParagraph"/>
      </w:pPr>
      <w:r>
        <w:rPr>
          <w:i/>
          <w:iCs/>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
          <w:bCs/>
        </w:rPr>
        <w:t xml:space="preserve">teraz</w:t>
      </w:r>
      <w:r>
        <w:t xml:space="preserve"> </w:t>
      </w:r>
      <w:r>
        <w:t xml:space="preserve">ujawnionej i uczynionej znaną przez Pisma prorockie, zgodnie z nakazem wiecznego Boga, w celu posłuszeństwa wiary pośród wszystkich narodów etnicznych.”</w:t>
      </w:r>
      <w:r>
        <w:t xml:space="preserve"> </w:t>
      </w:r>
      <w:r>
        <w:rPr>
          <w:rStyle w:val="FootnoteReference"/>
        </w:rPr>
        <w:footnoteReference w:id="87"/>
      </w:r>
      <w:r>
        <w:t xml:space="preserve"> </w:t>
      </w:r>
      <w:r>
        <w:t xml:space="preserve">Paweł oświadcza, że</w:t>
      </w:r>
      <w:r>
        <w:t xml:space="preserve"> </w:t>
      </w:r>
      <w:r>
        <w:rPr>
          <w:b/>
          <w:bCs/>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
          <w:bCs/>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
          <w:bCs/>
        </w:rPr>
        <w:t xml:space="preserve">dokończyć</w:t>
      </w:r>
      <w:r>
        <w:t xml:space="preserve"> </w:t>
      </w:r>
      <w:r>
        <w:t xml:space="preserve">Słowo Boże, tajemnicę, która była ukryta od przeszłych wieków i pokoleń, ale</w:t>
      </w:r>
      <w:r>
        <w:t xml:space="preserve"> </w:t>
      </w:r>
      <w:r>
        <w:rPr>
          <w:b/>
          <w:bCs/>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88"/>
      </w:r>
      <w:r>
        <w:t xml:space="preserve"> </w:t>
      </w:r>
      <w:r>
        <w:t xml:space="preserve">tak jak ci, którzy stali się naocznymi świadkami, od początku, i słudzy Słowa dostarczyli nam je,</w:t>
      </w:r>
      <w:r>
        <w:rPr>
          <w:rStyle w:val="FootnoteReference"/>
        </w:rPr>
        <w:footnoteReference w:id="89"/>
      </w:r>
      <w:r>
        <w:t xml:space="preserve"> </w:t>
      </w:r>
      <w:r>
        <w:t xml:space="preserve">mnie również się to wydawało dobre, najdoskonalszy Teofilu, po starannym zapoznaniu się ze wszystkim z</w:t>
      </w:r>
      <w:r>
        <w:t xml:space="preserve"> </w:t>
      </w:r>
      <w:r>
        <w:rPr>
          <w:b/>
          <w:bCs/>
        </w:rPr>
        <w:t xml:space="preserve">Góry</w:t>
      </w:r>
      <w:r>
        <w:t xml:space="preserve">, napisać do ciebie dokładnie i po kolei,</w:t>
      </w:r>
      <w:r>
        <w:rPr>
          <w:rStyle w:val="FootnoteReference"/>
        </w:rPr>
        <w:footnoteReference w:id="90"/>
      </w:r>
      <w:r>
        <w:t xml:space="preserve"> </w:t>
      </w:r>
      <w:r>
        <w:t xml:space="preserve">abyś mógł</w:t>
      </w:r>
      <w:r>
        <w:t xml:space="preserve"> </w:t>
      </w:r>
      <w:r>
        <w:rPr>
          <w:b/>
          <w:bCs/>
        </w:rPr>
        <w:t xml:space="preserve">poznać</w:t>
      </w:r>
      <w:r>
        <w:t xml:space="preserve"> </w:t>
      </w:r>
      <w:r>
        <w:t xml:space="preserve">pewność tych rzeczy, o których zostałeś pouczony.</w:t>
      </w:r>
      <w:r>
        <w:rPr>
          <w:rStyle w:val="FootnoteReference"/>
        </w:rPr>
        <w:footnoteReference w:id="91"/>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
          <w:bCs/>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92"/>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To oznacza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93"/>
      </w:r>
    </w:p>
    <w:p>
      <w:pPr>
        <w:pStyle w:val="BodyText"/>
      </w:pPr>
      <w:r>
        <w:t xml:space="preserve">Autor, kimkolwiek był, wyraźnie przypisuje boskie autorstwo temu cytatowi, który wydaje się pochodzić z 2 Listu Piotra 3,8.</w:t>
      </w:r>
      <w:r>
        <w:rPr>
          <w:rStyle w:val="FootnoteReference"/>
        </w:rPr>
        <w:footnoteReference w:id="94"/>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
          <w:iCs/>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95"/>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
          <w:bCs/>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96"/>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97"/>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98"/>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
          <w:iCs/>
        </w:rPr>
        <w:t xml:space="preserve">Didache</w:t>
      </w:r>
      <w:r>
        <w:rPr>
          <w:rStyle w:val="FootnoteReference"/>
        </w:rPr>
        <w:footnoteReference w:id="99"/>
      </w:r>
      <w:r>
        <w:t xml:space="preserve"> </w:t>
      </w:r>
      <w:r>
        <w:t xml:space="preserve">i List do Diogneta, posługują się pismami Nowego Testamentu jako autorytatywnymi, ale bez wyraźnego nazywania ich Pismem Świętym.</w:t>
      </w:r>
      <w:r>
        <w:t xml:space="preserve"> </w:t>
      </w:r>
      <w:r>
        <w:rPr>
          <w:i/>
          <w:iCs/>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 –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rozległe prace Justyna Męczennika (zamęczonego w 165 r.), pochodzące mniej więcej z połowy II wieku. Jego „Dialog z Tryfonem” ukazuje mistrzowską znajomość Starego Testamentu, któremu przypisuje on najwyższy możliwy autorytet, ewidentnie trzymając się poglądu o natchnieniu jako dyktowaniu – w Tryfonie 34 mówi: „aby przekonać cię, że nie zrozumiałeś nic ze Świętych Pism, przypomnę ci inny psalm, podyktowany Dawidowi przez Ducha Świętego”</w:t>
      </w:r>
      <w:r>
        <w:rPr>
          <w:rStyle w:val="FootnoteReference"/>
        </w:rPr>
        <w:footnoteReference w:id="100"/>
      </w:r>
      <w:r>
        <w:t xml:space="preserve">. Całe sedno Tryfona polega na udowodnieniu, że Jezus jest Chrystusem i Bogiem, a zatem to, co powiedział i nakazał, miało najwyższy autorytet.</w:t>
      </w:r>
    </w:p>
    <w:p>
      <w:pPr>
        <w:pStyle w:val="BodyText"/>
      </w:pPr>
      <w:r>
        <w:t xml:space="preserve">W</w:t>
      </w:r>
      <w:r>
        <w:t xml:space="preserve"> </w:t>
      </w:r>
      <w:r>
        <w:rPr>
          <w:i/>
          <w:iCs/>
        </w:rPr>
        <w:t xml:space="preserve">Apologii I</w:t>
      </w:r>
      <w:r>
        <w:t xml:space="preserve">, 66 Justyn mówi: „Albowiem apostołowie w sporządzonych przez siebie wspomnieniach, które zwane są Ewangeliami, w ten sposób przekazali to, co zostało im nakazane…”</w:t>
      </w:r>
      <w:r>
        <w:rPr>
          <w:rStyle w:val="FootnoteReference"/>
        </w:rPr>
        <w:footnoteReference w:id="101"/>
      </w:r>
      <w:r>
        <w:t xml:space="preserve">. A w</w:t>
      </w:r>
      <w:r>
        <w:t xml:space="preserve"> </w:t>
      </w:r>
      <w:r>
        <w:rPr>
          <w:i/>
          <w:iCs/>
        </w:rPr>
        <w:t xml:space="preserve">Dialogu z Żydem Tryfonem</w:t>
      </w:r>
      <w:r>
        <w:t xml:space="preserve"> </w:t>
      </w:r>
      <w:r>
        <w:t xml:space="preserve">119 mówi, że tak jak Abraham uwierzył głosowi Boga, „tak samo my, uwierzywszy głosowi Boga wypowiedzianemu przez apostołów Chrystusa…”</w:t>
      </w:r>
    </w:p>
    <w:p>
      <w:pPr>
        <w:pStyle w:val="BodyText"/>
      </w:pPr>
      <w:r>
        <w:t xml:space="preserve">Z</w:t>
      </w:r>
      <w:r>
        <w:t xml:space="preserve"> </w:t>
      </w:r>
      <w:r>
        <w:rPr>
          <w:i/>
          <w:iCs/>
        </w:rPr>
        <w:t xml:space="preserve">Dialogu z Żydem Tryfonem</w:t>
      </w:r>
      <w:r>
        <w:t xml:space="preserve"> </w:t>
      </w:r>
      <w:r>
        <w:t xml:space="preserve">120 wynika również jasno, że Justyn uważał pisma Nowego Testamentu za Pismo Święte. Niezwykle interesujące jest jednoznaczne odniesienie do Księgi Objawienia w</w:t>
      </w:r>
      <w:r>
        <w:t xml:space="preserve"> </w:t>
      </w:r>
      <w:r>
        <w:rPr>
          <w:i/>
          <w:iCs/>
        </w:rPr>
        <w:t xml:space="preserve">Dialogu z Żydem Tryfonem</w:t>
      </w:r>
      <w:r>
        <w:t xml:space="preserve"> </w:t>
      </w:r>
      <w:r>
        <w:t xml:space="preserve">81. „Ponadto, był z nami pewien człowiek, który miał na imię Jan, jeden z apostołów Chrystusa, który prorokował, na podstawie objawienia, które zostało mu dane, że ci, którzy wierzą w naszego Chrystusa, będą mieszkać tysiąc lat w Jerozolimie”.</w:t>
      </w:r>
      <w:r>
        <w:rPr>
          <w:rStyle w:val="FootnoteReference"/>
        </w:rPr>
        <w:footnoteReference w:id="102"/>
      </w:r>
    </w:p>
    <w:p>
      <w:pPr>
        <w:pStyle w:val="BodyText"/>
      </w:pPr>
      <w:r>
        <w:t xml:space="preserve">Justin kontynuuje, mówiąc: „Tak jak również nasz Pan powiedział” i cytuje Ewangelię Łukasza 20,35, więc najwyraźniej uważał Księgę Objawnienia za autorytatywną. (Skoro już mowa o Księdze Objawnienia, w 165 roku Meliton, biskup Sardes, napisał komentarz do tej księgi).</w:t>
      </w:r>
    </w:p>
    <w:p>
      <w:pPr>
        <w:pStyle w:val="BodyText"/>
      </w:pPr>
      <w:r>
        <w:t xml:space="preserve">Najbardziej pouczający fragment występuje w</w:t>
      </w:r>
      <w:r>
        <w:t xml:space="preserve"> </w:t>
      </w:r>
      <w:r>
        <w:rPr>
          <w:i/>
          <w:iCs/>
        </w:rPr>
        <w:t xml:space="preserve">Apologii I</w:t>
      </w:r>
      <w:r>
        <w:t xml:space="preserve"> </w:t>
      </w:r>
      <w:r>
        <w:t xml:space="preserve">67.</w:t>
      </w:r>
    </w:p>
    <w:p>
      <w:pPr>
        <w:pStyle w:val="BlockText"/>
      </w:pPr>
      <w:r>
        <w:t xml:space="preserve">A w dzień zwany niedzielą odbywa się spotkanie w jednym miejscu tych, którzy mieszkają w miastach lub na wsi, i czytane są wspomnienia apostołów lub pisma proroków, dopóki pozwala na to czas. Kiedy czytelnik kończy, przewodniczący w dyskursie namawia nas i zachęca do naśladowania tych szlachetnych rzeczy.</w:t>
      </w:r>
      <w:r>
        <w:rPr>
          <w:rStyle w:val="FootnoteReference"/>
        </w:rPr>
        <w:footnoteReference w:id="103"/>
      </w:r>
    </w:p>
    <w:p>
      <w:pPr>
        <w:pStyle w:val="FirstParagraph"/>
      </w:pPr>
      <w:r>
        <w:t xml:space="preserve">Niezależnie od tego, czy kolejność ta sugeruje, że Ewangelie były preferowane względem Proroków, jasne jest, że zarówno jedne, jak i drugie, były uważane za autorytatywne i w równym stopniu nakazywane słuchaczom.</w:t>
      </w:r>
      <w:r>
        <w:t xml:space="preserve"> </w:t>
      </w:r>
      <w:r>
        <w:rPr>
          <w:b/>
          <w:bCs/>
        </w:rPr>
        <w:t xml:space="preserve">Zwróć następnie uwagę, że każde zgromadzenie musiało posiadać własną kopię pism apostołów do czytania</w:t>
      </w:r>
      <w:r>
        <w:t xml:space="preserve">, a takie czytanie miało miejsce co tydzień.</w:t>
      </w:r>
    </w:p>
    <w:p>
      <w:pPr>
        <w:pStyle w:val="BodyText"/>
      </w:pPr>
      <w:r>
        <w:t xml:space="preserve">Atenagoras, w swoim dziele „Plea”</w:t>
      </w:r>
      <w:r>
        <w:rPr>
          <w:rStyle w:val="FootnoteReference"/>
        </w:rPr>
        <w:footnoteReference w:id="104"/>
      </w:r>
      <w:r>
        <w:t xml:space="preserve">, napisanym na początku 177 roku, cytuje z Ewangelii Mateusza 5,28 jako z Pisma Świętego: „…nie wolno nam nawet oddawać się pożądliwemu spojrzeniu. Albowiem, Pismo Święte mówi, «Ten, kto patrzy na kobietę pożądliwie, już popełnił cudzołóstwo w swoim sercu»” (32)</w:t>
      </w:r>
      <w:r>
        <w:rPr>
          <w:rStyle w:val="FootnoteReference"/>
        </w:rPr>
        <w:footnoteReference w:id="105"/>
      </w:r>
      <w:r>
        <w:t xml:space="preserve">. Podobnie traktuje on Ewangelię Mateusza 19,9 lub Ewangelię Marka 10,11 w rozdziale 33.</w:t>
      </w:r>
    </w:p>
    <w:p>
      <w:pPr>
        <w:pStyle w:val="BodyText"/>
      </w:pPr>
      <w:r>
        <w:t xml:space="preserve">Teofil, biskup Antiochii</w:t>
      </w:r>
      <w:r>
        <w:rPr>
          <w:rStyle w:val="FootnoteReference"/>
        </w:rPr>
        <w:footnoteReference w:id="106"/>
      </w:r>
      <w:r>
        <w:t xml:space="preserve">, w swoim traktacie do Autolikusa cytuje 1 List do Tymoteusza 2,1 i List do Rzymian 13,7 jako „Słowo Boże” (iii.14), cytuje z czwartej Ewangelii, mówiąc, że Jan był „natchniony przez Ducha” (ii.22), Księga Izajasza i „Ewangelia” są wspomniane w jednym akapicie jako Pismo Święte (iii.14) i obstaje on w kilku fragmentach, że autorzy nigdy nie zaprzeczali sobie nawzajem: „Oświadczenia Proroków i Ewangelii okazują się spójne, ponieważ wszystkie były natchnione przez jednego Ducha Bożego” (ii.9; ii.35; iii.17).</w:t>
      </w:r>
      <w:r>
        <w:rPr>
          <w:rStyle w:val="FootnoteReference"/>
        </w:rPr>
        <w:footnoteReference w:id="107"/>
      </w:r>
    </w:p>
    <w:p>
      <w:pPr>
        <w:pStyle w:val="BodyText"/>
      </w:pPr>
      <w:r>
        <w:t xml:space="preserve">Dzieła Ireneusza (zm. 202 r.)</w:t>
      </w:r>
      <w:r>
        <w:rPr>
          <w:rStyle w:val="FootnoteReference"/>
        </w:rPr>
        <w:footnoteReference w:id="108"/>
      </w:r>
      <w:r>
        <w:t xml:space="preserve">, które zachowały się do dziś, jego główne dzieło</w:t>
      </w:r>
      <w:r>
        <w:t xml:space="preserve"> </w:t>
      </w:r>
      <w:r>
        <w:rPr>
          <w:i/>
          <w:iCs/>
        </w:rPr>
        <w:t xml:space="preserve">Przeciw heretykom</w:t>
      </w:r>
      <w:r>
        <w:rPr>
          <w:rStyle w:val="FootnoteReference"/>
        </w:rPr>
        <w:footnoteReference w:id="109"/>
      </w:r>
      <w:r>
        <w:t xml:space="preserve"> </w:t>
      </w:r>
      <w:r>
        <w:t xml:space="preserve">napisane około 185 r., są mniej więcej równe pod względem objętości do dzieł wszystkich poprzedzających Ojców razem wziętych.</w:t>
      </w:r>
    </w:p>
    <w:p>
      <w:pPr>
        <w:pStyle w:val="BodyText"/>
      </w:pPr>
      <w:r>
        <w:t xml:space="preserve">Jego świadectwo dotyczące autorytetu i natchnienia Pisma Świętego jest jasne i jednoznaczne. Przenika ono całość jego dzieł, a świadectwo to ma ponadprzeciętną wartość, ponieważ należy je traktować jako bezpośrednio reprezentujące co najmniej trzy kościoły, tych z Lyonu, Azji Mniejszej i Rzymu. Autorytatywne wykorzystanie obu Testamentów jest jasno określone.</w:t>
      </w:r>
      <w:r>
        <w:rPr>
          <w:rStyle w:val="FootnoteReference"/>
        </w:rPr>
        <w:footnoteReference w:id="110"/>
      </w:r>
    </w:p>
    <w:p>
      <w:pPr>
        <w:pStyle w:val="BodyText"/>
      </w:pPr>
      <w:r>
        <w:t xml:space="preserve">Ireneusz stwierdził, że apostołowie nauczali, iż Bóg jest Autorem obu Testamentów (</w:t>
      </w:r>
      <w:r>
        <w:rPr>
          <w:i/>
          <w:iCs/>
        </w:rPr>
        <w:t xml:space="preserve">Przeciw heretykom</w:t>
      </w:r>
      <w:r>
        <w:t xml:space="preserve"> </w:t>
      </w:r>
      <w:r>
        <w:t xml:space="preserve">IV. 32.2) i ewidentnie uważał, że pisma Nowego Testamentu formują drugi kanon. Cytował z każdego rozdziału Ewangelii Mateusza, 1 Listu do Koryntian, Listu do Galacjan, Listu do Efezjan, Listu do Kolosan i Listu do Filipian, ze wszystkich oprócz jednego lub dwóch rozdziałów Ewangelii Łukasza, Ewangelii Jana, Listu do Rzymian, 2 Listu do Tesaloniczan, 1 i 2 Listu do Tymoteusza oraz Listu do Tytusa, z większości rozdziałów Ewangelii Marka (w tym z ostatnich dwunastu wersetów), Dziejów Apostolskich, 2 Listu do Koryntian i Objawienia Jana oraz z każdej innej księgi z wyjątkiem Listu do Filemona i 3 Listu Jana. Te dwie księgi są tak krótkie, że Ireneusz mógł nie mieć okazji odwołać się do nich w swoich zachowanych dziełach – nie musi to jednak oznaczać, że nie miał o nich pojęcia lub, że je odrzucił.</w:t>
      </w:r>
      <w:r>
        <w:t xml:space="preserve"> </w:t>
      </w:r>
      <w:r>
        <w:rPr>
          <w:b/>
          <w:bCs/>
        </w:rPr>
        <w:t xml:space="preserve">Ewidentnie wymiary Kanonu Nowego Testamentu uznanego przez Ireneusza są bardzo zbliżone do tego, co posiadamy dzisiaj</w:t>
      </w:r>
      <w:r>
        <w:t xml:space="preserve">.</w:t>
      </w:r>
    </w:p>
    <w:p>
      <w:pPr>
        <w:pStyle w:val="BodyText"/>
      </w:pPr>
      <w:r>
        <w:t xml:space="preserve">Od czasów Ireneusza nie może być żadnych wątpliwości dotyczących stosunku Kościoła do pism Nowego Testamentu – są one Pismem Świętym. Tertulian (w 208 r.) powiedział o Kościele w Rzymie: „prawo i proroków łączy w jednym tomie z pismami ewangelistów i apostołów” (</w:t>
      </w:r>
      <w:r>
        <w:rPr>
          <w:i/>
          <w:iCs/>
        </w:rPr>
        <w:t xml:space="preserve">Recepta przeciw heretykom</w:t>
      </w:r>
      <w:r>
        <w:t xml:space="preserve"> </w:t>
      </w:r>
      <w:r>
        <w:t xml:space="preserve">[ang.</w:t>
      </w:r>
      <w:r>
        <w:t xml:space="preserve"> </w:t>
      </w:r>
      <w:r>
        <w:rPr>
          <w:i/>
          <w:iCs/>
        </w:rPr>
        <w:t xml:space="preserve">Prescription against Heretics</w:t>
      </w:r>
      <w:r>
        <w:t xml:space="preserve">, przyp. tłum.], 36).</w:t>
      </w:r>
    </w:p>
    <w:p>
      <w:pPr>
        <w:pStyle w:val="BodyText"/>
      </w:pPr>
      <w:r>
        <w:t xml:space="preserve">Proszę o uwagę! Jak dotąd przedstawione dowody wnoszą do naszej dyskusji następujący wkład: implikacje ich stosunku wobec Tekstu. To, czy ktoś dzisiaj zgadza się z nimi, czy nie, nie ma związku. Pierwsi Chrześcijanie wierzyli, że „księgi” Nowego Testamentu były natchnione przez Boga, stanowiąc drugi Kanon. W wyniku swojej wiary traktowali te pisma z troską i szacunkiem.</w:t>
      </w:r>
    </w:p>
    <w:bookmarkEnd w:id="111"/>
    <w:bookmarkStart w:id="124" w:name="czy-pierwsi-chrześcijanie-byli-ostrożni"/>
    <w:p>
      <w:pPr>
        <w:pStyle w:val="Heading3"/>
      </w:pPr>
      <w:r>
        <w:t xml:space="preserve">Czy pierwsi chrześcijanie byli ostrożni?</w:t>
      </w:r>
    </w:p>
    <w:p>
      <w:pPr>
        <w:pStyle w:val="FirstParagraph"/>
      </w:pPr>
      <w:r>
        <w:t xml:space="preserve">Zostało szeroko przyjęte, że pierwsi Chrześcijanie byli albo obojętni, albo niezdolni do czuwania nad czystością tekstu. (Przypomnij sobie słowa Horta przytoczone powyżej). Ponownie konieczny jest przegląd założeń. Wielu z pierwszych wierzących było pobożnymi Żydami, którzy mieli zakorzeniony szacunek i troskę o Pismo Starego Testamentu, sięgające najdrobniejszej kropki czy kreski. Ten szacunek i troska w naturalny sposób rozciągały się również na Pismo Nowego Testamentu.</w:t>
      </w:r>
    </w:p>
    <w:p>
      <w:pPr>
        <w:pStyle w:val="BodyText"/>
      </w:pPr>
      <w:r>
        <w:t xml:space="preserve">Dlaczego współcześni krytycy powinni zakładać, że pierwsi chrześcijanie, a zwłaszcza przywódcy duchowi pośród nich, byli gorsi pod względem uczciwości lub inteligencji? Ojciec cytujący z pamięci lub dostosowujący fragment do swoich potrzeb w kazaniu, lub liście w żadnym wypadku nie oznacza, że pozwoliłby sobie na podobną swobodę podczas przepisywania księgi lub korpusu. Zwykła uczciwość wymagałaby od niego sporządzenia wiernej kopii. Czy mamy zakładać, że każdy, kto sporządzał kopie ksiąg Nowego Testamentu w tamtych wczesnych latach, był łotrem lub głupcem? Paweł był z pewnością człowiekiem tak samo inteligentnym, jak każdy z nas. Jeśli List do Hebrajczyków został napisany przez kogoś innego, mamy tu kolejnego człowieka o wysokiej duchowej wnikliwości i mocy intelektualnej. Byli Barnaba i Apollos, i Klemens, i Polikarp, i tak dalej, i tak dalej. Kościół ma i miał ludzi rozsądnych i inteligentnych przez wszystkie lata. Zaczynając od tego, co</w:t>
      </w:r>
      <w:r>
        <w:t xml:space="preserve"> </w:t>
      </w:r>
      <w:r>
        <w:rPr>
          <w:b/>
          <w:bCs/>
        </w:rPr>
        <w:t xml:space="preserve">wiedzieli</w:t>
      </w:r>
      <w:r>
        <w:t xml:space="preserve">, że jest czystym tekstem, najwcześniejsi Ojcowie nie musieli być krytykami tekstu. Musieli tylko być dość uczciwi i ostrożni. Ale czy nie ma dobrych powodów, aby sądzić, że byli</w:t>
      </w:r>
      <w:r>
        <w:t xml:space="preserve"> </w:t>
      </w:r>
      <w:r>
        <w:rPr>
          <w:b/>
          <w:bCs/>
        </w:rPr>
        <w:t xml:space="preserve">szczególnie</w:t>
      </w:r>
      <w:r>
        <w:t xml:space="preserve"> </w:t>
      </w:r>
      <w:r>
        <w:t xml:space="preserve">czujni i ostrożni?</w:t>
      </w:r>
    </w:p>
    <w:p>
      <w:pPr>
        <w:pStyle w:val="BodyText"/>
      </w:pPr>
      <w:r>
        <w:rPr>
          <w:i/>
          <w:iCs/>
        </w:rPr>
        <w:t xml:space="preserve">Apostołowie</w:t>
      </w:r>
    </w:p>
    <w:p>
      <w:pPr>
        <w:pStyle w:val="BodyText"/>
      </w:pPr>
      <w:r>
        <w:t xml:space="preserve">Apostołowie nie tylko sami ogłosili pisma Nowego Testamentu Pismem Świętym, co wywołało szacunek i troskę w ich traktowaniu, ale także wyraźnie ostrzegli wierzących, aby mieli się na baczności przed fałszywymi nauczycielami. Rozważ Dzieje Apostolskie 21,28-31. „Więc uważajcie na siebie i na całe stado, w którym Duch Święty umieścił was jako nadzorców, do wypasania zgromadzenia Pana i Boga</w:t>
      </w:r>
      <w:r>
        <w:rPr>
          <w:rStyle w:val="FootnoteReference"/>
        </w:rPr>
        <w:footnoteReference w:id="112"/>
      </w:r>
      <w:r>
        <w:t xml:space="preserve">, które nabył On Swoją własną krwią. Wiem bowiem to, że po moim odejściu wejdą między was okrutne wilki, nie oszczędzając stada. Tak, spośród was samych powstaną ludzie, głosząc wypaczone rzeczy, aby odciągnąć uczniów za sobą. Dlatego bądźcie czujni”. Czy Paweł mógłby wyrazić się jaśniej?</w:t>
      </w:r>
    </w:p>
    <w:p>
      <w:pPr>
        <w:pStyle w:val="BodyText"/>
      </w:pPr>
      <w:r>
        <w:t xml:space="preserve">Rozważ teraz List do Galacjan 1,6-9. „Jestem niemiło zaskoczony, że tak szybko odwracacie się od tego, który powołał was łaską Chrystusa, ku innej ewangelii – nie jest to jedynie wariant, ale niektórzy ludzie niepokoją was i chcą zniekształcić Ewangelię Chrystusa. A nawet gdybyśmy my lub anioł z nieba głosił wam ewangelię inną niż ta, którą wam głosiliśmy, niech będzie przeklęty! Tak jak właśnie powiedzieliśmy, powtarzam tutaj stanowczo: jeśli ktoś głosi wam ewangelię inną niż ta, którą otrzymaliście, niech będzie przeklęty!!”</w:t>
      </w:r>
      <w:r>
        <w:rPr>
          <w:rStyle w:val="FootnoteReference"/>
        </w:rPr>
        <w:footnoteReference w:id="113"/>
      </w:r>
      <w:r>
        <w:t xml:space="preserve"> </w:t>
      </w:r>
      <w:r>
        <w:t xml:space="preserve">Czy Paweł mógłby wyrazić się jeszcze bardziej stanowczo? Zwróć uwagę, że Paweł twierdzi, iż jest kompetentny do zdefiniowania jedynej prawdziwej Ewangelii Chrystusa, a mógł to zrobić prawdziwie tylko dzięki natchnieniu boskiemu.</w:t>
      </w:r>
    </w:p>
    <w:p>
      <w:pPr>
        <w:pStyle w:val="BodyText"/>
      </w:pPr>
      <w:r>
        <w:t xml:space="preserve">Rozważ teraz 2 List Piotra 2,1-2. „Jednakże, byli również fałszywi prorocy pośród ludu, tak jak, w istocie, będą pośród was fałszywi nauczyciele, którzy wprowadzą destrukcyjne herezje, nawet zaprzeczając Właściciela, który ich wykupił (przynosząc na siebie szybką zagładę). I wielu pójdzie ich rozwiązłymi drogami, przez co droga Prawdy zostanie zniesławiona”. Piotr ostrzegł wierzących, aby mieli się na baczności przed fałszywymi nauczycielami.</w:t>
      </w:r>
    </w:p>
    <w:p>
      <w:pPr>
        <w:pStyle w:val="BodyText"/>
      </w:pPr>
      <w:r>
        <w:t xml:space="preserve">A dalej jest 2 List Jana 1,7;9-11. „Gdyż wielu oszustów przyszło na świat,</w:t>
      </w:r>
      <w:r>
        <w:rPr>
          <w:rStyle w:val="FootnoteReference"/>
        </w:rPr>
        <w:footnoteReference w:id="114"/>
      </w:r>
      <w:r>
        <w:t xml:space="preserve"> </w:t>
      </w:r>
      <w:r>
        <w:t xml:space="preserve">którzy nie uznają Jezusa Chrystusa jako przychodzącego w ciele</w:t>
      </w:r>
      <w:r>
        <w:rPr>
          <w:rStyle w:val="FootnoteReference"/>
        </w:rPr>
        <w:footnoteReference w:id="115"/>
      </w:r>
      <w:r>
        <w:t xml:space="preserve"> </w:t>
      </w:r>
      <w:r>
        <w:t xml:space="preserve">– to jest oszust, a nawet Antychryst!”, „Każdy, kto się odwraca i nie trwa w nauczaniu Chrystusa, nie ma Boga, ale każdy, kto trwa w nauczaniu Chrystusa, ma zarówno Ojca, jak i Syna. Jeśli ktoś przychodzi do was i nie przynosi tej nauki, nie przyjmujcie go do waszego domu, nie mówcie mu nawet: «Życzę ci wszystkiego dobrego», bo każdy, kto mu mówi: «Życzę ci wszystkiego dobrego», uczestniczy w jego zgubnych dziełach”</w:t>
      </w:r>
      <w:r>
        <w:rPr>
          <w:rStyle w:val="FootnoteReference"/>
        </w:rPr>
        <w:footnoteReference w:id="116"/>
      </w:r>
      <w:r>
        <w:t xml:space="preserve">. Niektórzy mogą odczuwać, że język Jana jest nieco ostry, ale on zdecydowanie ostrzegał ich. Wracając do wersetu 7, Tekst zawiera „przychodzącego”, a nie „przybyłego”, więc ewidentnie Jan odnosi się do powtórnego przyjścia Chrystusa, które z pewnością będzie „w ciele”. Przypomnij sobie słowa aniołów w Dziejach Apostolskich 1,11.</w:t>
      </w:r>
    </w:p>
    <w:p>
      <w:pPr>
        <w:pStyle w:val="BodyText"/>
      </w:pPr>
      <w:r>
        <w:t xml:space="preserve">Oświadczenie Piotra dotyczące „przekręcania”, któremu poddawano słowa Pawła (2 List Piotra 3,16) sugeruje, że istniała świadomość i troska co do tekstu i sposobu, w jaki się z nim obchodzono. Uznaję, że Apostołowie skupiali się na interpretacji zamiast na kopiowaniu tekstu, a jednak, jako że każda zmiana tekstu może skutkować odmienną interpretacją, możemy rozsądnie wnioskować, że ich troska o prawdę obejmowała wierne przekazywanie tekstu.</w:t>
      </w:r>
    </w:p>
    <w:p>
      <w:pPr>
        <w:pStyle w:val="BodyText"/>
      </w:pPr>
      <w:r>
        <w:t xml:space="preserve">Rzeczywiście, trudno byłoby znaleźć wyraźniejsze odzwierciedlenie tej troski niż to zawarte w Objawieniu Jana 22,18-19. „Ja sam świadczę wszystkim, którzy słyszą słów proroctwa tej księgi: Jeśli ktokolwiek doda do nich, niech Bóg doda</w:t>
      </w:r>
      <w:r>
        <w:t xml:space="preserve"> </w:t>
      </w:r>
      <w:r>
        <w:rPr>
          <w:b/>
          <w:bCs/>
        </w:rPr>
        <w:t xml:space="preserve">mu</w:t>
      </w:r>
      <w:r>
        <w:t xml:space="preserve"> </w:t>
      </w:r>
      <w:r>
        <w:t xml:space="preserve">siedem plag wypisanych w tej księdze! A jeśli ktokolwiek zabierze ze sł</w:t>
      </w:r>
      <w:r>
        <w:rPr>
          <w:b/>
          <w:bCs/>
        </w:rPr>
        <w:t xml:space="preserve">ów</w:t>
      </w:r>
      <w:r>
        <w:rPr>
          <w:rStyle w:val="FootnoteReference"/>
        </w:rPr>
        <w:footnoteReference w:id="117"/>
      </w:r>
      <w:r>
        <w:t xml:space="preserve"> </w:t>
      </w:r>
      <w:r>
        <w:t xml:space="preserve">księgi tego proroctwa, niech Bóg odejmie jego udział z drzewa życia i ze Świętego Miasta, które są opisane w tej księdze!” Ponieważ to uwielbiony Chrystus przemawia, czyż każdy prawdziwy Jego naśladowca nie zwróci szczególną uwagę?</w:t>
      </w:r>
    </w:p>
    <w:p>
      <w:pPr>
        <w:pStyle w:val="BodyText"/>
      </w:pPr>
      <w:r>
        <w:t xml:space="preserve">Suwerenny Jezus wyraźnie wyraził tę ochronną troskę na początku Swojej ziemskiej służby. W Ewangelii Mateusza 5,19 czytamy: „ktokolwiek unieważni jedno z najmniejszych z tych przykazań i tak naucza ludzi…”. Zwróć uwagę, „jedno z najmniejszych” – troska Pana rozciąga się nawet na „najmniejsze”.</w:t>
      </w:r>
    </w:p>
    <w:p>
      <w:pPr>
        <w:pStyle w:val="BodyText"/>
      </w:pPr>
      <w:r>
        <w:rPr>
          <w:i/>
          <w:iCs/>
        </w:rPr>
        <w:t xml:space="preserve">Pierwsi liderzy</w:t>
      </w:r>
    </w:p>
    <w:p>
      <w:pPr>
        <w:pStyle w:val="BodyText"/>
      </w:pPr>
      <w:r>
        <w:t xml:space="preserve">Pierwsi liderzy dostarczają kilku pomocnych wskazówek dotyczących stanu rzeczy w ich czasach. Listy Ignacego zawierają kilka odniesień do intensywnych kontaktów między kościołami (Azji Mniejszej, Grecji i Rzymu) za pośrednictwem posłańców (często oficjalnych), co wydaje się wskazywać na głębokie poczucie solidarności łączącej ich ze sobą oraz szerokie rozpowszechnianie wiadomości i opinii – problem z heretykiem w jednym miejscu szybko stawał się znany wszędzie, itd. Że istniało silne przekonanie o integralności Świętych Pism, jasno pokazuje Polikarp (7,1): „Ktokolwiek wypacza słowa Pana… ten jest pierworodnym Szatana”. Współcześni krytycy mogą nie lubić terminologii Polikarpa, ale użycie przez niego tak mocnego języka jasno pokazuje, że nie był on jedynie świadomy i zaniepokojony, on był</w:t>
      </w:r>
      <w:r>
        <w:t xml:space="preserve"> </w:t>
      </w:r>
      <w:r>
        <w:rPr>
          <w:b/>
          <w:bCs/>
        </w:rPr>
        <w:t xml:space="preserve">wzburzony</w:t>
      </w:r>
      <w:r>
        <w:t xml:space="preserve">.</w:t>
      </w:r>
    </w:p>
    <w:p>
      <w:pPr>
        <w:pStyle w:val="BodyText"/>
      </w:pPr>
      <w:r>
        <w:t xml:space="preserve">Podobnie, Justyn Męczennik mówi (Apologia I</w:t>
      </w:r>
      <w:r>
        <w:rPr>
          <w:rStyle w:val="FootnoteReference"/>
        </w:rPr>
        <w:footnoteReference w:id="118"/>
      </w:r>
      <w:r>
        <w:t xml:space="preserve">, 58): „okropne demony wysunęły także Marcjona z Pontu”. Ponownie, tak mocny język jasno pokazuje, że był on świadomy i zaniepokojony. A w</w:t>
      </w:r>
      <w:r>
        <w:t xml:space="preserve"> </w:t>
      </w:r>
      <w:r>
        <w:rPr>
          <w:i/>
          <w:iCs/>
        </w:rPr>
        <w:t xml:space="preserve">Dialogu z Żydem Tryfonem</w:t>
      </w:r>
      <w:r>
        <w:rPr>
          <w:rStyle w:val="FootnoteReference"/>
        </w:rPr>
        <w:footnoteReference w:id="119"/>
      </w:r>
      <w:r>
        <w:t xml:space="preserve"> </w:t>
      </w:r>
      <w:r>
        <w:t xml:space="preserve">XXXV [rozdział 35, przyp. tłum.] mówi o heretykach nauczających doktryn duchów błędu, fakt ten „sprawia, iż my, którzy jesteśmy uczniami prawdziwej i czystej doktryny Jezusa Chrystusa, stajemy się bardziej wierni i niezłomni w nadziei ogłoszonej przez Niego.”</w:t>
      </w:r>
    </w:p>
    <w:p>
      <w:pPr>
        <w:pStyle w:val="BodyText"/>
      </w:pPr>
      <w:r>
        <w:t xml:space="preserve">Wydaje się oczywiste, że działalność heretycka miałaby dokładnie taki skutek, postawienia wiernych na baczności i zmuszenia ich do zdefiniowania w swoich własnych umysłach tego, czego zamierzają bronić. Tak więc okrojony kanon Marcjona ewidentnie pobudził wiernych do zdefiniowania prawdziwego kanonu. Ale Marcjon zmienił również sformułowania Listów Łukasza i Pawła, a z ich gorzkich skarg jasno wynika, że wierni byli zarówno świadomi, jak i zaniepokojeni. Na marginesie możemy zauważyć, że działalność heretycka dostarcza również niebezpośredniego dowodu na to, że pisma Nowego Testamentu były uważane za Pismo Święte – po co fatygować się fałszowaniem ich, jeśli nie miały one autorytetu?</w:t>
      </w:r>
    </w:p>
    <w:p>
      <w:pPr>
        <w:pStyle w:val="BodyText"/>
      </w:pPr>
      <w:r>
        <w:t xml:space="preserve">Dionizy, biskup Koryntu (168-176), skarżył się, że jego własne listy zostały przerobione, a co gorsza, również Pismo Święte.</w:t>
      </w:r>
    </w:p>
    <w:p>
      <w:pPr>
        <w:pStyle w:val="BodyText"/>
      </w:pPr>
      <w:r>
        <w:t xml:space="preserve">I upierali się, że otrzymali czystą tradycję. Tak więc Ireneusz powiedział, że doktryna apostołów została przekazana przez sukcesję biskupów, strzeżona i zachowana, bez żadnego podrabiania Świętych Pism, nie dopuszczając ani dodatków, ani skrótów, obejmując publiczne czytanie bez zafałszowań (</w:t>
      </w:r>
      <w:r>
        <w:rPr>
          <w:i/>
          <w:iCs/>
        </w:rPr>
        <w:t xml:space="preserve">Przeciw heretykom</w:t>
      </w:r>
      <w:r>
        <w:t xml:space="preserve"> </w:t>
      </w:r>
      <w:r>
        <w:t xml:space="preserve">IV. 32:8).</w:t>
      </w:r>
    </w:p>
    <w:p>
      <w:pPr>
        <w:pStyle w:val="BodyText"/>
      </w:pPr>
      <w:r>
        <w:t xml:space="preserve">Tertulian, również, mówi o swoim prawie do Pism Nowego Testamentu: „Posiadam pewne akty własności od samych pierwotnych właścicieli… Jestem spadkobiercą apostołów. Tak jak oni starannie przygotowali swoją wolę i testament, i powierzyli je w zarząd… tak samo ja je posiadam”.</w:t>
      </w:r>
      <w:r>
        <w:rPr>
          <w:rStyle w:val="FootnoteReference"/>
        </w:rPr>
        <w:footnoteReference w:id="120"/>
      </w:r>
    </w:p>
    <w:p>
      <w:pPr>
        <w:pStyle w:val="BodyText"/>
      </w:pPr>
      <w:r>
        <w:rPr>
          <w:i/>
          <w:iCs/>
        </w:rPr>
        <w:t xml:space="preserve">Ireneusz</w:t>
      </w:r>
    </w:p>
    <w:p>
      <w:pPr>
        <w:pStyle w:val="BodyText"/>
      </w:pPr>
      <w:r>
        <w:t xml:space="preserve">W celu zapewnienia dokładności transkrypcji autorzy czasami dodawali na końcu swoich dzieł literackich wezwanie skierowane do przyszłych kopistów. Dlatego, na przykład, Ireneusz dołączył na końcu swojego traktatu</w:t>
      </w:r>
      <w:r>
        <w:t xml:space="preserve"> </w:t>
      </w:r>
      <w:r>
        <w:rPr>
          <w:i/>
          <w:iCs/>
        </w:rPr>
        <w:t xml:space="preserve">O Ogdoadzie</w:t>
      </w:r>
      <w:r>
        <w:t xml:space="preserve"> </w:t>
      </w:r>
      <w:r>
        <w:t xml:space="preserve">następującą notatkę: „Zaklinam was, którzy będziecie kopiować tę księgę, przez naszego Pana Jezusa Chrystusa i Jego chwalebne nadejście, kiedy przyjdzie osądzić żywych i umarłych, abyście porównywali to, co przepisujecie, i starannie poprawiali w oparciu o ten rękopis, z którego kopiujecie, a także, abyście przepisali to wezwanie i umieścili je w kopii”.</w:t>
      </w:r>
      <w:r>
        <w:rPr>
          <w:rStyle w:val="FootnoteReference"/>
        </w:rPr>
        <w:footnoteReference w:id="121"/>
      </w:r>
    </w:p>
    <w:p>
      <w:pPr>
        <w:pStyle w:val="BodyText"/>
      </w:pPr>
      <w:r>
        <w:t xml:space="preserve">Jeżeli Ireneusz podejmował tak ekstremalne środki ostrożności, w celu wiernego przekazywania własnego dzieła, to o ileż bardziej troszczyłby się o wierne kopiowanie Słowa Bożego? W rzeczywistości demonstruje on swoją troskę o dokładność tekstu, broniąc tradycyjnego odczytu</w:t>
      </w:r>
      <w:r>
        <w:t xml:space="preserve"> </w:t>
      </w:r>
      <w:r>
        <w:rPr>
          <w:b/>
          <w:bCs/>
        </w:rPr>
        <w:t xml:space="preserve">pojedynczej litery</w:t>
      </w:r>
      <w:r>
        <w:t xml:space="preserve">. Pytanie brzmi, czy apostoł Jan napisał χξς̓ (666) czy χις̓ (616) w Księdze Objawienia 13,18. Ireneusz zapewnia, że 666 znajduje się „we wszystkich najbardziej uznanych i najstarszych kopiach” i że „ci, którzy widzieli Jana twarzą w twarz”, świadczą o tym. Ostrzega też tych, którzy dokonali zmiany (pojedynczej litery), że „nie będzie łagodnej kary dla tego, kto albo coś dodaje albo ujmie z Pisma Świętego” (xxx.1 [rozdział 30, paragraf 1, przyp. tłum.]). Przypuszczalnie Ireneusz odnosi się do Księgi Objawienia 22,18-19.</w:t>
      </w:r>
    </w:p>
    <w:p>
      <w:pPr>
        <w:pStyle w:val="BodyText"/>
      </w:pPr>
      <w:r>
        <w:t xml:space="preserve">Biorąc pod uwagę bliskie relacje Polikarpa z Janem, jego prywatna kopia Księgi Objawienia najprawdopodobniej została przepisana z Autografu. A biorąc pod uwagę wielki szacunek Ireneusza do Polikarpa, jego prywatna kopia Księgi Objawienia prawdopodobnie została przepisana z kopii Polikarpa. Chociaż Ireneusz najwyraźniej nie był już w stanie odnieść się do Autografu (niecałe dziewięćdziesiąt lat po jego napisaniu!), był ewidentnie w stanie zidentyfikować wierną kopię i z całą pewnością stwierdzić, jak brzmiał oryginalny tekst – to w 186 roku. Co prowadzi nas do Tertuliana.</w:t>
      </w:r>
    </w:p>
    <w:p>
      <w:pPr>
        <w:pStyle w:val="BodyText"/>
      </w:pPr>
      <w:r>
        <w:rPr>
          <w:i/>
          <w:iCs/>
        </w:rPr>
        <w:t xml:space="preserve">Tertulian</w:t>
      </w:r>
    </w:p>
    <w:p>
      <w:pPr>
        <w:pStyle w:val="BodyText"/>
      </w:pPr>
      <w:r>
        <w:t xml:space="preserve">Około roku 208 nawoływał heretyków do udania się do kościołów apostolskich, w których trony apostołów nadal górują w swoich miejscach, w których czytane są ich autentyczne pisma (</w:t>
      </w:r>
      <w:r>
        <w:rPr>
          <w:i/>
          <w:iCs/>
        </w:rPr>
        <w:t xml:space="preserve">authenticae</w:t>
      </w:r>
      <w:r>
        <w:t xml:space="preserve"> </w:t>
      </w:r>
      <w:r>
        <w:t xml:space="preserve">[z łac. prawdziwie, autentyczne, przyp. tłum.]), wyrażające głos i reprezentujące twarz każdego z nich z osobna. Achaja jest bardzo blisko was, (w której) znajduje się Korynt. Ponieważ nie jesteście daleko od Macedonii, macie Filippi, (a tam też) macie Tesaloniczan. Ponieważ możecie przeprawić się do Azji, macie Efez. Ponieważ ponadto jesteście blisko Włoch, macie Rzym, z którego dociera nawet do naszych własnych rąk sam autorytet (samych apostołów).</w:t>
      </w:r>
      <w:r>
        <w:t xml:space="preserve"> </w:t>
      </w:r>
      <w:r>
        <w:rPr>
          <w:rStyle w:val="FootnoteReference"/>
        </w:rPr>
        <w:footnoteReference w:id="122"/>
      </w:r>
    </w:p>
    <w:p>
      <w:pPr>
        <w:pStyle w:val="BodyText"/>
      </w:pPr>
      <w:r>
        <w:t xml:space="preserve">Niektórzy uważali, że Tertulian twierdził, że autografy Pawła były nadal czytane w jego czasach (208), ale na pewno miał na myśli przynajmniej, że korzystali z wiernych kopii. Czy coś innego można było oczekiwać? Na przykład, gdy Chrześcijanie z Efezu widzieli, że Autograf listu Pawła do nich zaczyna się niszczyć, czyż nie wykonaliby starannie identycznej kopii do swojego dalszego użytku, a która zawierałaby oświadczenie o tym, że została ona uwierzytelniona? Czy pozwoliliby Autografowi zginąć bez wykonania takiej kopii? (Musiał być ciągły napływ ludzi, którzy przychodzili, albo aby zrobić kopie ich listu, albo aby zweryfikować poprawność odczytu). Uważam, że jesteśmy zobowiązani do wniosku, że w roku 200 Kościół w Efezie nadal był w stanie poświadczyć oryginalne sformułowania swojego listu (i tak samo w przypadku innych) – ale jest to współczesne z papirusami P</w:t>
      </w:r>
      <w:r>
        <w:rPr>
          <w:vertAlign w:val="superscript"/>
        </w:rPr>
        <w:t xml:space="preserve">46</w:t>
      </w:r>
      <w:r>
        <w:t xml:space="preserve">, P</w:t>
      </w:r>
      <w:r>
        <w:rPr>
          <w:vertAlign w:val="superscript"/>
        </w:rPr>
        <w:t xml:space="preserve">66</w:t>
      </w:r>
      <w:r>
        <w:t xml:space="preserve"> </w:t>
      </w:r>
      <w:r>
        <w:t xml:space="preserve">i P</w:t>
      </w:r>
      <w:r>
        <w:rPr>
          <w:vertAlign w:val="superscript"/>
        </w:rPr>
        <w:t xml:space="preserve">75</w:t>
      </w:r>
      <w:r>
        <w:rPr>
          <w:rStyle w:val="FootnoteReference"/>
        </w:rPr>
        <w:footnoteReference w:id="123"/>
      </w:r>
      <w:r>
        <w:t xml:space="preserve">!</w:t>
      </w:r>
    </w:p>
    <w:p>
      <w:pPr>
        <w:pStyle w:val="BodyText"/>
      </w:pPr>
      <w:r>
        <w:t xml:space="preserve">Zarówno Justyn Męczennik, jak i Ireneusz twierdzili, że Kościół był w ich czasach rozprzestrzeniony po całej ziemi – pamiętaj, że Ireneusz w 177 roku został biskupem Lyonu w</w:t>
      </w:r>
      <w:r>
        <w:t xml:space="preserve"> </w:t>
      </w:r>
      <w:r>
        <w:rPr>
          <w:b/>
          <w:bCs/>
        </w:rPr>
        <w:t xml:space="preserve">Galii</w:t>
      </w:r>
      <w:r>
        <w:t xml:space="preserve"> </w:t>
      </w:r>
      <w:r>
        <w:t xml:space="preserve">i nie był pierwszym biskupem w tym regionie. Łącząc tę informację z oświadczeniem Justyna, że wspomnienia apostołów były czytane w każdą niedzielę podczas zgromadzeń, staje się jasne, że musiały istnieć tysiące kopii pism Nowego Testamentu w użyciu do 200 roku n.e. Każde zgromadzenie potrzebowało co najmniej jednej kopii do czytania, i musiały istnieć prywatne kopie wśród tych, którzy mogli sobie na nie pozwolić.</w:t>
      </w:r>
    </w:p>
    <w:p>
      <w:pPr>
        <w:pStyle w:val="BodyText"/>
      </w:pPr>
      <w:r>
        <w:t xml:space="preserve">Mamy obiektywne dowody historyczne potwierdzające następujące tezy:</w:t>
      </w:r>
      <w:r>
        <w:t xml:space="preserve"> </w:t>
      </w:r>
      <w:r>
        <w:t xml:space="preserve">- Prawdziwy tekst nigdy nie został „zagubiony”.</w:t>
      </w:r>
      <w:r>
        <w:t xml:space="preserve"> </w:t>
      </w:r>
      <w:r>
        <w:t xml:space="preserve">- W 200 roku n.e. nadal można było weryfikować i potwierdzać dokładne oryginalne sformułowania kilku ksiąg.</w:t>
      </w:r>
      <w:r>
        <w:t xml:space="preserve"> </w:t>
      </w:r>
      <w:r>
        <w:t xml:space="preserve">- Nie było zatem potrzeby stosowania krytyki tekstu, a wszelkie tego typu działania byłyby sztuczne.</w:t>
      </w:r>
    </w:p>
    <w:p>
      <w:pPr>
        <w:pStyle w:val="BodyText"/>
      </w:pPr>
      <w:r>
        <w:t xml:space="preserve">Dyscyplina krytyki tekstu (jakiegokolwiek tekstu) bazuje na założeniu/insynuacji/oświadczeniu, że istnieją uzasadnione wątpliwości co do dokładnego oryginalnego sformułowania tekstu. Nikt nie zajmuje się krytyką tekstu na przykład Biblii Króla Jakuba z 1611 roku, ponieważ nadal istnieją egzemplarze oryginalnego wydania. W odniesieniu do krytyki tekstu Nowego Testamentu</w:t>
      </w:r>
      <w:r>
        <w:t xml:space="preserve"> </w:t>
      </w:r>
      <w:r>
        <w:rPr>
          <w:b/>
          <w:bCs/>
        </w:rPr>
        <w:t xml:space="preserve">kluczową kwestią jest zachowanie jego Tekstu. Aby jakikolwiek tekst miał obiektywny autorytet, musimy wiedzieć, czym on jest.</w:t>
      </w:r>
    </w:p>
    <w:p>
      <w:pPr>
        <w:pStyle w:val="BodyText"/>
      </w:pPr>
      <w:r>
        <w:t xml:space="preserve">Jednakże, kontynuując, przypuszczalnie niektóre obszary mogą znajdować się w lepszej sytuacji, jeśli chodzi o ochronę i przekazywanie prawdziwego tekstu niż inne.</w:t>
      </w:r>
    </w:p>
    <w:bookmarkEnd w:id="124"/>
    <w:bookmarkStart w:id="138" w:name="kto-miał-najlepsze-kwalifikacje"/>
    <w:p>
      <w:pPr>
        <w:pStyle w:val="Heading3"/>
      </w:pPr>
      <w:r>
        <w:t xml:space="preserve">Kto miał najlepsze kwalifikacje?</w:t>
      </w:r>
    </w:p>
    <w:p>
      <w:pPr>
        <w:pStyle w:val="FirstParagraph"/>
      </w:pPr>
      <w:r>
        <w:t xml:space="preserve">Jakie czynniki byłyby istotne dla zagwarantowania lub przynajmniej ułatwienia wiernego przekazywania tekstu pism Nowego Testamentu? Uważam, że istnieją cztery czynniki decydujące: dostęp do Autografów, biegłość w języku źródłowym, siła Kościoła oraz odpowiednie nastawienie do Tekstu.</w:t>
      </w:r>
    </w:p>
    <w:p>
      <w:pPr>
        <w:pStyle w:val="BodyText"/>
      </w:pPr>
      <w:r>
        <w:rPr>
          <w:i/>
          <w:iCs/>
        </w:rPr>
        <w:t xml:space="preserve">Dostęp do Autografów</w:t>
      </w:r>
    </w:p>
    <w:p>
      <w:pPr>
        <w:pStyle w:val="BodyText"/>
      </w:pPr>
      <w:r>
        <w:t xml:space="preserve">Kryterium to stosowano prawdopodobnie przez znacznie mniej niż sto lat (w tym czasie Autografy zostały prawdopodobnie zużyte do cna), ale ma ono ogromne znaczenie dla właściwego zrozumienia historii przekazywania Tekstu. Już w roku 100 musiało istnieć wiele kopii różnych ksiąg (niektórych więcej niż innych), a jednocześnie z pewnością nadal było możliwe, aby porównać kopię z oryginałem lub kopią gwarantowaną, gdyby pojawiły się jakieś wątpliwości.</w:t>
      </w:r>
      <w:r>
        <w:rPr>
          <w:rStyle w:val="FootnoteReference"/>
        </w:rPr>
        <w:footnoteReference w:id="125"/>
      </w:r>
      <w:r>
        <w:t xml:space="preserve"> </w:t>
      </w:r>
      <w:r>
        <w:t xml:space="preserve">Rzecz w tym, że istniał rosnący strumień wiernie wykonanych kopii, pochodzących od posiadaczy Autografów do reszty świata Chrześcijańskiego. W tych wczesnych latach twórcy kopii wiedzieli, że prawdziwe sformułowania mogą być zweryfikowane, co zniechęcało ich do swobodnego traktowania tekstu.</w:t>
      </w:r>
    </w:p>
    <w:p>
      <w:pPr>
        <w:pStyle w:val="BodyText"/>
      </w:pPr>
      <w:r>
        <w:t xml:space="preserve">Jednak odległość prawdopodobnie miałaby znaczenie – dla kogoś z północnej Afryki konsultowanie Autografu Listu do Efezjan byłoby kosztownym przedsięwzięciem, zarówno pod względem czasu, jak i pieniędzy. Uważam, że możemy rozsądnie wnioskować, iż ogólnie jakość kopii byłaby najwyższa w obszarze otaczającym Autograf i stopniowo pogarszałaby się wraz ze wzrostem odległości. Istotne bariery geograficzne nasilałyby tę tendencję.</w:t>
      </w:r>
    </w:p>
    <w:p>
      <w:pPr>
        <w:pStyle w:val="BodyText"/>
      </w:pPr>
      <w:r>
        <w:t xml:space="preserve">Kto więc trzymał Autografy? Jeśli chodzi o regiony, można bez wątpienia stwierdzić, że Azja Mniejsza miała ich dwanaście (Ewangelia Jana, List do Galacjan, List do Efezjan, List do Kolosan, 1 i 2 List do Tymoteusza, List do Filemona, 1 List Piotra, 1, 2 i 3 List Jana oraz Objawienie Jana), można bez wątpienia stwierdzić, że Grecja miała sześć (1 i 2 List do Koryntian, List do Filipian, 1 i 2 List do Tesaloniczan oraz List do Tytusa na Krecie), można bez wątpienia stwierdzić, że Rzym miał dwa (Ewangelia Marka i List do Rzymian) — co do pozostałych, Ewangelia Łukasza, Dzieje Apostolskie i 2 List Piotra były prawdopodobnie trzymane albo w Azji Mniejszej, albo w Rzymie. Ewangelia Mateusza i List Jakuba albo przez Azję Mniejszą, albo Palestynę. List do Hebrajczyków przez Rzym lub Palestynę, natomiast trudno jest stwierdzić nawet prawdopodobieństwo dla List Judy, całkiem możliwe, że był przechowywany w Azji Mniejszej. Biorąc Azję Mniejszą i Grecję łącznie, obszar Morza Egejskiego trzymał Autografy co najmniej osiemnastu (dwie trzecie całości) i być może aż dwadzieścia cztery z dwudziestu siedmiu ksiąg Nowego Testamentu. Rzym trzymał co najmniej dwie, a być może, że aż siedem. Palestyna mogła trzymać aż trzy (ale w 70 r. n.e. zostały one wysłane w celu bezpiecznego przechowania, całkiem możliwe, że do Antiochii). Aleksandria (Egipt) nie posiadała</w:t>
      </w:r>
      <w:r>
        <w:t xml:space="preserve"> </w:t>
      </w:r>
      <w:r>
        <w:rPr>
          <w:b/>
          <w:bCs/>
        </w:rPr>
        <w:t xml:space="preserve">żadnej</w:t>
      </w:r>
      <w:r>
        <w:t xml:space="preserve">.</w:t>
      </w:r>
    </w:p>
    <w:p>
      <w:pPr>
        <w:pStyle w:val="BodyText"/>
      </w:pPr>
      <w:r>
        <w:t xml:space="preserve">Region Morza Egejskiego zdecydowanie miał najlepszy start, a Aleksandria najgorszy – tekst w Egipcie mógł być co najwyżej z drugiej ręki. Na tej podstawie możemy rozsądnie założyć, iż w najwcześniejszym okresie przekazywania tekstu Nowego Testamentu najbardziej wiarygodne kopie krążyły w regionie, w którym znajdowały się autografy. Przywołując dyskusję Tertuliana powyżej, uważam, że możemy rozsądnie rozszerzyć ten wniosek na rok 200 n.e. i kolejne lata. Tak więc w roku 200 ktoś szukający najlepszego tekstu Nowego Testamentu, prawdopodobnie udałby się do regionu Morza Egejskiego, z pewnością nie do Egiptu.</w:t>
      </w:r>
      <w:r>
        <w:t xml:space="preserve"> </w:t>
      </w:r>
      <w:r>
        <w:rPr>
          <w:rStyle w:val="FootnoteReference"/>
        </w:rPr>
        <w:footnoteReference w:id="126"/>
      </w:r>
    </w:p>
    <w:p>
      <w:pPr>
        <w:pStyle w:val="BodyText"/>
      </w:pPr>
      <w:r>
        <w:rPr>
          <w:i/>
          <w:iCs/>
        </w:rPr>
        <w:t xml:space="preserve">Biegłość w języku źródłowym</w:t>
      </w:r>
    </w:p>
    <w:p>
      <w:pPr>
        <w:pStyle w:val="BodyText"/>
      </w:pPr>
      <w:r>
        <w:t xml:space="preserve">Jako lingwista (z tytułem doktora) i osoba, która od lat para się procesem tłumaczenia Biblii, potwierdzam, że „doskonałe” tłumaczenie jest niemożliwe. (W rzeczywistości osiągnięcie choćby w miarę rozsądnego przybliżenia jest często wystarczająco trudne do osiągnięcia – obszary semantyczne słów po prostu nie pokrywają się lub pokrywają się tylko częściowo). Wynika z tego, że wszelka boska troska o dokładną formę Tekstu Nowego Testamentu musiałaby być przekazana za pośrednictwem języka Autografów – greki koine. Oczywiście starożytne Wersje (Syryjska, Łacińska, Koptyjska) mogą dać jasną wskazówkę w odniesieniu do głównych wariantów, ale precyzja jest możliwa tylko w języku greckim (w przypadku Nowego Testamentu). To tyle jako wprowadzenie, ale naszą główną kwestią tutaj są kopiści.</w:t>
      </w:r>
    </w:p>
    <w:p>
      <w:pPr>
        <w:pStyle w:val="BodyText"/>
      </w:pPr>
      <w:r>
        <w:t xml:space="preserve">Ręczne przepisywanie tekstu w języku, którego się nie rozumie, jest żmudnym zajęciem – stworzenie idealnej kopii jest niemal niemożliwe (spróbuj i przekonaj się!). Musiałbyś dosłownie kopiować literę po literze i nieustannie sprawdzać, czy się nie zgubiłeś. (Jest to jeszcze trudniejsze, gdy między słowami nie ma odstępów ani znaków interpunkcyjnych, jak miało to miejsce w przypadku Tekstu Nowego Testamentu we wczesnych wiekach). Jeśli jednak nie rozumiesz tekstu, będzie Ci bardzo trudno zachować czujność. Rozważ przypadek P</w:t>
      </w:r>
      <w:r>
        <w:rPr>
          <w:vertAlign w:val="superscript"/>
        </w:rPr>
        <w:t xml:space="preserve">66</w:t>
      </w:r>
      <w:r>
        <w:t xml:space="preserve">. Ten papirusowy rękopis jest prawdopodobnie najstarszym (ok. 200 r.) zachowanym rękopisem Nowego Testamentu o dowolnej wielkości (zawiera większość Ewangelii Jana). Jest to jedna z najgorszych kopii, jakie posiadamy. Zawiera średnio około dwóch błędów na werset – wiele z nich to oczywiste błędy, głupie błędy, bezsensowne błędy. Ze schematu błędów jasno wynika, że skryba kopiował sylaba po sylabie. Nie mam oporów przed stwierdzeniem, że osoba, która stworzyła P</w:t>
      </w:r>
      <w:r>
        <w:rPr>
          <w:vertAlign w:val="superscript"/>
        </w:rPr>
        <w:t xml:space="preserve">66</w:t>
      </w:r>
      <w:r>
        <w:t xml:space="preserve">, nie znała greckiego. Gdyby rozumiał tekst, nie popełniłby takiej liczby i takiego rodzaju błędów, jakie popełnił.</w:t>
      </w:r>
    </w:p>
    <w:p>
      <w:pPr>
        <w:pStyle w:val="BodyText"/>
      </w:pPr>
      <w:r>
        <w:t xml:space="preserve">Rozważ teraz tę kwestię z Bożego punktu widzenia. Komu powinien powierzyć główną odpowiedzialność za wierne przekazanie Tekstu Nowego Testamentu (przypomnij sobie 1 Księgę Kronik 16,15)? Jeśli Duch Święty miał brać aktywny udział w tym procesie, na czym powinien skupić swoje wysiłki? Przypuszczalnie przewagę mieliby ci, którzy biegle posługiwali się językiem greckim, a preferowane byłyby obszary, gdzie język ten pozostawał w aktywnym użyciu. Aby wierne przekazanie mogło nastąpić, kopiści musieli biegle posługiwać się językiem greckim i to przez długi czas. Gdzie więc dominował język grecki? Oczywiście w Grecji i Azji Mniejszej. Grecki do dziś jest językiem ojczystym Grecji (zmieniwszy się znacząco w ciągu upływających stuleci, jak każdy żywy język musi). Dominacja greckiego w regionie Morza Egejskiego była gwarantowana przez Cesarstwo Bizantyjskie przez wiele stuleci, w rzeczywistości aż do wynalezienia druku. Konstantynopol upadł zdobyty przez Turków Osmańskich w 1453 roku, Biblia Gutenberga (łacińska) została wydrukowana zaledwie trzy lata później, podczas gdy pierwszy drukowany grecki Nowy Testament pojawił się w 1516 roku. (Tym, którzy wierzą w Opatrzność, sugerowałbym, że mamy tu do czynienia z mocnym przykładem).</w:t>
      </w:r>
    </w:p>
    <w:p>
      <w:pPr>
        <w:pStyle w:val="BodyText"/>
      </w:pPr>
      <w:r>
        <w:t xml:space="preserve">A co z Egiptem? Już na początku ery chrześcijańskiej popularność języka greckiego w Egipcie malała. Bruce Metzger zauważa, że zhellenizowana część społeczeństwa egipskiego „stanowiła jedynie ułamek w porównaniu z liczbą rdzennych mieszkańców, którzy posługiwali się wyłącznie językami egipskimi”.</w:t>
      </w:r>
      <w:r>
        <w:rPr>
          <w:rStyle w:val="FootnoteReference"/>
        </w:rPr>
        <w:footnoteReference w:id="127"/>
      </w:r>
      <w:r>
        <w:t xml:space="preserve"> </w:t>
      </w:r>
      <w:r>
        <w:t xml:space="preserve">W III wieku spadek ten był już wyraźnie zaawansowany. Wcześniej argumentowałem, że kopista, który sporządził P</w:t>
      </w:r>
      <w:r>
        <w:rPr>
          <w:vertAlign w:val="superscript"/>
        </w:rPr>
        <w:t xml:space="preserve">66</w:t>
      </w:r>
      <w:r>
        <w:t xml:space="preserve"> </w:t>
      </w:r>
      <w:r>
        <w:t xml:space="preserve">(ok. 200 r.), nie znał greckiego. Rozważ teraz przypadek P</w:t>
      </w:r>
      <w:r>
        <w:rPr>
          <w:vertAlign w:val="superscript"/>
        </w:rPr>
        <w:t xml:space="preserve">75</w:t>
      </w:r>
      <w:r>
        <w:t xml:space="preserve"> </w:t>
      </w:r>
      <w:r>
        <w:t xml:space="preserve">(ok. 220 r.). E.C. Colwell przeanalizował P</w:t>
      </w:r>
      <w:r>
        <w:rPr>
          <w:vertAlign w:val="superscript"/>
        </w:rPr>
        <w:t xml:space="preserve">75</w:t>
      </w:r>
      <w:r>
        <w:t xml:space="preserve"> </w:t>
      </w:r>
      <w:r>
        <w:t xml:space="preserve">i znalazł około 145 itacyzmów</w:t>
      </w:r>
      <w:r>
        <w:rPr>
          <w:rStyle w:val="FootnoteReference"/>
        </w:rPr>
        <w:footnoteReference w:id="128"/>
      </w:r>
      <w:r>
        <w:t xml:space="preserve"> </w:t>
      </w:r>
      <w:r>
        <w:t xml:space="preserve">oraz 257 innych odczytów pojedynczych, z których 25% jest bezsensownych. Ze wzorca błędów jasno wynika, że kopista, który sporządził P</w:t>
      </w:r>
      <w:r>
        <w:rPr>
          <w:vertAlign w:val="superscript"/>
        </w:rPr>
        <w:t xml:space="preserve">75</w:t>
      </w:r>
      <w:r>
        <w:t xml:space="preserve">, kopiował literę po literze!</w:t>
      </w:r>
      <w:r>
        <w:rPr>
          <w:rStyle w:val="FootnoteReference"/>
        </w:rPr>
        <w:footnoteReference w:id="129"/>
      </w:r>
      <w:r>
        <w:t xml:space="preserve"> </w:t>
      </w:r>
      <w:r>
        <w:t xml:space="preserve">Oznacza to, że nie znał greckiego – podczas transkrypcji w języku, który znasz, kopiujesz frazę po frazie, a przynajmniej słowo po słowie. K. Aland twierdzi, że przed rokiem 200 tendencja zaczęła się odwracać od używania greki na obszarach, gdzie mówiono po łacinie, syryjsku lub koptyjsku, a pięćdziesiąt lat później przejście na języki lokalne było już bardzo zaawansowane.</w:t>
      </w:r>
      <w:r>
        <w:rPr>
          <w:rStyle w:val="FootnoteReference"/>
        </w:rPr>
        <w:footnoteReference w:id="130"/>
      </w:r>
    </w:p>
    <w:p>
      <w:pPr>
        <w:pStyle w:val="BodyText"/>
      </w:pPr>
      <w:r>
        <w:t xml:space="preserve">Ponownie region Morza Egejskiego jest zdecydowanie najlepiej wykwalifikowany do przekazywania Tekstu z pewnością i integralnością. Zauważ, że nawet gdyby Egipt zaczynał z dobrym tekstem, już pod koniec II wieku jego zdolność do przekazywania tekstu stopniowo się pogarszała. W rzeczywistości wczesne papirusy (one pochodzą z Egiptu) są wyraźnie gorszej jakości, jeśli rozpatrywać je pojedynczo, jak również prezentują raczej odmienne rodzaje tekstu (nie są one ze sobą zgodne).</w:t>
      </w:r>
    </w:p>
    <w:p>
      <w:pPr>
        <w:pStyle w:val="BodyText"/>
      </w:pPr>
      <w:r>
        <w:rPr>
          <w:i/>
          <w:iCs/>
        </w:rPr>
        <w:t xml:space="preserve">Siła Kościoła</w:t>
      </w:r>
    </w:p>
    <w:p>
      <w:pPr>
        <w:pStyle w:val="BodyText"/>
      </w:pPr>
      <w:r>
        <w:t xml:space="preserve">To pytanie ma znaczenie dla naszej dyskusji z dwóch powodów. Po pierwsze, prawo podaży i popytu działa w Kościele tak samo jak gdzie indziej. Tam, gdzie jest wiele zborów i wiernych, wzrasta popyt na kopie Pism Świętych. Po drugie, silny, ugruntowany Kościół zazwyczaj ma pewnych, doświadczonych przywódców – właśnie takich, którzy zwracają uwagę na jakość ich Pism Świętych i są w stanie coś z tym zrobić. W jakich więc obszarach wczesny Kościół był najsilniejszy?</w:t>
      </w:r>
    </w:p>
    <w:p>
      <w:pPr>
        <w:pStyle w:val="BodyText"/>
      </w:pPr>
      <w:r>
        <w:t xml:space="preserve">Chociaż Kościół niewątpliwie zaczął się w Jerozolimie, wczesne prześladowania i działalność apostołów spowodowały jego rozprzestrzenienie się. Wydaje się, że główny kierunek ekspansji przebiegał na północ, do Azji Mniejszej, oraz na zachód, do Europy. Jeśli wybór kościołów, do których skierowane zostały „listy” uwielbionego Chrystusa (Objawienie 2 i 3), może służyć za wskazówkę, to wydaje się, że do końca I wieku środek ciężkości Kościoła przesunął się z Palestyny do Azji Mniejszej. (Zniszczenie Jerozolimy przez armie rzymskie w 70 r. n.e. było prawdopodobnie jednym z czynników, które się do tego przyczyniły). Kurt Aland zgadza się z Adolfem Harnackiem, że „około 180 r. największa koncentracja kościołów znajdowała się w Azji Mniejszej i wzdłuż wybrzeża Morza Egejskiego w Grecji”. Kontynuuje: „Ogólne wrażenie jest takie, że koncentracja Chrześcijaństwa znajdowała się na Wschodzie… Nawet około 325 r. n.e. sytuacja pozostawała w dużej mierze niezmieniona. Azja Mniejsza pozostawała sercem Kościoła.”</w:t>
      </w:r>
      <w:r>
        <w:rPr>
          <w:rStyle w:val="FootnoteReference"/>
        </w:rPr>
        <w:footnoteReference w:id="131"/>
      </w:r>
      <w:r>
        <w:t xml:space="preserve"> </w:t>
      </w:r>
      <w:r>
        <w:t xml:space="preserve">„Serce Kościoła” – kto więc byłby w lepszej pozycji, by poświadczyć poprawny tekst Nowego Testamentu?</w:t>
      </w:r>
    </w:p>
    <w:p>
      <w:pPr>
        <w:pStyle w:val="BodyText"/>
      </w:pPr>
      <w:r>
        <w:t xml:space="preserve">A co z Egiptem? C.H. Roberts, w swojej naukowej analizie chrześcijańskich papirusów literackich z pierwszych trzech stuleci, wydaje się faworyzować wniosek, że w II wieku Kościół aleksandryjski był słaby i nie odgrywał znaczącej roli w greckim świecie chrześcijańskim.</w:t>
      </w:r>
      <w:r>
        <w:rPr>
          <w:rStyle w:val="FootnoteReference"/>
        </w:rPr>
        <w:footnoteReference w:id="132"/>
      </w:r>
      <w:r>
        <w:t xml:space="preserve"> </w:t>
      </w:r>
      <w:r>
        <w:t xml:space="preserve">Aland stwierdza: „Egipt wyróżniał się spośród innych prowincji Kościoła, na ile możemy to ocenić, wczesną dominacją gnostycyzmu”.</w:t>
      </w:r>
      <w:r>
        <w:rPr>
          <w:rStyle w:val="FootnoteReference"/>
        </w:rPr>
        <w:footnoteReference w:id="133"/>
      </w:r>
      <w:r>
        <w:t xml:space="preserve"> </w:t>
      </w:r>
      <w:r>
        <w:t xml:space="preserve">Dalej informuje nas, że „pod koniec II wieku” Kościół egipski był „w przeważającej mierze gnostycki”, a następnie dodaje: „Kopie istniejące w społecznościach gnostyckich nie mogły być używane, ponieważ podejrzewano, że były zniekształcone”.</w:t>
      </w:r>
      <w:r>
        <w:rPr>
          <w:rStyle w:val="FootnoteReference"/>
        </w:rPr>
        <w:footnoteReference w:id="134"/>
      </w:r>
      <w:r>
        <w:t xml:space="preserve"> </w:t>
      </w:r>
      <w:r>
        <w:t xml:space="preserve">No, to wszystko jest bardzo pouczające – innymi słowy, Aland mówi nam, że do 200 roku n.e. tradycji tekstowej w Egipcie</w:t>
      </w:r>
      <w:r>
        <w:t xml:space="preserve"> </w:t>
      </w:r>
      <w:r>
        <w:rPr>
          <w:b/>
          <w:bCs/>
        </w:rPr>
        <w:t xml:space="preserve">nie można było ufać</w:t>
      </w:r>
      <w:r>
        <w:t xml:space="preserve">. Ocena Alanda w tym miejscu jest najprawdopodobniej słuszna. Zwróć uwagę na to, co Bruce Metzger mówi o wczesnym Kościele w Egipcie:</w:t>
      </w:r>
    </w:p>
    <w:p>
      <w:pPr>
        <w:pStyle w:val="BlockText"/>
      </w:pPr>
      <w:r>
        <w:t xml:space="preserve">Wśród dokumentów chrześcijańskich, które w II wieku powstały w Egipcie lub krążyły tam zarówno wśród ortodoksów, jak i gnostyków, znajduje się wiele apokryficznych ewangelii, dziejów, listów i apokalips… Istnieją również fragmenty dzieł egzegetycznych i dogmatycznych napisanych przez chrześcijan aleksandryjskich, głównie gnostyków, w II wieku… W rzeczywistości, sądząc po komentarzach Klemensa Aleksandryjskiego, w II wieku w Egipcie reprezentowana była niemal każda odłamowa sekta chrześcijańska. Klemens wspomina o walentynianach, bazylidianach, marcionitach, peratach, enkratytach, doketystach, haimetytach, kainitach, ofitach, simonianach i eutychitach. Nie wiadomo, jaki odsetek chrześcijan w Egipcie w II wieku stanowili ortodoksi.</w:t>
      </w:r>
      <w:r>
        <w:rPr>
          <w:rStyle w:val="FootnoteReference"/>
        </w:rPr>
        <w:footnoteReference w:id="135"/>
      </w:r>
    </w:p>
    <w:p>
      <w:pPr>
        <w:pStyle w:val="FirstParagraph"/>
      </w:pPr>
      <w:r>
        <w:t xml:space="preserve">Musimy jednak zatrzymać się na chwilę, aby zastanowić się nad implikacjami wypowiedzi Alanda. Był on zagorzałym zwolennikiem typu tekstu egipskiego („aleksandryjskiego”), a jednak sam informuje nas, że aż do 200 r. n.e. tradycji tekstowej w Egipcie nie można było ufać oraz że do 200 r. użycie języka greckiego praktycznie tam wygasło. Na jakiej więc podstawie może on twierdzić, że tekst egipski stał się następnie najlepszy? Aland stwierdza również, że w II wieku, III wieku i na początku IV wieku Azja Mniejsza pozostawała „sercem Kościoła”. Oznacza to, że lepsze kwalifikacje obszaru Morza Egejskiego do ochrony, przekazywania i poświadczania Tekstu Nowego Testamentu przenoszą się do</w:t>
      </w:r>
      <w:r>
        <w:t xml:space="preserve"> </w:t>
      </w:r>
      <w:r>
        <w:rPr>
          <w:b/>
          <w:bCs/>
        </w:rPr>
        <w:t xml:space="preserve">IV wieku</w:t>
      </w:r>
      <w:r>
        <w:t xml:space="preserve">! Tak się składa, że Hort, Metzger i Aland (wraz z wieloma innymi) powiązali typ tekstu „bizantyjskiego” z Lucjanem z Antiochii, który zmarł w 311 roku. Naprawdę, czy tekst stworzony przez przywódcę w „sercu Kościoła” nie byłby lepszy niż cokolwiek, co wyewoluowało w Egipcie? Oczywiście zadaję powyższe pytanie tylko po to, by wskazać na ich niekonsekwencję. Typ tekstu „bizantyjskiego” istniał na długo przed Lucjanem.</w:t>
      </w:r>
    </w:p>
    <w:p>
      <w:pPr>
        <w:pStyle w:val="BodyText"/>
      </w:pPr>
      <w:r>
        <w:rPr>
          <w:i/>
          <w:iCs/>
        </w:rPr>
        <w:t xml:space="preserve">Nastawienie wobec Tekstu</w:t>
      </w:r>
    </w:p>
    <w:p>
      <w:pPr>
        <w:pStyle w:val="BodyText"/>
      </w:pPr>
      <w:r>
        <w:t xml:space="preserve">Tam, gdzie wymagana jest staranna praca, nastawienie osób, którym powierzono dane zadanie, ma zasadnicze znaczenie. Czy są świadomi? Czy się zgadzają? Jeśli nie rozumieją natury zadania, jakość prawdopodobnie ucierpi. Jeśli rozumieją, ale się nie zgadzają, mogą nawet uciec się do sabotażu – szkodliwa ewentualność. W przypadku ksiąg Nowego Testamentu możemy zacząć od pytania: Dlaczego miałyby powstawać kopie?</w:t>
      </w:r>
    </w:p>
    <w:p>
      <w:pPr>
        <w:pStyle w:val="BodyText"/>
      </w:pPr>
      <w:r>
        <w:t xml:space="preserve">Widzieliśmy, że wierni od początku uznawali autorytet pism Nowego Testamentu, więc sporządzanie kopii musiało rozpocząć się natychmiast. Autorzy wyraźnie zamierzali, by ich pisma krążyły, a jakość pism była tak oczywista, że wieść o nich szybko się rozchodziła i każdy zbór pragnął kopię. Fakt, że Klemens i Barnaba cytują i nawiązują do różnych ksiąg Nowego Testamentu już na przełomie I wieku, jasno wskazuje, że kopie były w obiegu. Korpus Pawłowy był znany Piotrowi przed 70 r. n.e. Polikarp (XIII) ok. 115 r., w odpowiedzi na prośbę kościoła w Filippi, wysłał do nich zbiór listów Ignacego, możliwe, że w ciągu pięciu lat od ich napisania przez Ignacego. Ewidentnie tworzenie kopii i zbiorów (wartościowych pism) było normalną procedurą, więc każdy zbór mógł mieć swój zestaw. Ignacy odnosił się do swobodnego podróżowania i wymiany między kościołami, a Justyn do cotygodniowej praktyki czytania Pism Świętych w zborach (musieli mieć kopie).</w:t>
      </w:r>
    </w:p>
    <w:p>
      <w:pPr>
        <w:pStyle w:val="BodyText"/>
      </w:pPr>
      <w:r>
        <w:t xml:space="preserve">Drugie pytanie brzmiałoby: Jakie było podejście kopistów do swojej pracy? Mamy już sedno odpowiedzi. Będąc naśladowcami Chrystusa i wierząc, że mają do czynienia z Pismem Świętym, do podstawowej uczciwości dodawali szacunek w obchodzeniu się z Tekstem już od początku. A do tego dochodziła czujność, ponieważ Apostołowie wielokrotnie i stanowczo ostrzegali ich przed fałszywymi nauczycielami. Z upływem lat, zakładając, że wierni byli osobami o co najmniej przeciętnej uczciwości i inteligencji, sporządzali oni staranne kopie rękopisów, które otrzymali od poprzedniego pokolenia, od osób, którym ufali, mając pewność, że przekazują prawdziwy tekst. W ich pracy zdarzały się przypadkowe błędy kopiowania, ale nie było celowych zmian.</w:t>
      </w:r>
    </w:p>
    <w:p>
      <w:pPr>
        <w:pStyle w:val="BodyText"/>
      </w:pPr>
      <w:r>
        <w:t xml:space="preserve">Należy zauważyć, że pierwsi chrześcijanie nie musieli być krytykami tekstu. Wychodząc od tekstu, o którym wiedzieli, że jest czysty, musieli jedynie być dość uczciwi i ostrożni. Twierdzę, że mamy dobre powody, by rozumieć, iż byli oni szczególnie czujni i ostrożni – zwłaszcza w pierwszych dziesięcioleciach. A w jednej linii przekazu było to kontynuowane. Sam zestawiłem co najmniej jedną księgę w ponad 120 manuskryptach należących do linii przekazu, którą nazywam Rodziną 35, posiadam doskonałe kopie co najmniej 22 z 27 ksiąg Nowego Testamentu, sporządzone w XI, XII, XIII, XIV i XV wieku. Aby kopia była doskonała w XIV wieku, wszyscy jej „przodkowie” musieli być doskonali, aż do archetypu rodziny. Uważam, że archetypem Rodziny 35 jest Autograf, ale jeśli nie, to musi on pochodzić przynajmniej z III wieku.</w:t>
      </w:r>
    </w:p>
    <w:p>
      <w:pPr>
        <w:pStyle w:val="BodyText"/>
      </w:pPr>
      <w:r>
        <w:t xml:space="preserve">Z biegiem czasu ukształtowały się regionalne postawy, nie wspominając już o regionalnej polityce. Istotnym czynnikiem jest powstanie tak zwanej „Szkoły Antiocheńskiej”. Począwszy od Teofila, biskupa Antiochii, który zmarł około 185 roku, mieszkańcy Antiochii zaczęli nalegać na dosłowną interpretację Pisma Świętego. Chodzi o to, że literalista jest zobowiązany do zwracania uwagi na dokładne sformułowania tekstu, ponieważ od tego zależy jego interpretacja lub egzegeza.</w:t>
      </w:r>
    </w:p>
    <w:p>
      <w:pPr>
        <w:pStyle w:val="BodyText"/>
      </w:pPr>
      <w:r>
        <w:t xml:space="preserve">Można rozsądnie założyć, że ta „literalistyczna” mentalność wywarła wpływ na kościoły Azji Mniejszej i Grecji oraz zachęciła je do starannego i wiernego przekazywania czystego tekstu, który otrzymały. Na przykład zachowane manuskrypty syryjskiej Peshitty nie mają sobie równych pod względem spójności. (Dla porównania, ponad 8 000 manuskryptów łacińskiej Wulgaty jest zdumiewających ze względu na swoje rozległe rozbieżności, a pod tym względem idą one za przykładem starołacińskich manuskryptów.) Nie jest nierozsądnie przypuszczać, że niechęć Antiochii wobec aleksandryjskiej alegorycznej interpretacji Pisma Świętego raczej zniechęcała ich do przychylnego patrzenia na jakiekolwiek konkurencyjne formy tekstu pochodzące z Egiptu. Podobnie kontrowersje Kwartodecyman z Rzymem</w:t>
      </w:r>
      <w:r>
        <w:rPr>
          <w:rStyle w:val="FootnoteReference"/>
        </w:rPr>
        <w:footnoteReference w:id="136"/>
      </w:r>
      <w:r>
        <w:t xml:space="preserve"> </w:t>
      </w:r>
      <w:r>
        <w:t xml:space="preserve">z pewnością nie zwiększały atrakcyjności jakichkolwiek innowacji pochodzących z Zachodu.</w:t>
      </w:r>
    </w:p>
    <w:p>
      <w:pPr>
        <w:pStyle w:val="BodyText"/>
      </w:pPr>
      <w:r>
        <w:t xml:space="preserve">Na tyle, na ile korzenie podejścia alegorycznego, które rozkwitło w Aleksandrii w III wieku, były już obecne, stanowiłyby one również czynnik negatywny. Ponieważ Filon z Aleksandrii był u szczytu swoich wpływów, gdy przybyli tam pierwsi chrześcijanie, możliwe jest, że jego alegoryczna interpretacja Starego Testamentu zaczęła wywierać wpływ na młody Kościół już w I wieku. Ponieważ alegorysta narzuca tekstowi swoje własne idee tak czy inaczej, prawdopodobnie miałby mniej oporów przed jego zmianą – precyzyjne sformułowania nie byłyby wysokim priorytetem.</w:t>
      </w:r>
    </w:p>
    <w:p>
      <w:pPr>
        <w:pStyle w:val="BodyText"/>
      </w:pPr>
      <w:r>
        <w:t xml:space="preserve">Szkoła krytyki literackiej, która istniała w Aleksandrii, również stanowiłaby czynnik negatywny, gdyby w ogóle wywarła wpływ na Kościół, a W.R. Farmer twierdzi, że tak właśnie było. „Istnieje jednak wiele dowodów na to, że już w czasach Euzebiusza aleksandryjskie praktyki krytyki tekstu były przestrzegane przynajmniej w niektórych skryptoriach, gdzie powstawały manuskrypty Nowego Testamentu. Kiedy dokładnie po raz pierwszy zastosowano aleksandryjskie zasady krytyki tekstu… nie wiadomo”.</w:t>
      </w:r>
      <w:r>
        <w:rPr>
          <w:rStyle w:val="FootnoteReference"/>
        </w:rPr>
        <w:footnoteReference w:id="137"/>
      </w:r>
      <w:r>
        <w:t xml:space="preserve"> </w:t>
      </w:r>
      <w:r>
        <w:t xml:space="preserve">Następnie sugeruje on, że szkoła chrześcijańska założona w Aleksandrii przez Pantaenusa około 180 roku musiała pozostawać pod wpływem uczonych z wielkiej biblioteki tego miasta. Chodzi o to, że zasady stosowane przy próbach „odtworzenia” dzieł Homera nie byłyby odpowiednie dla pism Nowego Testamentu, gdy nadal możliwe było odwołanie się do Autografów lub dokładnych kopii z nich sporządzonych.</w:t>
      </w:r>
    </w:p>
    <w:p>
      <w:pPr>
        <w:pStyle w:val="BodyText"/>
      </w:pPr>
      <w:r>
        <w:rPr>
          <w:i/>
          <w:iCs/>
        </w:rPr>
        <w:t xml:space="preserve">Wniosek</w:t>
      </w:r>
    </w:p>
    <w:p>
      <w:pPr>
        <w:pStyle w:val="BodyText"/>
      </w:pPr>
      <w:r>
        <w:t xml:space="preserve">Jaką odpowiedź na nasze pytanie dają „cztery czynniki decydujące”? Wszystkie cztery zgodnie głoszą: „Obszar Morza Egejskiego najlepiej kwalifikował się do ochrony, przekazywania i poświadczania prawdziwego tekstu pism Nowego Testamentu”. Było to prawdą w II wieku, było to prawdą w III wieku, pozostało prawdą w IV wieku. Gdzie więc w 350 r. n.e., w połowie IV wieku, powinniśmy się udać, aby znaleźć najbardziej poprawne kopie Nowego Testamentu? Do regionu Morza Egejskiego, a Egipt byłby ostatnim miejscem, do którego należałoby się udać. Jeżeli przekazywanie Tekstu Nowego Testamentu przebiegało w miarę normalnie, region Morza Egejskiego nadal posiadał najlepszy Tekst przez kolejne stulecia. Są jednak tacy, którzy twierdzą, że przekazywanie to nie przebiegało normalnie, więc teraz przejdę do tej kwestii.</w:t>
      </w:r>
    </w:p>
    <w:bookmarkEnd w:id="138"/>
    <w:bookmarkStart w:id="145" w:name="czy-przekazywanie-przebiegało-normalnie"/>
    <w:p>
      <w:pPr>
        <w:pStyle w:val="Heading3"/>
      </w:pPr>
      <w:r>
        <w:t xml:space="preserve">Czy przekazywanie przebiegało normalnie?</w:t>
      </w:r>
    </w:p>
    <w:p>
      <w:pPr>
        <w:pStyle w:val="FirstParagraph"/>
      </w:pPr>
      <w:r>
        <w:t xml:space="preserve">Począwszy od Saula z Tarsu, chrześcijanie byli prześladowani tu i ówdzie w całym Imperium Rzymskim, aż Konstantyn zaprowadził ulgę w 312 r. n.e. Prześladowania obejmowały sporadyczne niszczenie kopii Nowego Testamentu, w całości lub w części, tu i ówdzie. Jednak w 303 r. n.e. Dioklecjan zarządził najsurowsze prześladowania, jakich do tej pory doświadczyło chrześcijaństwo. Obejmowały one palenie świętych ksiąg, miały one zostać zniszczone, gdziekolwiek je znaleziono. Chociaż prześladowania miały zasięg całego imperium, były szczególnie surowe w Azji Mniejszej, gdzie chrześcijaństwo było najsilniejsze, i trwały przez co najmniej dziesięć lat.</w:t>
      </w:r>
    </w:p>
    <w:p>
      <w:pPr>
        <w:pStyle w:val="BodyText"/>
      </w:pPr>
      <w:r>
        <w:t xml:space="preserve">Wiele manuskryptów zostało odnalezionych lub wydanych, i spalonych, ale inne musiały się ocalić. O tym, że wielu chrześcijan nie szczędziło wysiłków, by ukryć i zachować swoje kopie Pism Świętych, dowodzi ich stosunek do tych, którzy wydali swoje manuskrypty – schizma donatystów, która nastąpiła bezpośrednio po kampanii Dioklecjana, częściowo opierała się na kwestii kary dla tych, którzy wydali manuskrypty. Chrześcijanie, którzy w ten sposób wykazali się całkowitym oddaniem Świętym Pismom, byli również tymi, którzy byli najbardziej ostrożni w kwestii pochodzenia swoich własnych manuskryptów. Tak jak zabiegali o ochronę swoich manuskryptów, tak prawdopodobnie zabiegali o to, by ich manuskrypty zachowały prawdziwe sformułowania.</w:t>
      </w:r>
    </w:p>
    <w:p>
      <w:pPr>
        <w:pStyle w:val="BodyText"/>
      </w:pPr>
      <w:r>
        <w:t xml:space="preserve">W rzeczywistości kampania Dioklecjana mogła nawet wywrzeć oczyszczający wpływ na przekazywanie tekstu. Jeśli pobłażliwość w podejściu do tekstu, przejawiająca się w gotowości niektórych do wydania swoich manuskryptów, rozciągała się również na jakość tekstu, z którego byli gotowi korzystać, to być może zniszczono głównie te bardziej zanieczyszczone manuskrypty, pozostawiając czystsze manuskrypty, aby na nowo zasiliły świat.</w:t>
      </w:r>
      <w:r>
        <w:rPr>
          <w:rStyle w:val="FootnoteReference"/>
        </w:rPr>
        <w:footnoteReference w:id="139"/>
      </w:r>
      <w:r>
        <w:t xml:space="preserve"> </w:t>
      </w:r>
      <w:r>
        <w:t xml:space="preserve">Jednak na te ocalałe, czyste manuskrypty, byłoby nadzwyczaj duże zapotrzebowanie do kopiowania (w celu zastąpienia tych, które zostały zniszczone) i zużywałyby się szybciej niż zwykle.</w:t>
      </w:r>
    </w:p>
    <w:p>
      <w:pPr>
        <w:pStyle w:val="BodyText"/>
      </w:pPr>
      <w:r>
        <w:t xml:space="preserve">Wracając jednak do naszego pytania: czy przekazywanie przebiegało normalnie? Tak i nie. Zakładając, że wierni byli ludźmi o co najmniej przeciętnej uczciwości i inteligencji, sporządzali oni sensowne kopie rękopisów, które otrzymali od poprzedniego pokolenia – od osób, którym ufali, mając pewność, że przekazują prawdziwy tekst. W ich pracy zdarzały się niezamierzone błędy przy kopiowaniu, ale nie celowe zmiany. Byli jednak też inni, którzy wykazywali zainteresowanie pismami Nowego Testamentu – osoby pozbawione uczciwości, które sporządzały własne kopie ze złymi intencjami. W ich pracy również zdarzały się niezamierzone błędy, ale także celowe modyfikacje tekstu. Najpierw prześledzę normalny przebieg przekazywania.</w:t>
      </w:r>
    </w:p>
    <w:p>
      <w:pPr>
        <w:pStyle w:val="BodyText"/>
      </w:pPr>
      <w:r>
        <w:rPr>
          <w:i/>
          <w:iCs/>
        </w:rPr>
        <w:t xml:space="preserve">Normalny przebieg przekazywania</w:t>
      </w:r>
    </w:p>
    <w:p>
      <w:pPr>
        <w:pStyle w:val="BodyText"/>
      </w:pPr>
      <w:r>
        <w:t xml:space="preserve">Widzieliśmy, że wierni od początku uznawali autorytet pism Nowego Testamentu – gdyby tak nie było, odrzuciliby autorytet Apostołów, a tym samym nie należeliby do grona wiernych. Do podstawowej uczciwości od początku dochodził szacunek w ich obchodzeniu się z tekstem. Do tego dochodziła czujność, ponieważ Apostołowie wielokrotnie i stanowczo ostrzegali ich przed fałszywymi nauczycielami.</w:t>
      </w:r>
    </w:p>
    <w:p>
      <w:pPr>
        <w:pStyle w:val="BodyText"/>
      </w:pPr>
      <w:r>
        <w:t xml:space="preserve">Wraz z nieustannie rosnącym popytem i wynikającym z tego rozprzestrzenianiem się kopii w całym świecie grecko-rzymskim, a także dzięki możliwości weryfikacji kopii poprzez odwołanie się do ośrodków, które wciąż posiadały Autografy, wczesna sytuacja tekstologiczna była prawdopodobnie bardzo sprzyjająca szerokiemu rozpowszechnianiu manuskryptów bardzo zbliżonych do tekstu oryginalnego. Można racjonalnie oczekiwać, że na początku II wieku rozpowszechnienie takich kopii było bardzo rozległe, z logiczną konsekwencją taką, że forma tekstu, którą zawierały, wkrótce zakorzeniła się na całym obszarze ich wpływów.</w:t>
      </w:r>
    </w:p>
    <w:p>
      <w:pPr>
        <w:pStyle w:val="BodyText"/>
      </w:pPr>
      <w:r>
        <w:t xml:space="preserve">Przytoczone powyżej rozważania mają kluczowe znaczenie dla odpowiedniego zrozumienia historii przekazywania tekstu, ponieważ wskazują one, że już na samym początku ukształtował się podstawowy trend – trend, który trwał nieubłaganie aż do pojawienia się drukowanego tekstu Nowego Testamentu. Mówię „nieubłaganie”, ponieważ, biorąc pod uwagę normalny proces przekazywania, nauka o prawdopodobieństwie statystycznym pokazuje, że forma tekstu w takich okolicznościach byłaby trudna do wyparcia z dominującej pozycji – prawdopodobieństwo, że konkurencyjna forma tekstu kiedykolwiek uzyska poświadczenie większości, byłoby znikome, bez względu na to, ile pokoleń manuskryptów mogłoby istnieć.</w:t>
      </w:r>
      <w:r>
        <w:rPr>
          <w:rStyle w:val="FootnoteReference"/>
        </w:rPr>
        <w:footnoteReference w:id="140"/>
      </w:r>
      <w:r>
        <w:t xml:space="preserve"> </w:t>
      </w:r>
      <w:r>
        <w:t xml:space="preserve">Potrzebny byłby niezwykły przewrót w historii przekazywania, aby nadać znaczenia odbiegającej od normy formie tekstu. Nie znamy żadnego miejsca w historii, mieszczącego taki przewrót.</w:t>
      </w:r>
    </w:p>
    <w:p>
      <w:pPr>
        <w:pStyle w:val="BodyText"/>
      </w:pPr>
      <w:r>
        <w:t xml:space="preserve">Argument oparty na prawdopodobieństwie miałby zastosowanie zarówno do pism świeckich, jak i do Nowego Testamentu, i nie uwzględnia on żadnej szczególnej troski o czystość tekstu. Twierdziłem jednak, że pierwsi chrześcijanie darzyli swoje Pisma szczególną troską i że troska ta towarzyszyła rozprzestrzenianiu się chrześcijaństwa. Tak więc Ireneusz wyraźnie przeniósł swoją troskę o czystość tekstu (która obejmowała nawet pojedynczą literę) do Galii i niewątpliwie wywarł wpływ na chrześcijan w tym regionie. Chodzi o to, że forma tekstowa Autografów Nowego Testamentu miała dużą przewagę nad jakąkolwiek literaturą świecką, tak że jej dominująca pozycja stałaby się jeszcze większa, niż sugerowałby to argument oparty na prawdopodobieństwie, a tym bardziej, gdyby Autografy zostały „opublikowane” jako wiele kopii. Gwałtowne pomnożenie i rozprzestrzenienie dobrych kopii podniosłoby do absolutnie zaporowych poziomów szanse wystąpienia okoliczności, w których odbiegające od normy formy tekstowe zyskałyby jakąkolwiek powszechną akceptację lub zastosowanie.</w:t>
      </w:r>
      <w:r>
        <w:rPr>
          <w:rStyle w:val="FootnoteReference"/>
        </w:rPr>
        <w:footnoteReference w:id="141"/>
      </w:r>
    </w:p>
    <w:p>
      <w:pPr>
        <w:pStyle w:val="BodyText"/>
      </w:pPr>
      <w:r>
        <w:t xml:space="preserve">Wynika z tego, że w stosunkowo niewielu latach po napisaniu ksiąg Nowego Testamentu szybko powstał tekst „większościowy”, którego forma była zasadniczo taka sama jak forma samych Autografów. Ta forma tekstu, zgodnie z naturalnym biegiem rzeczy, nadal się pomnażała i w każdym kolejnym pokoleniu kopistów nadal pojawiała się w masie zachowanych manuskryptów. Krótko mówiąc, podlegała ona „normalnemu” przekazywaniu. Prawo podaży i popytu działa w Kościele tak samo, jak gdzie indziej. Prawdziwi wierzący byli o wiele bardziej zainteresowani zdobyciem kopii pism Nowego Testamentu niż ludzie, którzy nimi nie byli. Przeciwnicy chrześcijaństwa, którzy mogliby próbować wprowadzić zamieszanie, tworząc przerobione kopie, mieliby znacznie mniejszy „rynek” dla swoich dzieł.</w:t>
      </w:r>
    </w:p>
    <w:p>
      <w:pPr>
        <w:pStyle w:val="BodyText"/>
      </w:pPr>
      <w:r>
        <w:t xml:space="preserve">Używanie takich określeń jak „syryjski”, „antiochijski” i „bizantyjski” dla Tekstu Większościowego odzwierciedla jego ogólny związek z tym regionem. Nie znam żadnego powodu, by wątpić, że tekst „bizantyjski” jest w rzeczywistości tą wersją tekstu, która od początku była znana i przekazywana w regionie Morza Egejskiego.</w:t>
      </w:r>
    </w:p>
    <w:p>
      <w:pPr>
        <w:pStyle w:val="BodyText"/>
      </w:pPr>
      <w:r>
        <w:t xml:space="preserve">Podsumowując, uważam, że dowody jasno przemawiają za taką interpretacją historii tekstu, która uznaje, że jego normalne przekazywanie skupiało się w regionie Morza Egejskiego – obszarze, który pod każdym względem najlepiej nadawał się do przekazywania tekstu od samego początku. Wynikiem tego normalnego przebiegu przekazywania jest typ tekstu „bizantyjski”. W każdej epoce, w tym w II i III wieku, był to tekst tradycyjny.</w:t>
      </w:r>
      <w:r>
        <w:rPr>
          <w:rStyle w:val="FootnoteReference"/>
        </w:rPr>
        <w:footnoteReference w:id="142"/>
      </w:r>
    </w:p>
    <w:p>
      <w:pPr>
        <w:pStyle w:val="BodyText"/>
      </w:pPr>
      <w:r>
        <w:t xml:space="preserve">Twierdzę zatem, że przekazywanie tekstu Nowego Testamentu przebiegało normalnie, mianowicie poprzez w pełni przewidywalne rozprzestrzenianie i powielanie wiarygodnych kopii Autografów od najwcześniejszych czasów, przez całą historię przekazywania, aż do momentu, gdy dostępność tekstów drukowanych położyła kres ręcznemu kopiowaniu.</w:t>
      </w:r>
    </w:p>
    <w:p>
      <w:pPr>
        <w:pStyle w:val="BodyText"/>
      </w:pPr>
      <w:r>
        <w:rPr>
          <w:i/>
          <w:iCs/>
        </w:rPr>
        <w:t xml:space="preserve">Nienormalny przebieg przekazywania</w:t>
      </w:r>
      <w:r>
        <w:rPr>
          <w:rStyle w:val="FootnoteReference"/>
        </w:rPr>
        <w:footnoteReference w:id="143"/>
      </w:r>
    </w:p>
    <w:p>
      <w:pPr>
        <w:pStyle w:val="BodyText"/>
      </w:pPr>
      <w:r>
        <w:t xml:space="preserve">Przechodząc teraz do kwestii nienormalnego przebiegu przekazywania, nie ulega wątpliwości, że rozpoczęło się ono równocześnie z normalnym. Same pisma apostolskie zawierają mocne skargi i ostrzeżenia przed herezjami i szkodliwą aktywnością. Gdy chrześcijaństwo rozprzestrzeniało się i zaczęło wywierać wpływ na świat, nie wszyscy przyjęli je jako „dobrą nowinę”. Pojawiły się różnego rodzaju sprzeciwy. Doszło również do podziałów w szerszej społeczności chrześcijańskiej – już w samym Nowym Testamencie odnotowano początki niektórych z tych wątków. W niektórych przypadkach wierność stanowisku ideologicznemu (teologicznemu) stała się ewidentnie ważniejsza niż wierność tekstowi Nowego Testamentu. Pewne jest, że Ojcowie Kościoła piszący w II wieku gorzko narzekali na celowe zmiany w Tekście dokonywane przez „heretyków”. Duża część zachowanych pism wczesnych Ojców dotyczy dokładnie i wyłącznie walki z heretykami. Jest jasne, że w II wieku, a być może już w I, osoby takie sporządziły wiele kopii pism Nowego Testamentu zawierających ich zmiany.</w:t>
      </w:r>
      <w:r>
        <w:rPr>
          <w:rStyle w:val="FootnoteReference"/>
        </w:rPr>
        <w:footnoteReference w:id="144"/>
      </w:r>
      <w:r>
        <w:t xml:space="preserve"> </w:t>
      </w:r>
      <w:r>
        <w:t xml:space="preserve">Niektóre z nich najwyraźniej krążyły dość szeroko, przez pewien czas. Skutkiem tego był chaos odmiennych odczytów, mający na celu zdezorientowanie niedoinformowanych i wprowadzenie w błąd nieostrożnych. Taki scenariusz był całkowicie przewidywalny. Jeśli Nowy Testament jest rzeczywiście Słowem Bożym, to zarówno Bóg, jak i szatan muszą żywo interesować się jego losami. Podejmowanie się krytyki tekstu Nowego Testamentu bez należytego uwzględnienia tego faktu jest działaniem nieodpowiedzialnym.</w:t>
      </w:r>
    </w:p>
    <w:bookmarkEnd w:id="145"/>
    <w:bookmarkEnd w:id="146"/>
    <w:bookmarkEnd w:id="1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Krytyka tekstu (łac.</w:t>
      </w:r>
      <w:r>
        <w:t xml:space="preserve"> </w:t>
      </w:r>
      <w:r>
        <w:rPr>
          <w:i/>
          <w:iCs/>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21">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22">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24">
    <w:p>
      <w:pPr>
        <w:pStyle w:val="FootnoteText"/>
      </w:pPr>
      <w:r>
        <w:rPr>
          <w:rStyle w:val="FootnoteReference"/>
        </w:rPr>
        <w:footnoteRef/>
      </w:r>
      <w:r>
        <w:t xml:space="preserve"> </w:t>
      </w:r>
      <w:r>
        <w:t xml:space="preserve">Oryginalna okładka i formatowanie nie zostało wykorzystane w polskim tłumaczeniu. [przyp. tłum.]</w:t>
      </w:r>
    </w:p>
  </w:footnote>
  <w:footnote w:id="26">
    <w:p>
      <w:pPr>
        <w:pStyle w:val="FootnoteText"/>
      </w:pPr>
      <w:r>
        <w:rPr>
          <w:rStyle w:val="FootnoteReference"/>
        </w:rPr>
        <w:footnoteRef/>
      </w:r>
      <w:r>
        <w:t xml:space="preserve"> </w:t>
      </w:r>
      <w:r>
        <w:t xml:space="preserve">Najmniejsze białka można opisać za pomocą znacznie mniejszej ilości bitów niż 1500, natomiast do opisu nieorganicznego wszechświata potrzeba rzędy wielkości więcej niż 350 bitów. Autor prawdopodobnie odnosił się do teorii</w:t>
      </w:r>
      <w:r>
        <w:t xml:space="preserve"> </w:t>
      </w:r>
      <w:r>
        <w:rPr>
          <w:i/>
          <w:iCs/>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27">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
          <w:iCs/>
        </w:rPr>
        <w:t xml:space="preserve">The Chimpanzee Sequencing and Analysis Consortium, Nature, 2005</w:t>
      </w:r>
      <w:r>
        <w:br/>
      </w:r>
      <w:r>
        <w:rPr>
          <w:i/>
          <w:iCs/>
        </w:rPr>
        <w:t xml:space="preserve">Evolutionary Rate at the Molecular Level - Kimura, 1968</w:t>
      </w:r>
      <w:r>
        <w:br/>
      </w:r>
      <w:r>
        <w:rPr>
          <w:i/>
          <w:iCs/>
        </w:rPr>
        <w:t xml:space="preserve">Why evolution is true - Jerry A. Coyne</w:t>
      </w:r>
    </w:p>
  </w:footnote>
  <w:footnote w:id="28">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29">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30">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31">
    <w:p>
      <w:pPr>
        <w:pStyle w:val="FootnoteText"/>
      </w:pPr>
      <w:r>
        <w:rPr>
          <w:rStyle w:val="FootnoteReference"/>
        </w:rPr>
        <w:footnoteRef/>
      </w:r>
      <w:r>
        <w:t xml:space="preserve"> </w:t>
      </w:r>
      <w:r>
        <w:t xml:space="preserve">Autorowi prawdopodobnie chodzi o</w:t>
      </w:r>
      <w:r>
        <w:t xml:space="preserve"> </w:t>
      </w:r>
      <w:r>
        <w:rPr>
          <w:i/>
          <w:iCs/>
        </w:rPr>
        <w:t xml:space="preserve">Lewis Overthrust</w:t>
      </w:r>
      <w:r>
        <w:t xml:space="preserve">, obszar o wymiarach ok. 450km długości i szerokości sięgającej do 50km. Zwolennicy teorii ewolucji próbują dowieźć komputerowo i w eksperymentach laboratoryjnych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36">
    <w:p>
      <w:pPr>
        <w:pStyle w:val="FootnoteText"/>
      </w:pPr>
      <w:r>
        <w:rPr>
          <w:rStyle w:val="FootnoteReference"/>
        </w:rPr>
        <w:footnoteRef/>
      </w:r>
      <w:r>
        <w:t xml:space="preserve"> </w:t>
      </w:r>
      <w:r>
        <w:t xml:space="preserve">Trylobity (Trilobita, z gr. treis ‘trzy’ + lobos ‘płat’)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37">
    <w:p>
      <w:pPr>
        <w:pStyle w:val="FootnoteText"/>
      </w:pPr>
      <w:r>
        <w:rPr>
          <w:rStyle w:val="FootnoteReference"/>
        </w:rPr>
        <w:footnoteRef/>
      </w:r>
      <w:r>
        <w:t xml:space="preserve"> </w:t>
      </w:r>
      <w:r>
        <w:t xml:space="preserve">Lepidodendron według paleobotaniki był dominującym drzewem w okresie karbonu, mającym trwać rzekomo od około 359 do 299 milionów lat temu [przyp. tłum.]</w:t>
      </w:r>
      <w:r>
        <w:br/>
      </w:r>
      <w:r>
        <w:t xml:space="preserve">https://www.britannica.com/plant/Lepidodendron</w:t>
      </w:r>
    </w:p>
  </w:footnote>
  <w:footnote w:id="38">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39">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48">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49">
    <w:p>
      <w:pPr>
        <w:pStyle w:val="FootnoteText"/>
      </w:pPr>
      <w:r>
        <w:rPr>
          <w:rStyle w:val="FootnoteReference"/>
        </w:rPr>
        <w:footnoteRef/>
      </w:r>
      <w:r>
        <w:t xml:space="preserve"> </w:t>
      </w:r>
      <w:r>
        <w:t xml:space="preserve">Nawet jeżeli obliczenia kreacjonistów, datujące deltę Rzeki Missisipi na 30 000 lat są poprawne, nie zmienia to faktu, że sama rzeka Missisipi może być młodsza niż cała ziemia. [przyp. tłum.]</w:t>
      </w:r>
      <w:r>
        <w:br/>
      </w:r>
      <w:r>
        <w:t xml:space="preserve">https://www.talkorigins.org/faqs/hovind/howgood-yea2.html</w:t>
      </w:r>
    </w:p>
  </w:footnote>
  <w:footnote w:id="50">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zdają się wskazywać, że Ziemia została stworzona natychmiastowo, w chłodnym stanie. Jeśli to prawda, jest to wyraźny dowód na stworzenie i młodą Ziemię. Kontrargumenty do pracy Gentry’ego to mała liczba dowodów, że pierścienie powstały rzeczywiście przez polon, teoria że radon (z którego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51">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52">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54">
    <w:p>
      <w:pPr>
        <w:pStyle w:val="FootnoteText"/>
      </w:pPr>
      <w:r>
        <w:rPr>
          <w:rStyle w:val="FootnoteReference"/>
        </w:rPr>
        <w:footnoteRef/>
      </w:r>
      <w:r>
        <w:t xml:space="preserve"> </w:t>
      </w:r>
      <w:r>
        <w:t xml:space="preserve">Do tej pory opublikowałem osiem, plus Tekst Grecki.</w:t>
      </w:r>
    </w:p>
  </w:footnote>
  <w:footnote w:id="55">
    <w:p>
      <w:pPr>
        <w:pStyle w:val="FootnoteText"/>
      </w:pPr>
      <w:r>
        <w:rPr>
          <w:rStyle w:val="FootnoteReference"/>
        </w:rPr>
        <w:footnoteRef/>
      </w:r>
      <w:r>
        <w:t xml:space="preserve"> </w:t>
      </w:r>
      <w:r>
        <w:t xml:space="preserve">Odniosłem się już do 1 Kronik 16,15.</w:t>
      </w:r>
    </w:p>
  </w:footnote>
  <w:footnote w:id="56">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57">
    <w:p>
      <w:pPr>
        <w:pStyle w:val="FootnoteText"/>
      </w:pPr>
      <w:r>
        <w:rPr>
          <w:rStyle w:val="FootnoteReference"/>
        </w:rPr>
        <w:footnoteRef/>
      </w:r>
      <w:r>
        <w:t xml:space="preserve"> </w:t>
      </w:r>
      <w:r>
        <w:t xml:space="preserve">Słowo przetłumaczone jako „wydanie” [ang.</w:t>
      </w:r>
      <w:r>
        <w:t xml:space="preserve"> </w:t>
      </w:r>
      <w:r>
        <w:rPr>
          <w:i/>
          <w:iCs/>
        </w:rPr>
        <w:t xml:space="preserve">release</w:t>
      </w:r>
      <w:r>
        <w:t xml:space="preserve">, gr.</w:t>
      </w:r>
      <w:r>
        <w:t xml:space="preserve"> </w:t>
      </w:r>
      <w:r>
        <w:rPr>
          <w:i/>
          <w:iCs/>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58">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59">
    <w:p>
      <w:pPr>
        <w:pStyle w:val="FootnoteText"/>
      </w:pPr>
      <w:r>
        <w:rPr>
          <w:rStyle w:val="FootnoteReference"/>
        </w:rPr>
        <w:footnoteRef/>
      </w:r>
      <w:r>
        <w:t xml:space="preserve"> </w:t>
      </w:r>
      <w:r>
        <w:t xml:space="preserve">Dostęp do Pisma jest niezbędny do duchowego wzrostu i pracy.</w:t>
      </w:r>
    </w:p>
  </w:footnote>
  <w:footnote w:id="60">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61">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62">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63">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64">
    <w:p>
      <w:pPr>
        <w:pStyle w:val="FootnoteText"/>
      </w:pPr>
      <w:r>
        <w:rPr>
          <w:rStyle w:val="FootnoteReference"/>
        </w:rPr>
        <w:footnoteRef/>
      </w:r>
      <w:r>
        <w:t xml:space="preserve"> </w:t>
      </w:r>
      <w:r>
        <w:t xml:space="preserve">Bardzo niewiele rozdziałów zostało napisanych w języku aramejskim.</w:t>
      </w:r>
    </w:p>
  </w:footnote>
  <w:footnote w:id="65">
    <w:p>
      <w:pPr>
        <w:pStyle w:val="FootnoteText"/>
      </w:pPr>
      <w:r>
        <w:rPr>
          <w:rStyle w:val="FootnoteReference"/>
        </w:rPr>
        <w:footnoteRef/>
      </w:r>
      <w:r>
        <w:t xml:space="preserve"> </w:t>
      </w:r>
      <w:r>
        <w:t xml:space="preserve">Więc nie mamy tu do czynienia z nauką w sensie obiektywnym.</w:t>
      </w:r>
    </w:p>
  </w:footnote>
  <w:footnote w:id="66">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67">
    <w:p>
      <w:pPr>
        <w:pStyle w:val="FootnoteText"/>
      </w:pPr>
      <w:r>
        <w:rPr>
          <w:rStyle w:val="FootnoteReference"/>
        </w:rPr>
        <w:footnoteRef/>
      </w:r>
      <w:r>
        <w:t xml:space="preserve"> </w:t>
      </w:r>
      <w:r>
        <w:t xml:space="preserve">Mowa o informacjach historycznych w Biblii, w porównaniu do proroctw. [przyp. tłum.]</w:t>
      </w:r>
    </w:p>
  </w:footnote>
  <w:footnote w:id="68">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70">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72">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73">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76">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77">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 „Rodziną 35” [Nowy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78">
    <w:p>
      <w:pPr>
        <w:pStyle w:val="FootnoteText"/>
      </w:pPr>
      <w:r>
        <w:rPr>
          <w:rStyle w:val="FootnoteReference"/>
        </w:rPr>
        <w:footnoteRef/>
      </w:r>
      <w:r>
        <w:t xml:space="preserve"> </w:t>
      </w:r>
      <w:r>
        <w:t xml:space="preserve">„Przynieś księgi, zwłaszcza pergaminy” (2 List do Tymoteusza 4,13). Możemy z tego wywnioskować, że pergamin był już w użyciu, ale „księgi” były prawdopodobnie na papirusie, w przeciwnym wypadku, po co ten kontrast?</w:t>
      </w:r>
    </w:p>
  </w:footnote>
  <w:footnote w:id="79">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80">
    <w:p>
      <w:pPr>
        <w:pStyle w:val="FootnoteText"/>
      </w:pPr>
      <w:r>
        <w:rPr>
          <w:rStyle w:val="FootnoteReference"/>
        </w:rPr>
        <w:footnoteRef/>
      </w:r>
      <w:r>
        <w:t xml:space="preserve"> </w:t>
      </w:r>
      <w:r>
        <w:t xml:space="preserve">NKJV - Biblia, przekład New King James Version. [przyp. tłum.]</w:t>
      </w:r>
    </w:p>
  </w:footnote>
  <w:footnote w:id="81">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82">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84">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85">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86">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87">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88">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89">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90">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91">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92">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93">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94">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95">
    <w:p>
      <w:pPr>
        <w:pStyle w:val="FootnoteText"/>
      </w:pPr>
      <w:r>
        <w:rPr>
          <w:rStyle w:val="FootnoteReference"/>
        </w:rPr>
        <w:footnoteRef/>
      </w:r>
      <w:r>
        <w:t xml:space="preserve"> </w:t>
      </w:r>
      <w:r>
        <w:t xml:space="preserve">Korpus Pawłowy (łac.</w:t>
      </w:r>
      <w:r>
        <w:t xml:space="preserve"> </w:t>
      </w:r>
      <w:r>
        <w:rPr>
          <w:i/>
          <w:iCs/>
        </w:rPr>
        <w:t xml:space="preserve">corpus Paulinum</w:t>
      </w:r>
      <w:r>
        <w:t xml:space="preserve">) - zbiór listów przypisywanych apostołowi Pawłowi. [przyp. tłum.]</w:t>
      </w:r>
    </w:p>
  </w:footnote>
  <w:footnote w:id="96">
    <w:p>
      <w:pPr>
        <w:pStyle w:val="FootnoteText"/>
      </w:pPr>
      <w:r>
        <w:rPr>
          <w:rStyle w:val="FootnoteReference"/>
        </w:rPr>
        <w:footnoteRef/>
      </w:r>
      <w:r>
        <w:t xml:space="preserve"> </w:t>
      </w:r>
      <w:r>
        <w:t xml:space="preserve">Francis Glimm, ponownie.</w:t>
      </w:r>
    </w:p>
  </w:footnote>
  <w:footnote w:id="97">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w:t>
      </w:r>
    </w:p>
  </w:footnote>
  <w:footnote w:id="98">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99">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100">
    <w:p>
      <w:pPr>
        <w:pStyle w:val="FootnoteText"/>
      </w:pPr>
      <w:r>
        <w:rPr>
          <w:rStyle w:val="FootnoteReference"/>
        </w:rPr>
        <w:footnoteRef/>
      </w:r>
      <w:r>
        <w:t xml:space="preserve"> </w:t>
      </w:r>
      <w:r>
        <w:t xml:space="preserve">Skorzystałem z tłumaczenia zamieszczonego w tomie I The Ante-Nicene Fathers, red. A. Roberts i J. Donaldson (Grand Rapids: Wm. B. Eerdmans Publishing Co., 1956).</w:t>
      </w:r>
    </w:p>
  </w:footnote>
  <w:footnote w:id="101">
    <w:p>
      <w:pPr>
        <w:pStyle w:val="FootnoteText"/>
      </w:pPr>
      <w:r>
        <w:rPr>
          <w:rStyle w:val="FootnoteReference"/>
        </w:rPr>
        <w:footnoteRef/>
      </w:r>
      <w:r>
        <w:t xml:space="preserve"> </w:t>
      </w:r>
      <w:r>
        <w:t xml:space="preserve">Skorzystałem z tłumaczenia autorstwa E.R. Hardy’ego w Early Christian Fathers, red. C. C. Richardson (Philadelphia: The Westminster Press, 1953).</w:t>
      </w:r>
    </w:p>
  </w:footnote>
  <w:footnote w:id="102">
    <w:p>
      <w:pPr>
        <w:pStyle w:val="FootnoteText"/>
      </w:pPr>
      <w:r>
        <w:rPr>
          <w:rStyle w:val="FootnoteReference"/>
        </w:rPr>
        <w:footnoteRef/>
      </w:r>
      <w:r>
        <w:t xml:space="preserve"> </w:t>
      </w:r>
      <w:r>
        <w:t xml:space="preserve">Roberts i Donaldson, ponownie.</w:t>
      </w:r>
    </w:p>
  </w:footnote>
  <w:footnote w:id="103">
    <w:p>
      <w:pPr>
        <w:pStyle w:val="FootnoteText"/>
      </w:pPr>
      <w:r>
        <w:rPr>
          <w:rStyle w:val="FootnoteReference"/>
        </w:rPr>
        <w:footnoteRef/>
      </w:r>
      <w:r>
        <w:t xml:space="preserve"> </w:t>
      </w:r>
      <w:r>
        <w:t xml:space="preserve">E.R. Hardy, ponownie. Jego staranne badania wczesnochrześcijańskich papirusów literackich doprowadziły C.H. Robertsa do następującego wniosku: „Wskazuje to na ostrożne i regularne korzystanie ze świętych pism przez lokalne społeczności” (</w:t>
      </w:r>
      <w:r>
        <w:rPr>
          <w:i/>
          <w:iCs/>
        </w:rPr>
        <w:t xml:space="preserve">Manuscript, Society and Belief in Early Christian Egypt</w:t>
      </w:r>
      <w:r>
        <w:t xml:space="preserve"> </w:t>
      </w:r>
      <w:r>
        <w:t xml:space="preserve">[Londyn: Oxford University Press, 1979], str. 25). Na podstawie P. Oxy. iii. 405 [Papirus z Oksyrynchos tom III, nr 405, przyp. tłum.] wnioskuje on również, że kopia dzieła Ireneusza,</w:t>
      </w:r>
      <w:r>
        <w:t xml:space="preserve"> </w:t>
      </w:r>
      <w:r>
        <w:rPr>
          <w:i/>
          <w:iCs/>
        </w:rPr>
        <w:t xml:space="preserve">Adversus Haereses</w:t>
      </w:r>
      <w:r>
        <w:t xml:space="preserve">, napisana w Lyonie, została przywieziona do Oksyrynchos w ciągu pierwszych kilku lat od jej powstania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 23, 53), stanowiąc wymowne świadectwo skali ruchu między wczesnymi kościołami.</w:t>
      </w:r>
    </w:p>
  </w:footnote>
  <w:footnote w:id="104">
    <w:p>
      <w:pPr>
        <w:pStyle w:val="FootnoteText"/>
      </w:pPr>
      <w:r>
        <w:rPr>
          <w:rStyle w:val="FootnoteReference"/>
        </w:rPr>
        <w:footnoteRef/>
      </w:r>
      <w:r>
        <w:t xml:space="preserve"> </w:t>
      </w:r>
      <w:r>
        <w:t xml:space="preserve">Atenagoras z Aten napisał rozprawę</w:t>
      </w:r>
      <w:r>
        <w:t xml:space="preserve"> </w:t>
      </w:r>
      <w:r>
        <w:rPr>
          <w:i/>
          <w:iCs/>
        </w:rPr>
        <w:t xml:space="preserve">Πρεσβεία περὶ Χριστιανῶν</w:t>
      </w:r>
      <w:r>
        <w:t xml:space="preserve">, w języku angielskim znaną jako</w:t>
      </w:r>
      <w:r>
        <w:t xml:space="preserve"> </w:t>
      </w:r>
      <w:r>
        <w:rPr>
          <w:i/>
          <w:iCs/>
        </w:rPr>
        <w:t xml:space="preserve">A Plea for the Christians</w:t>
      </w:r>
      <w:r>
        <w:t xml:space="preserve"> </w:t>
      </w:r>
      <w:r>
        <w:t xml:space="preserve">albo</w:t>
      </w:r>
      <w:r>
        <w:t xml:space="preserve"> </w:t>
      </w:r>
      <w:r>
        <w:rPr>
          <w:i/>
          <w:iCs/>
        </w:rPr>
        <w:t xml:space="preserve">An Embassy for the Christians</w:t>
      </w:r>
      <w:r>
        <w:t xml:space="preserve">, na język polski przetłumaczoną przez Stanisława Kalinkowskiego pod tytułem „Prośba za chrześcijanami”, Warszawa: Instytut Wydawniczy PAX, 1985. [przyp. tłum.]</w:t>
      </w:r>
    </w:p>
  </w:footnote>
  <w:footnote w:id="105">
    <w:p>
      <w:pPr>
        <w:pStyle w:val="FootnoteText"/>
      </w:pPr>
      <w:r>
        <w:rPr>
          <w:rStyle w:val="FootnoteReference"/>
        </w:rPr>
        <w:footnoteRef/>
      </w:r>
      <w:r>
        <w:t xml:space="preserve"> </w:t>
      </w:r>
      <w:r>
        <w:t xml:space="preserve">Skorzystałem z tłumaczenia autorstwa C.C. Richardsona z książki Early Christian Fathers.</w:t>
      </w:r>
    </w:p>
  </w:footnote>
  <w:footnote w:id="106">
    <w:p>
      <w:pPr>
        <w:pStyle w:val="FootnoteText"/>
      </w:pPr>
      <w:r>
        <w:rPr>
          <w:rStyle w:val="FootnoteReference"/>
        </w:rPr>
        <w:footnoteRef/>
      </w:r>
      <w:r>
        <w:t xml:space="preserve"> </w:t>
      </w:r>
      <w:r>
        <w:t xml:space="preserve">Teofil z Antiochii, biskup Antiochii Syryjskiej w latach 169–182. [przyp. tłum.]</w:t>
      </w:r>
      <w:r>
        <w:br/>
      </w:r>
      <w:r>
        <w:t xml:space="preserve">https://pl.wikipedia.org/wiki/Teofil_z_Antiochii</w:t>
      </w:r>
    </w:p>
  </w:footnote>
  <w:footnote w:id="107">
    <w:p>
      <w:pPr>
        <w:pStyle w:val="FootnoteText"/>
      </w:pPr>
      <w:r>
        <w:rPr>
          <w:rStyle w:val="FootnoteReference"/>
        </w:rPr>
        <w:footnoteRef/>
      </w:r>
      <w:r>
        <w:t xml:space="preserve"> </w:t>
      </w:r>
      <w:r>
        <w:t xml:space="preserve">Wzięte z G.D. Barry, The Inspiration and Authority of Holy Scripture (Nowy Jork: The McMillan Company, 1919), str. 52.</w:t>
      </w:r>
    </w:p>
  </w:footnote>
  <w:footnote w:id="108">
    <w:p>
      <w:pPr>
        <w:pStyle w:val="FootnoteText"/>
      </w:pPr>
      <w:r>
        <w:rPr>
          <w:rStyle w:val="FootnoteReference"/>
        </w:rPr>
        <w:footnoteRef/>
      </w:r>
      <w:r>
        <w:t xml:space="preserve"> </w:t>
      </w:r>
      <w:r>
        <w:t xml:space="preserve">Ireneusz z Lyonu - ur. ok. 140 w Smyrnie w Azji Mniejszej, zm. ok. 202 w Lugdunum) – biskup Vienne, teolog, apologeta, ojciec i Doktor Kościoła, męczennik chrześcijański, święty Kościoła katolickiego i prawosławnego. [przyp. tłum.]</w:t>
      </w:r>
      <w:r>
        <w:br/>
      </w:r>
      <w:r>
        <w:t xml:space="preserve">https://pl.wikipedia.org/wiki/Ireneusz_z_Lyonu</w:t>
      </w:r>
    </w:p>
  </w:footnote>
  <w:footnote w:id="109">
    <w:p>
      <w:pPr>
        <w:pStyle w:val="FootnoteText"/>
      </w:pPr>
      <w:r>
        <w:rPr>
          <w:rStyle w:val="FootnoteReference"/>
        </w:rPr>
        <w:footnoteRef/>
      </w:r>
      <w:r>
        <w:t xml:space="preserve"> </w:t>
      </w:r>
      <w:r>
        <w:t xml:space="preserve">Autor prawdopodobnie ma na myśli dzieło znane w Polsce jako</w:t>
      </w:r>
      <w:r>
        <w:t xml:space="preserve"> </w:t>
      </w:r>
      <w:r>
        <w:rPr>
          <w:i/>
          <w:iCs/>
        </w:rPr>
        <w:t xml:space="preserve">Przeciwko herezjom</w:t>
      </w:r>
      <w:r>
        <w:t xml:space="preserve"> </w:t>
      </w:r>
      <w:r>
        <w:t xml:space="preserve">(</w:t>
      </w:r>
      <w:r>
        <w:rPr>
          <w:i/>
          <w:iCs/>
        </w:rPr>
        <w:t xml:space="preserve">Adversus haereses</w:t>
      </w:r>
      <w:r>
        <w:t xml:space="preserve">). [przyp. tłum.]</w:t>
      </w:r>
      <w:r>
        <w:br/>
      </w:r>
      <w:r>
        <w:t xml:space="preserve">https://pl.wikipedia.org/wiki/Adversus_haereses</w:t>
      </w:r>
    </w:p>
  </w:footnote>
  <w:footnote w:id="110">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strona 53.</w:t>
      </w:r>
    </w:p>
  </w:footnote>
  <w:footnote w:id="112">
    <w:p>
      <w:pPr>
        <w:pStyle w:val="FootnoteText"/>
      </w:pPr>
      <w:r>
        <w:rPr>
          <w:rStyle w:val="FootnoteReference"/>
        </w:rPr>
        <w:footnoteRef/>
      </w:r>
      <w:r>
        <w:t xml:space="preserve"> </w:t>
      </w:r>
      <w:r>
        <w:t xml:space="preserve">Owce należą do Pana, a nie do starszych. Około 7% greckich manuskryptów pomija „Pan i”, podobnie jak większość wersji. „Pan i Bóg” odnosi się do Jezusa.</w:t>
      </w:r>
    </w:p>
  </w:footnote>
  <w:footnote w:id="113">
    <w:p>
      <w:pPr>
        <w:pStyle w:val="FootnoteText"/>
      </w:pPr>
      <w:r>
        <w:rPr>
          <w:rStyle w:val="FootnoteReference"/>
        </w:rPr>
        <w:footnoteRef/>
      </w:r>
      <w:r>
        <w:t xml:space="preserve"> </w:t>
      </w:r>
      <w:r>
        <w:t xml:space="preserve">Te „inne ewangelie” wydają się być dostępne w dużych ilościach. Ci, którzy je promują, są przeklęci.</w:t>
      </w:r>
    </w:p>
  </w:footnote>
  <w:footnote w:id="114">
    <w:p>
      <w:pPr>
        <w:pStyle w:val="FootnoteText"/>
      </w:pPr>
      <w:r>
        <w:rPr>
          <w:rStyle w:val="FootnoteReference"/>
        </w:rPr>
        <w:footnoteRef/>
      </w:r>
      <w:r>
        <w:t xml:space="preserve"> </w:t>
      </w:r>
      <w:r>
        <w:t xml:space="preserve">Około 82% greckich manuskryptów zawiera sformułowanie „przyszło” zamiast „wyszło” (jak w większości wersji). Pozostałe 18% prawdopodobnie opisuje oszustów wychodzących z kościoła do świata, ale nie o to chodziło Janowi. Oszuści zostali wprowadzeni do świata przez szatana, oryginalnego i głównego oszusta.</w:t>
      </w:r>
    </w:p>
  </w:footnote>
  <w:footnote w:id="115">
    <w:p>
      <w:pPr>
        <w:pStyle w:val="FootnoteText"/>
      </w:pPr>
      <w:r>
        <w:rPr>
          <w:rStyle w:val="FootnoteReference"/>
        </w:rPr>
        <w:footnoteRef/>
      </w:r>
      <w:r>
        <w:t xml:space="preserve"> </w:t>
      </w:r>
      <w:r>
        <w:t xml:space="preserve">Przypomnij sobie słowa aniołów w Dziejach Apostolskich 1,11: „Ten Jezus, który został wzięty w górę od was do nieba, przyjdzie On ponownie w dokładnie taki sam sposób, w jaki obserwowaliście Go wchodzącego do nieba”. Aniołowie są stanowczy: powrót będzie taki jak odejście. Przyjmuję, że Pan powróci z tym samym uwielbionym ludzkim ciałem, dostrzegalnie, wyszedłszy z obłoku, a Jego stopy dotkną tego samego miejsca, z którego odeszły (zobacz Ewangelia Mateusza 24,30: „nadchodzącego na obłokach” oraz Księga Zachariasza 14,4: „Jego stopy staną na Górze Oliwnej”).</w:t>
      </w:r>
    </w:p>
  </w:footnote>
  <w:footnote w:id="116">
    <w:p>
      <w:pPr>
        <w:pStyle w:val="FootnoteText"/>
      </w:pPr>
      <w:r>
        <w:rPr>
          <w:rStyle w:val="FootnoteReference"/>
        </w:rPr>
        <w:footnoteRef/>
      </w:r>
      <w:r>
        <w:t xml:space="preserve"> </w:t>
      </w:r>
      <w:r>
        <w:t xml:space="preserve">Ludzie, którzy nie wierzą i nie nauczają tego, czego nauczał Chrystus, są po drugiej stronie. Bycie złowrogim oznacza bycie agresywnie złym. Oczywiście powinniśmy unikać wszystkiego, co mogłoby być interpretowane jako identyfikowanie się z takimi ludźmi.</w:t>
      </w:r>
    </w:p>
  </w:footnote>
  <w:footnote w:id="117">
    <w:p>
      <w:pPr>
        <w:pStyle w:val="FootnoteText"/>
      </w:pPr>
      <w:r>
        <w:rPr>
          <w:rStyle w:val="FootnoteReference"/>
        </w:rPr>
        <w:footnoteRef/>
      </w:r>
      <w:r>
        <w:t xml:space="preserve"> </w:t>
      </w:r>
      <w:r>
        <w:t xml:space="preserve">„Słów”, w liczbie mnogiej, obejmuje poszczególne słowa, które składają się na całość. Ci krytycy tekstu, którzy bez skrupułów usunęli słowa z Tekstu, opierając się na inspirowanych przez szatana założeniach, są wykluczeni. Ci, którzy interpretują Tekst w taki sposób, aby uniknąć jego oczywistego znaczenia, podobnie. Jehowa Syn potwierdza, że słowa są „prawdziwe i</w:t>
      </w:r>
      <w:r>
        <w:t xml:space="preserve"> </w:t>
      </w:r>
      <w:r>
        <w:rPr>
          <w:b/>
          <w:bCs/>
        </w:rPr>
        <w:t xml:space="preserve">wierne</w:t>
      </w:r>
      <w:r>
        <w:t xml:space="preserve">” i oczekuje od nas, że będziemy je tak interpretować.</w:t>
      </w:r>
    </w:p>
  </w:footnote>
  <w:footnote w:id="118">
    <w:p>
      <w:pPr>
        <w:pStyle w:val="FootnoteText"/>
      </w:pPr>
      <w:r>
        <w:rPr>
          <w:rStyle w:val="FootnoteReference"/>
        </w:rPr>
        <w:footnoteRef/>
      </w:r>
      <w:r>
        <w:t xml:space="preserve"> </w:t>
      </w:r>
      <w:r>
        <w:t xml:space="preserve">Apologia pierwsza powstała około 155 r. do cesarza Antonina Piusa. [przyp. tłum.]</w:t>
      </w:r>
      <w:r>
        <w:br/>
      </w:r>
      <w:r>
        <w:t xml:space="preserve">https://pl.wikipedia.org/wiki/Justyn_M%C4%99czennik</w:t>
      </w:r>
    </w:p>
  </w:footnote>
  <w:footnote w:id="119">
    <w:p>
      <w:pPr>
        <w:pStyle w:val="FootnoteText"/>
      </w:pPr>
      <w:r>
        <w:rPr>
          <w:rStyle w:val="FootnoteReference"/>
        </w:rPr>
        <w:footnoteRef/>
      </w:r>
      <w:r>
        <w:t xml:space="preserve"> </w:t>
      </w:r>
      <w:r>
        <w:t xml:space="preserve">Dialog z Żydem Tryfonem - relacja z dwudniowej, być może fikcyjnej rozmowy Justyna z rabinem (reprezentantem hellenistycznej diaspory), która odbyła się w Efezie, spisana w 142 rozdziałach. Nie zachowała się w całości, brakuje części wstępu i 74 rozdziału. [przyp. tłum.]</w:t>
      </w:r>
      <w:r>
        <w:br/>
      </w:r>
      <w:r>
        <w:t xml:space="preserve">https://pl.wikipedia.org/wiki/Justyn_M%C4%99czennik</w:t>
      </w:r>
    </w:p>
  </w:footnote>
  <w:footnote w:id="120">
    <w:p>
      <w:pPr>
        <w:pStyle w:val="FootnoteText"/>
      </w:pPr>
      <w:r>
        <w:rPr>
          <w:rStyle w:val="FootnoteReference"/>
        </w:rPr>
        <w:footnoteRef/>
      </w:r>
      <w:r>
        <w:t xml:space="preserve"> </w:t>
      </w:r>
      <w:r>
        <w:rPr>
          <w:i/>
          <w:iCs/>
        </w:rPr>
        <w:t xml:space="preserve">Recepta przeciw heretykom</w:t>
      </w:r>
      <w:r>
        <w:t xml:space="preserve"> </w:t>
      </w:r>
      <w:r>
        <w:t xml:space="preserve">[ang.</w:t>
      </w:r>
      <w:r>
        <w:t xml:space="preserve"> </w:t>
      </w:r>
      <w:r>
        <w:rPr>
          <w:i/>
          <w:iCs/>
        </w:rPr>
        <w:t xml:space="preserve">Prescription against Heretics</w:t>
      </w:r>
      <w:r>
        <w:t xml:space="preserve">, przyp. tłum.], 37. Skorzystałem z tłumaczenia Petera Holmesa zamieszczonego w tomie III serii</w:t>
      </w:r>
      <w:r>
        <w:t xml:space="preserve"> </w:t>
      </w:r>
      <w:r>
        <w:rPr>
          <w:i/>
          <w:iCs/>
        </w:rPr>
        <w:t xml:space="preserve">The Ante-Nicene Fathers</w:t>
      </w:r>
      <w:r>
        <w:t xml:space="preserve">.</w:t>
      </w:r>
    </w:p>
  </w:footnote>
  <w:footnote w:id="121">
    <w:p>
      <w:pPr>
        <w:pStyle w:val="FootnoteText"/>
      </w:pPr>
      <w:r>
        <w:rPr>
          <w:rStyle w:val="FootnoteReference"/>
        </w:rPr>
        <w:footnoteRef/>
      </w:r>
      <w:r>
        <w:t xml:space="preserve"> </w:t>
      </w:r>
      <w:r>
        <w:t xml:space="preserve">B.M. Metzger,</w:t>
      </w:r>
      <w:r>
        <w:t xml:space="preserve"> </w:t>
      </w:r>
      <w:r>
        <w:rPr>
          <w:i/>
          <w:iCs/>
        </w:rPr>
        <w:t xml:space="preserve">Tekst Nowego Testamentu</w:t>
      </w:r>
      <w:r>
        <w:t xml:space="preserve"> </w:t>
      </w:r>
      <w:r>
        <w:t xml:space="preserve">[ang.</w:t>
      </w:r>
      <w:r>
        <w:t xml:space="preserve"> </w:t>
      </w:r>
      <w:r>
        <w:rPr>
          <w:i/>
          <w:iCs/>
        </w:rPr>
        <w:t xml:space="preserve">The Text of the New Testament</w:t>
      </w:r>
      <w:r>
        <w:t xml:space="preserve">, przyp. tłum.] (Londyn: Oxford University Press, 1964), str. 21.</w:t>
      </w:r>
    </w:p>
  </w:footnote>
  <w:footnote w:id="122">
    <w:p>
      <w:pPr>
        <w:pStyle w:val="FootnoteText"/>
      </w:pPr>
      <w:r>
        <w:rPr>
          <w:rStyle w:val="FootnoteReference"/>
        </w:rPr>
        <w:footnoteRef/>
      </w:r>
      <w:r>
        <w:t xml:space="preserve"> </w:t>
      </w:r>
      <w:r>
        <w:rPr>
          <w:i/>
          <w:iCs/>
        </w:rPr>
        <w:t xml:space="preserve">Recepta przeciw heretykom</w:t>
      </w:r>
      <w:r>
        <w:t xml:space="preserve"> </w:t>
      </w:r>
      <w:r>
        <w:t xml:space="preserve">[ang.</w:t>
      </w:r>
      <w:r>
        <w:t xml:space="preserve"> </w:t>
      </w:r>
      <w:r>
        <w:rPr>
          <w:i/>
          <w:iCs/>
        </w:rPr>
        <w:t xml:space="preserve">Prescription against Heretics</w:t>
      </w:r>
      <w:r>
        <w:t xml:space="preserve">, przyp. tłum.], 36, korzystając z tłumaczenia Holmesa.</w:t>
      </w:r>
    </w:p>
  </w:footnote>
  <w:footnote w:id="123">
    <w:p>
      <w:pPr>
        <w:pStyle w:val="FootnoteText"/>
      </w:pPr>
      <w:r>
        <w:rPr>
          <w:rStyle w:val="FootnoteReference"/>
        </w:rPr>
        <w:footnoteRef/>
      </w:r>
      <w:r>
        <w:t xml:space="preserve"> </w:t>
      </w:r>
      <w:r>
        <w:t xml:space="preserve">Są to symbole papirusów według systemu Gregory-Aland. [przyp. tłum.]</w:t>
      </w:r>
      <w:r>
        <w:br/>
      </w:r>
      <w:r>
        <w:t xml:space="preserve">https://grokipedia.com/page/Papyrus_46</w:t>
      </w:r>
      <w:r>
        <w:br/>
      </w:r>
      <w:r>
        <w:t xml:space="preserve">https://pl.wikipedia.org/wiki/Papirus_Bodmer_II</w:t>
      </w:r>
      <w:r>
        <w:br/>
      </w:r>
      <w:r>
        <w:t xml:space="preserve">https://pl.wikipedia.org/wiki/Papirus_Bodmer_XIV-XV</w:t>
      </w:r>
    </w:p>
  </w:footnote>
  <w:footnote w:id="125">
    <w:p>
      <w:pPr>
        <w:pStyle w:val="FootnoteText"/>
      </w:pPr>
      <w:r>
        <w:rPr>
          <w:rStyle w:val="FootnoteReference"/>
        </w:rPr>
        <w:footnoteRef/>
      </w:r>
      <w:r>
        <w:t xml:space="preserve"> </w:t>
      </w:r>
      <w:r>
        <w:t xml:space="preserve">Zobacz jednak sekcję powyżej, w której sugeruję możliwość, że Autografy powstały jako wiele kopii.</w:t>
      </w:r>
    </w:p>
  </w:footnote>
  <w:footnote w:id="126">
    <w:p>
      <w:pPr>
        <w:pStyle w:val="FootnoteText"/>
      </w:pPr>
      <w:r>
        <w:rPr>
          <w:rStyle w:val="FootnoteReference"/>
        </w:rPr>
        <w:footnoteRef/>
      </w:r>
      <w:r>
        <w:t xml:space="preserve"> </w:t>
      </w:r>
      <w:r>
        <w:t xml:space="preserve">Aland stwierdza: „Egipt wyróżniał się spośród innych prowincji Kościoła, na ile możemy to ocenić, wczesną dominacją gnostycyzmu”. Dalej informuje nas, że „pod koniec II wieku” kościół egipski był „w przeważającej mierze gnostycki”, a następnie dodaje: „Kopie istniejące w społecznościach gnostyckich nie mogły być używane, ponieważ podejrzewano, że były zniekształcone”. No, to wszystko jest bardzo pouczające – innymi słowy, Aland mówi nam, że do 200 roku n.e. tradycji tekstowej w Egipcie</w:t>
      </w:r>
      <w:r>
        <w:t xml:space="preserve"> </w:t>
      </w:r>
      <w:r>
        <w:rPr>
          <w:b/>
          <w:bCs/>
        </w:rPr>
        <w:t xml:space="preserve">nie można było ufać</w:t>
      </w:r>
      <w:r>
        <w:t xml:space="preserve">. (K. i B. Aland, str. 59 oraz K. Aland, „The Text of the Church?”,</w:t>
      </w:r>
      <w:r>
        <w:t xml:space="preserve"> </w:t>
      </w:r>
      <w:r>
        <w:rPr>
          <w:i/>
          <w:iCs/>
        </w:rPr>
        <w:t xml:space="preserve">Trinity Journal</w:t>
      </w:r>
      <w:r>
        <w:t xml:space="preserve">, 1987, 8NS:138).</w:t>
      </w:r>
    </w:p>
  </w:footnote>
  <w:footnote w:id="127">
    <w:p>
      <w:pPr>
        <w:pStyle w:val="FootnoteText"/>
      </w:pPr>
      <w:r>
        <w:rPr>
          <w:rStyle w:val="FootnoteReference"/>
        </w:rPr>
        <w:footnoteRef/>
      </w:r>
      <w:r>
        <w:t xml:space="preserve"> </w:t>
      </w:r>
      <w:r>
        <w:t xml:space="preserve">B.M. Metzger, The Early Versions of the New Testament (Oksford: Clarendon Press, 1977), s. 104.</w:t>
      </w:r>
    </w:p>
  </w:footnote>
  <w:footnote w:id="128">
    <w:p>
      <w:pPr>
        <w:pStyle w:val="FootnoteText"/>
      </w:pPr>
      <w:r>
        <w:rPr>
          <w:rStyle w:val="FootnoteReference"/>
        </w:rPr>
        <w:footnoteRef/>
      </w:r>
      <w:r>
        <w:t xml:space="preserve"> </w:t>
      </w:r>
      <w:r>
        <w:t xml:space="preserve">Itacyzm – proces fonetyczny polegający na zwężeniu długiego /E/ otwartego (oznaczanego w języku greckim literą eta) i ujednoliceniu się jej z samogłoską /I/, w wyniku tego nazwa litery Η („eta”) zaczyna brzmieć „ita” i stąd nazwa procesu. [przyp. tłum.]</w:t>
      </w:r>
      <w:r>
        <w:br/>
      </w:r>
      <w:r>
        <w:t xml:space="preserve">https://pl.wikipedia.org/wiki/Itacyzm</w:t>
      </w:r>
    </w:p>
  </w:footnote>
  <w:footnote w:id="129">
    <w:p>
      <w:pPr>
        <w:pStyle w:val="FootnoteText"/>
      </w:pPr>
      <w:r>
        <w:rPr>
          <w:rStyle w:val="FootnoteReference"/>
        </w:rPr>
        <w:footnoteRef/>
      </w:r>
      <w:r>
        <w:t xml:space="preserve"> </w:t>
      </w:r>
      <w:r>
        <w:t xml:space="preserve">E.C. Colwell, „Scribal Habits in Early Papyri: A Study in the Corruption of the text”, The Bible in Modern Scholarship, red. J.P. Hyatt (Nowy Jork: Abingdon Press, 1955), s. 374–376, 380.</w:t>
      </w:r>
    </w:p>
  </w:footnote>
  <w:footnote w:id="130">
    <w:p>
      <w:pPr>
        <w:pStyle w:val="FootnoteText"/>
      </w:pPr>
      <w:r>
        <w:rPr>
          <w:rStyle w:val="FootnoteReference"/>
        </w:rPr>
        <w:footnoteRef/>
      </w:r>
      <w:r>
        <w:t xml:space="preserve"> </w:t>
      </w:r>
      <w:r>
        <w:t xml:space="preserve">K. i B. Aland, Tekst Nowego Testamentu (Grand Rapids: Eerdmans, 1981), s. 52–53.</w:t>
      </w:r>
    </w:p>
  </w:footnote>
  <w:footnote w:id="131">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strona 53.</w:t>
      </w:r>
    </w:p>
  </w:footnote>
  <w:footnote w:id="132">
    <w:p>
      <w:pPr>
        <w:pStyle w:val="FootnoteText"/>
      </w:pPr>
      <w:r>
        <w:rPr>
          <w:rStyle w:val="FootnoteReference"/>
        </w:rPr>
        <w:footnoteRef/>
      </w:r>
      <w:r>
        <w:t xml:space="preserve"> </w:t>
      </w:r>
      <w:r>
        <w:t xml:space="preserve">C.H. Roberts,</w:t>
      </w:r>
      <w:r>
        <w:t xml:space="preserve"> </w:t>
      </w:r>
      <w:r>
        <w:rPr>
          <w:i/>
          <w:iCs/>
        </w:rPr>
        <w:t xml:space="preserve">Manuscript, Society and Belief in Early Christian Egypt</w:t>
      </w:r>
      <w:r>
        <w:t xml:space="preserve"> </w:t>
      </w:r>
      <w:r>
        <w:t xml:space="preserve">(Londyn: Oxford University Press, 1979), s. 42–43, 54–58.</w:t>
      </w:r>
    </w:p>
  </w:footnote>
  <w:footnote w:id="133">
    <w:p>
      <w:pPr>
        <w:pStyle w:val="FootnoteText"/>
      </w:pPr>
      <w:r>
        <w:rPr>
          <w:rStyle w:val="FootnoteReference"/>
        </w:rPr>
        <w:footnoteRef/>
      </w:r>
      <w:r>
        <w:t xml:space="preserve"> </w:t>
      </w:r>
      <w:r>
        <w:t xml:space="preserve">K. i B. Aland, s. 59.</w:t>
      </w:r>
    </w:p>
  </w:footnote>
  <w:footnote w:id="134">
    <w:p>
      <w:pPr>
        <w:pStyle w:val="FootnoteText"/>
      </w:pPr>
      <w:r>
        <w:rPr>
          <w:rStyle w:val="FootnoteReference"/>
        </w:rPr>
        <w:footnoteRef/>
      </w:r>
      <w:r>
        <w:t xml:space="preserve"> </w:t>
      </w:r>
      <w:r>
        <w:t xml:space="preserve">K. Aland, „The Text of the Church?”,</w:t>
      </w:r>
      <w:r>
        <w:t xml:space="preserve"> </w:t>
      </w:r>
      <w:r>
        <w:rPr>
          <w:i/>
          <w:iCs/>
        </w:rPr>
        <w:t xml:space="preserve">Trinity Journal</w:t>
      </w:r>
      <w:r>
        <w:t xml:space="preserve">, 1987, 8NS:138.</w:t>
      </w:r>
    </w:p>
  </w:footnote>
  <w:footnote w:id="135">
    <w:p>
      <w:pPr>
        <w:pStyle w:val="FootnoteText"/>
      </w:pPr>
      <w:r>
        <w:rPr>
          <w:rStyle w:val="FootnoteReference"/>
        </w:rPr>
        <w:footnoteRef/>
      </w:r>
      <w:r>
        <w:t xml:space="preserve"> </w:t>
      </w:r>
      <w:r>
        <w:t xml:space="preserve">Metzger,</w:t>
      </w:r>
      <w:r>
        <w:t xml:space="preserve"> </w:t>
      </w:r>
      <w:r>
        <w:rPr>
          <w:i/>
          <w:iCs/>
        </w:rPr>
        <w:t xml:space="preserve">Early Versions</w:t>
      </w:r>
      <w:r>
        <w:t xml:space="preserve">, s. 101.</w:t>
      </w:r>
    </w:p>
  </w:footnote>
  <w:footnote w:id="136">
    <w:p>
      <w:pPr>
        <w:pStyle w:val="FootnoteText"/>
      </w:pPr>
      <w:r>
        <w:rPr>
          <w:rStyle w:val="FootnoteReference"/>
        </w:rPr>
        <w:footnoteRef/>
      </w:r>
      <w:r>
        <w:t xml:space="preserve"> </w:t>
      </w:r>
      <w:r>
        <w:t xml:space="preserve">Kwartodecymanie - istniejące w pierwszych wiekach n.e. grupy chrześcijańskie obchodzące pamiątkę śmierci i zmartwychwstania Chrystusa w 14 dniu miesiąca nisan według żydowskiego kalendarza, zamiast w pierwszą niedzielę następującą po tym wydarzeniu. [przyp. tłum.]</w:t>
      </w:r>
      <w:r>
        <w:br/>
      </w:r>
      <w:r>
        <w:t xml:space="preserve">https://pl.wikipedia.org/wiki/Kwartodecymanie</w:t>
      </w:r>
      <w:r>
        <w:t xml:space="preserve"> </w:t>
      </w:r>
      <w:r>
        <w:t xml:space="preserve">https://cotojestprawda.wordpress.com/2018/04/11/wczesnochrzescijanskie-spory-o-date-wielkanocy-ii-vi-wiek-oraz-ich-historyczne-znaczenie</w:t>
      </w:r>
    </w:p>
  </w:footnote>
  <w:footnote w:id="137">
    <w:p>
      <w:pPr>
        <w:pStyle w:val="FootnoteText"/>
      </w:pPr>
      <w:r>
        <w:rPr>
          <w:rStyle w:val="FootnoteReference"/>
        </w:rPr>
        <w:footnoteRef/>
      </w:r>
      <w:r>
        <w:t xml:space="preserve"> </w:t>
      </w:r>
      <w:r>
        <w:t xml:space="preserve">W.R. Farmer, The Last Twelve Verses of Mark (Cambridge: University Press, 1974), s. 14–15. Autor przytacza B.H. Streeter, The Four Gospels: A Study of Origins (Londyn: Macmillan and Co., 1924 r.), s. 111, 122–123.</w:t>
      </w:r>
    </w:p>
  </w:footnote>
  <w:footnote w:id="139">
    <w:p>
      <w:pPr>
        <w:pStyle w:val="FootnoteText"/>
      </w:pPr>
      <w:r>
        <w:rPr>
          <w:rStyle w:val="FootnoteReference"/>
        </w:rPr>
        <w:footnoteRef/>
      </w:r>
      <w:r>
        <w:t xml:space="preserve"> </w:t>
      </w:r>
      <w:r>
        <w:t xml:space="preserve">To była doskonała okazja, by teksty „Aleksandryjskie” i „Zachodnie” ruszyły do przodu i odebrały „przestrzeń” tekstowi „Bizantyjskiemu”, ale tak się nie stało. Kościół odrzucił te typy tekstów. Jak współcześni krytycy mogliby być w lepszej pozycji do zidentyfikowania prawdziwego tekstu, niż był Kościół powszechny na początku IV wieku?</w:t>
      </w:r>
    </w:p>
  </w:footnote>
  <w:footnote w:id="140">
    <w:p>
      <w:pPr>
        <w:pStyle w:val="FootnoteText"/>
      </w:pPr>
      <w:r>
        <w:rPr>
          <w:rStyle w:val="FootnoteReference"/>
        </w:rPr>
        <w:footnoteRef/>
      </w:r>
      <w:r>
        <w:t xml:space="preserve"> </w:t>
      </w:r>
      <w:r>
        <w:t xml:space="preserve">Demonstracja dowodząca słuszności mojego twierdzenia znajduje się w dodatku C do mojej książki</w:t>
      </w:r>
      <w:r>
        <w:t xml:space="preserve"> </w:t>
      </w:r>
      <w:r>
        <w:rPr>
          <w:i/>
          <w:iCs/>
        </w:rPr>
        <w:t xml:space="preserve">The Identity of the New Testament Text IV</w:t>
      </w:r>
      <w:r>
        <w:t xml:space="preserve">, dostępnej na Amazon.com jak również na mojej stronie internetowej www.prunch.org.</w:t>
      </w:r>
    </w:p>
  </w:footnote>
  <w:footnote w:id="141">
    <w:p>
      <w:pPr>
        <w:pStyle w:val="FootnoteText"/>
      </w:pPr>
      <w:r>
        <w:rPr>
          <w:rStyle w:val="FootnoteReference"/>
        </w:rPr>
        <w:footnoteRef/>
      </w:r>
      <w:r>
        <w:t xml:space="preserve"> </w:t>
      </w:r>
      <w:r>
        <w:t xml:space="preserve">Do tej pory unikałem wprowadzenia argumentów opartych na opatrzności Bożej, ponieważ nie wszyscy akceptują taką argumentację, a także dlatego, że wyższość Tekstu Bizantyjskiego można wykazać bez uciekania się do niej. Uważam zatem, że przedstawiony powyżej argument oparty na prawdopodobieństwie statystycznym jest w obecnej postaci zasadny. Jednakże, choć nie argumentowałem w oparciu o Opatrzność, pragnę, aby czytelnik rozumiał, że osobiście nie uważam, aby zachowanie prawdziwego tekstu przebiegało w sposób tak mechaniczny, jak mogłaby sugerować powyższa dyskusja. Z przytoczonych wcześniej dowodów wydaje się jasne, że bardzo wiele wariantów odczytów (być może większość tych ze złymi zamiarami), które istniały w II wieku, po prostu nie przetrwało – nie mamy zachowanych żadnych świadectw ich istnienia. Możemy rozsądnie wnioskować, że pierwsi chrześcijanie byli troskliwymi i zdolnymi strażnikami prawdziwego tekstu. Chciałbym wierzyć, że byli wspomagani i wspierani przez Ducha Świętego. W takim przypadku bezpieczeństwo tekstu jest znacznie większe, niż sugeruje to samo prawdopodobieństwo, włącznie z twierdzeniem, że żadne z oryginalnych sformułowań nie zostało utracone.</w:t>
      </w:r>
    </w:p>
  </w:footnote>
  <w:footnote w:id="142">
    <w:p>
      <w:pPr>
        <w:pStyle w:val="FootnoteText"/>
      </w:pPr>
      <w:r>
        <w:rPr>
          <w:rStyle w:val="FootnoteReference"/>
        </w:rPr>
        <w:footnoteRef/>
      </w:r>
      <w:r>
        <w:t xml:space="preserve"> </w:t>
      </w:r>
      <w:r>
        <w:t xml:space="preserve">W ramach szerokiego nurtu bizantyjskiego istnieją dziesiątki mniejszych odgałęzień (przypomnijmy, że F. Wisse wyodrębnił 36 grup, obejmujących 70 podgrup), jednak największą odrębną linią przekazu jest Rodzina 35, stanowiąca główny nurt, i to właśnie tę rodzinę Bóg wykorzystał do zachowania precyzyjnych, oryginalnych sformułowań. Więcej informacji na ten temat można znaleźć w części II.</w:t>
      </w:r>
    </w:p>
  </w:footnote>
  <w:footnote w:id="143">
    <w:p>
      <w:pPr>
        <w:pStyle w:val="FootnoteText"/>
      </w:pPr>
      <w:r>
        <w:rPr>
          <w:rStyle w:val="FootnoteReference"/>
        </w:rPr>
        <w:footnoteRef/>
      </w:r>
      <w:r>
        <w:t xml:space="preserve"> </w:t>
      </w:r>
      <w:r>
        <w:t xml:space="preserve">Zarzuca mi się niekonsekwencję w tym, że krytykuję Westcotta i Horta za traktowanie Nowego Testamentu jak każdej innej książki, a sam twierdzę, że Tekst Większościowy jest wynikiem „normalnego przebiegu przekazywania”. Nic podobnego, odnoszę się do normalnego przebiegu przekazywania</w:t>
      </w:r>
      <w:r>
        <w:t xml:space="preserve"> </w:t>
      </w:r>
      <w:r>
        <w:rPr>
          <w:b/>
          <w:bCs/>
        </w:rPr>
        <w:t xml:space="preserve">natchnionego Tekstu</w:t>
      </w:r>
      <w:r>
        <w:t xml:space="preserve">, czemu Westcott i Hort zaprzeczali. Odnoszę się do wierzących kopiujących tekst, który</w:t>
      </w:r>
      <w:r>
        <w:t xml:space="preserve"> </w:t>
      </w:r>
      <w:r>
        <w:rPr>
          <w:b/>
          <w:bCs/>
        </w:rPr>
        <w:t xml:space="preserve">oni</w:t>
      </w:r>
      <w:r>
        <w:t xml:space="preserve"> </w:t>
      </w:r>
      <w:r>
        <w:t xml:space="preserve">uważali za natchniony. Ponadto uznaję również „nienormalny przebieg przekazywania”, podczas gdy Westcott i Hort tego nie robili. Gordon Fee poważnie zniekształca moje stanowisko, ignorując moją dyskusję na temat nienormalnego przebiegu przekazywania (G.D. Fee, „A Critique of W.N. Pickering’s</w:t>
      </w:r>
      <w:r>
        <w:t xml:space="preserve"> </w:t>
      </w:r>
      <w:r>
        <w:rPr>
          <w:i/>
          <w:iCs/>
        </w:rPr>
        <w:t xml:space="preserve">The Identity of the New Testament Text</w:t>
      </w:r>
      <w:r>
        <w:t xml:space="preserve">: A Review Article”,</w:t>
      </w:r>
      <w:r>
        <w:t xml:space="preserve"> </w:t>
      </w:r>
      <w:r>
        <w:rPr>
          <w:i/>
          <w:iCs/>
        </w:rPr>
        <w:t xml:space="preserve">The Westminster Theological Journal</w:t>
      </w:r>
      <w:r>
        <w:t xml:space="preserve">, XLI [wiosna 1979], str. 404-408) oraz błędnie przedstawiając mój pogląd na temat normalnego przebiegu przekazywania (</w:t>
      </w:r>
      <w:r>
        <w:rPr>
          <w:i/>
          <w:iCs/>
        </w:rPr>
        <w:t xml:space="preserve">Ibid</w:t>
      </w:r>
      <w:r>
        <w:t xml:space="preserve">., str. 399). Uważam, że 95% wariantów, te oczywiste błędy transkrypcyjne, należą (w większości) do normalnego przebiegu przekazywania, podczas gdy większość pozostałych 5%, te „znaczące” warianty, należą do nienormalnego przebiegu przekazywania.</w:t>
      </w:r>
    </w:p>
  </w:footnote>
  <w:footnote w:id="144">
    <w:p>
      <w:pPr>
        <w:pStyle w:val="FootnoteText"/>
      </w:pPr>
      <w:r>
        <w:rPr>
          <w:rStyle w:val="FootnoteReference"/>
        </w:rPr>
        <w:footnoteRef/>
      </w:r>
      <w:r>
        <w:t xml:space="preserve"> </w:t>
      </w:r>
      <w:r>
        <w:t xml:space="preserve">3 J.W. Burgon,</w:t>
      </w:r>
      <w:r>
        <w:t xml:space="preserve"> </w:t>
      </w:r>
      <w:r>
        <w:rPr>
          <w:i/>
          <w:iCs/>
        </w:rPr>
        <w:t xml:space="preserve">The Revision Revised</w:t>
      </w:r>
      <w:r>
        <w:t xml:space="preserve"> </w:t>
      </w:r>
      <w:r>
        <w:t xml:space="preserve">(Londyn: John Murray, 1883), s. 323–324.</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jpg" /><Relationship Type="http://schemas.openxmlformats.org/officeDocument/2006/relationships/image" Id="rId44" Target="media/rId44.jpg" /><Relationship Type="http://schemas.openxmlformats.org/officeDocument/2006/relationships/image" Id="rId40" Target="media/rId40.png" /><Relationship Type="http://schemas.openxmlformats.org/officeDocument/2006/relationships/hyperlink" Id="rId47" Target="http://creationwiki.org/Image:Cem2.jpg" TargetMode="External" /><Relationship Type="http://schemas.openxmlformats.org/officeDocument/2006/relationships/hyperlink" Id="rId35" Target="https://commons.wikimedia.org/wiki/File:Chief_Mountain.jpg" TargetMode="External" /><Relationship Type="http://schemas.openxmlformats.org/officeDocument/2006/relationships/hyperlink" Id="rId43" Target="https://core.ac.uk/download/pdf/47225227.pdf" TargetMode="External" /><Relationship Type="http://schemas.openxmlformats.org/officeDocument/2006/relationships/hyperlink" Id="rId15" Target="https://creativecommons.org/licenses/by-sa/4.0/" TargetMode="External" /><Relationship Type="http://schemas.openxmlformats.org/officeDocument/2006/relationships/hyperlink" Id="rId16" Target="https://creativecommons.org/licenses/by-sa/4.0/deed.pl#ref-indicate-changes" TargetMode="External" /><Relationship Type="http://schemas.openxmlformats.org/officeDocument/2006/relationships/hyperlink" Id="rId17" Target="https://creativecommons.org/licenses/by-sa/4.0/deed.pl#ref-same-license" TargetMode="External" /><Relationship Type="http://schemas.openxmlformats.org/officeDocument/2006/relationships/hyperlink" Id="rId14" Target="https://github.com/tometchy/Bog-zachowal-swoj-Tekst-Wilbur-Pickering/raw/refs/heads/master/build/docx/Bog-zachowal-swoj-Tekst-Wilbur-Pickering.docx" TargetMode="External" /><Relationship Type="http://schemas.openxmlformats.org/officeDocument/2006/relationships/hyperlink" Id="rId12" Target="https://github.com/tometchy/Bog-zachowal-swoj-Tekst-Wilbur-Pickering/raw/refs/heads/master/build/epub/Bog-zachowal-swoj-Tekst-Wilbur-Pickering.epub" TargetMode="External" /><Relationship Type="http://schemas.openxmlformats.org/officeDocument/2006/relationships/hyperlink" Id="rId13" Target="https://github.com/tometchy/Bog-zachowal-swoj-Tekst-Wilbur-Pickering/raw/refs/heads/master/build/pdf/Bog-zachowal-swoj-Tekst-Wilbur-Pickering.pdf" TargetMode="External" /><Relationship Type="http://schemas.openxmlformats.org/officeDocument/2006/relationships/hyperlink" Id="rId11" Target="https://tometchy.github.io/Bog-zachowal-swoj-Tekst-Wilbur-Pickering" TargetMode="External" /><Relationship Type="http://schemas.openxmlformats.org/officeDocument/2006/relationships/hyperlink" Id="rId9" Target="https://web.archive.org/web/20240804201013/https://www.prunch.com.br/wp-content/uploads/2021/07/God-Has-Preserved-His-Text-4th.pdf" TargetMode="External" /><Relationship Type="http://schemas.openxmlformats.org/officeDocument/2006/relationships/hyperlink" Id="rId10"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47" Target="http://creationwiki.org/Image:Cem2.jpg" TargetMode="External" /><Relationship Type="http://schemas.openxmlformats.org/officeDocument/2006/relationships/hyperlink" Id="rId35" Target="https://commons.wikimedia.org/wiki/File:Chief_Mountain.jpg" TargetMode="External" /><Relationship Type="http://schemas.openxmlformats.org/officeDocument/2006/relationships/hyperlink" Id="rId43" Target="https://core.ac.uk/download/pdf/47225227.pdf" TargetMode="External" /><Relationship Type="http://schemas.openxmlformats.org/officeDocument/2006/relationships/hyperlink" Id="rId15" Target="https://creativecommons.org/licenses/by-sa/4.0/" TargetMode="External" /><Relationship Type="http://schemas.openxmlformats.org/officeDocument/2006/relationships/hyperlink" Id="rId16" Target="https://creativecommons.org/licenses/by-sa/4.0/deed.pl#ref-indicate-changes" TargetMode="External" /><Relationship Type="http://schemas.openxmlformats.org/officeDocument/2006/relationships/hyperlink" Id="rId17" Target="https://creativecommons.org/licenses/by-sa/4.0/deed.pl#ref-same-license" TargetMode="External" /><Relationship Type="http://schemas.openxmlformats.org/officeDocument/2006/relationships/hyperlink" Id="rId14" Target="https://github.com/tometchy/Bog-zachowal-swoj-Tekst-Wilbur-Pickering/raw/refs/heads/master/build/docx/Bog-zachowal-swoj-Tekst-Wilbur-Pickering.docx" TargetMode="External" /><Relationship Type="http://schemas.openxmlformats.org/officeDocument/2006/relationships/hyperlink" Id="rId12" Target="https://github.com/tometchy/Bog-zachowal-swoj-Tekst-Wilbur-Pickering/raw/refs/heads/master/build/epub/Bog-zachowal-swoj-Tekst-Wilbur-Pickering.epub" TargetMode="External" /><Relationship Type="http://schemas.openxmlformats.org/officeDocument/2006/relationships/hyperlink" Id="rId13" Target="https://github.com/tometchy/Bog-zachowal-swoj-Tekst-Wilbur-Pickering/raw/refs/heads/master/build/pdf/Bog-zachowal-swoj-Tekst-Wilbur-Pickering.pdf" TargetMode="External" /><Relationship Type="http://schemas.openxmlformats.org/officeDocument/2006/relationships/hyperlink" Id="rId11" Target="https://tometchy.github.io/Bog-zachowal-swoj-Tekst-Wilbur-Pickering" TargetMode="External" /><Relationship Type="http://schemas.openxmlformats.org/officeDocument/2006/relationships/hyperlink" Id="rId9" Target="https://web.archive.org/web/20240804201013/https://www.prunch.com.br/wp-content/uploads/2021/07/God-Has-Preserved-His-Text-4th.pdf" TargetMode="External" /><Relationship Type="http://schemas.openxmlformats.org/officeDocument/2006/relationships/hyperlink" Id="rId10"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2026-04-26T15:10:04Z</dcterms:created>
  <dcterms:modified xsi:type="dcterms:W3CDTF">2026-04-26T15:10:04Z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Boża ochrona Nowego Testamentu</vt:lpwstr>
  </property>
  <property fmtid="{D5CDD505-2E9C-101B-9397-08002B2CF9AE}" pid="10" name="tags">
    <vt:lpwstr/>
  </property>
</Properties>
</file>