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5"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pamiętnikach,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o ile pozwala na to czas. Kiedy czytelnik kończy, przewodniczący w dyskursie namawia nas i zachęca do naśladowania tych szlachetnych rzeczy.</w:t>
      </w:r>
      <w:r>
        <w:rPr>
          <w:rStyle w:val="FootnoteReference"/>
        </w:rPr>
        <w:footnoteReference w:id="114"/>
      </w:r>
    </w:p>
    <w:p>
      <w:pPr>
        <w:pStyle w:val="BlockText"/>
      </w:pPr>
      <w:r>
        <w:t xml:space="preserve">And on the day called Sunday there is a meeting in one place of those who live in cities or the country, and the memoirs of the apostles or the writings of the prophets are read as long as time permits. When the reader has finished, the president in a discourse urges and invites us to the imitation of these noble things.4</w:t>
      </w:r>
    </w:p>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w:t>
      </w:r>
      <w:r>
        <w:t xml:space="preserve"> </w:t>
      </w:r>
      <w:r>
        <w:t xml:space="preserve">E.R. Hardy, again. His careful study of the early Christian literary papyri has led C.H. Roberts to conclude:</w:t>
      </w:r>
      <w:r>
        <w:t xml:space="preserve"> </w:t>
      </w:r>
      <w:r>
        <w:t xml:space="preserve">“</w:t>
      </w:r>
      <w:r>
        <w:t xml:space="preserve">This points to the careful and regular use of the scriptures by the local communities</w:t>
      </w:r>
      <w:r>
        <w:t xml:space="preserve">”</w:t>
      </w:r>
      <w:r>
        <w:t xml:space="preserve"> </w:t>
      </w:r>
      <w:r>
        <w:t xml:space="preserve">(Manuscript, Society and Belief in Early Christian Egypt [London: Oxford Univ. Press, 1979], p. 25). He also infers from P. Oxy. iii. 405 that a copy of Irenaeus’ Adversus Haereses, written in Lyons, was brought to Oxyrhynchus within a very few years after it was written (Ibid., pp. 23, 53), eloquent testimony to the extent of the traffic among the early churches.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2026-01-08T05:32:55Z</dcterms:created>
  <dcterms:modified xsi:type="dcterms:W3CDTF">2026-01-08T05:32:55Z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