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chrześcijańskim.[^ch-roberts-4243-5458] Aland stwierdza: „Egipt wyróżniał się spośród innych prowincji Kościoła, na ile możemy to ocenić, wczesną dominacją gnostycyzmu”.[^k-i-b-aland-s-59] Dalej informuje nas, że „pod koniec II wieku” Kościół egipski był „w przeważającej mierze gnostycki”, a następnie dodaje: „Kopie istniejące w społecznościach gnostyckich nie mogły być używane, ponieważ podejrzewano, że były zniekształcone”.[^k-aland-1987-8ns138] 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ortodoksi.[^metzger-early-version-101]</w:t>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It is important to note that the earliest Christians did not need to be textual critics. Starting out with what they knew to be the pure text, they had only to be reasonably honest and careful. I submit that we have good reason for understanding that they were especially watchful and careful— this especially in the early decades. And in one line of transmission this continued to be the case. Having myself collated at least one book in over 120 MSS belonging to the line of transmission that I call Family 35, I hold a perfect copy of at least 22 of the 27 NT books, copies made in the 11th , 12th, 13th , 14th and 15th centuries. For a copy to be perfect in the 14th century, all of its ‘ancestors’ had to be perfect, all the way back to the family archetype. I believe that the archetype of Family 35 is the Autograph, but if not, it must date back to the 3rd century, at least.</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pozostawało tak nadal. Sam zestawiłem co najmniej jedną księgę w ponad 120 manuskryptach należących do linii przekazu, którą nazywam Rodziną 35, i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As time went on regional attitudes developed, not to mention regional politics. The rise of the so-called ‘school of Antioch’ is a relevant consideration. Beginning with Theophilus, a bishop of Antioch who died around 185, the Antiochians began insisting upon the literal interpretation of Scripture. The point is that a literalist is obliged to be concerned about the precise wording of the text since his interpretation or exegesis hinges upon it.</w:t>
      </w:r>
    </w:p>
    <w:p>
      <w:pPr>
        <w:pStyle w:val="BodyText"/>
      </w:pPr>
      <w:r>
        <w:t xml:space="preserve">[^ch-roberts-4243-5458] C.H. Roberts,</w:t>
      </w:r>
      <w:r>
        <w:t xml:space="preserve"> </w:t>
      </w:r>
      <w:r>
        <w:rPr>
          <w:i/>
          <w:iCs/>
        </w:rPr>
        <w:t xml:space="preserve">Manuscript, Society and Belief in Early Christian Egypt</w:t>
      </w:r>
      <w:r>
        <w:t xml:space="preserve"> </w:t>
      </w:r>
      <w:r>
        <w:t xml:space="preserve">(Londyn: Oxford University Press, 1979), s. 42–43, 54–58.</w:t>
      </w:r>
    </w:p>
    <w:p>
      <w:pPr>
        <w:pStyle w:val="BodyText"/>
      </w:pPr>
      <w:r>
        <w:t xml:space="preserve">[^k-i-b-aland-s-59] K. i B. Aland, s. 59.</w:t>
      </w:r>
    </w:p>
    <w:p>
      <w:pPr>
        <w:pStyle w:val="BodyText"/>
      </w:pPr>
      <w:r>
        <w:t xml:space="preserve">[^k-aland-1987-8ns138] K. Aland, „The Text of the Church?”,</w:t>
      </w:r>
      <w:r>
        <w:t xml:space="preserve"> </w:t>
      </w:r>
      <w:r>
        <w:rPr>
          <w:i/>
          <w:iCs/>
        </w:rPr>
        <w:t xml:space="preserve">Trinity Journal</w:t>
      </w:r>
      <w:r>
        <w:t xml:space="preserve">, 1987, 8NS:138.</w:t>
      </w:r>
    </w:p>
    <w:p>
      <w:pPr>
        <w:pStyle w:val="BodyText"/>
      </w:pPr>
      <w:r>
        <w:t xml:space="preserve">[^metzger-early-version-101] Metzger,</w:t>
      </w:r>
      <w:r>
        <w:t xml:space="preserve"> </w:t>
      </w:r>
      <w:r>
        <w:rPr>
          <w:i/>
          <w:iCs/>
        </w:rPr>
        <w:t xml:space="preserve">Early Versions</w:t>
      </w:r>
      <w:r>
        <w:t xml:space="preserve">, s. 101.</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2026-03-31T04:10:51Z</dcterms:created>
  <dcterms:modified xsi:type="dcterms:W3CDTF">2026-03-31T04:10:51Z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