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Ewangelię Mateusza 5,28 jako Pismo Święte: „…Albowiem, jak mówi Pismo Święte, «Ten, kto patrzy na kobietę pożądliwie, już popełnił cudzołóstwo w swoim sercu»” (32)</w:t>
      </w:r>
      <w:r>
        <w:rPr>
          <w:rStyle w:val="FootnoteReference"/>
        </w:rPr>
        <w:footnoteReference w:id="116"/>
      </w:r>
      <w:r>
        <w:t xml:space="preserve">. Podobnie traktuje Ewangelię Mateusza 19,9 lub Ewangelię Marka 10,11 w rozdziale 33.</w:t>
      </w:r>
    </w:p>
    <w:p>
      <w:pPr>
        <w:pStyle w:val="BodyText"/>
      </w:pPr>
      <w:r>
        <w:t xml:space="preserve">Athenagorus, in his</w:t>
      </w:r>
      <w:r>
        <w:t xml:space="preserve"> </w:t>
      </w:r>
      <w:r>
        <w:t xml:space="preserve">“</w:t>
      </w:r>
      <w:r>
        <w:t xml:space="preserve">Plea</w:t>
      </w:r>
      <w:r>
        <w:t xml:space="preserve">”</w:t>
      </w:r>
      <w:r>
        <w:rPr>
          <w:rStyle w:val="FootnoteReference"/>
        </w:rPr>
        <w:footnoteReference w:id="117"/>
      </w:r>
      <w:r>
        <w:t xml:space="preserve">, written in early 177, quotes Matthew 5,28 as Scripture:</w:t>
      </w:r>
      <w:r>
        <w:t xml:space="preserve"> </w:t>
      </w:r>
      <w:r>
        <w:t xml:space="preserve">“</w:t>
      </w:r>
      <w:r>
        <w:t xml:space="preserve">…we are not even allowed to indulge in a lustful glance. For, says the Scripture,</w:t>
      </w:r>
      <w:r>
        <w:t xml:space="preserve"> </w:t>
      </w:r>
      <w:r>
        <w:t xml:space="preserve">‘</w:t>
      </w:r>
      <w:r>
        <w:t xml:space="preserve">He who looks at a woman lustfully, has already committed adultery in his heart</w:t>
      </w:r>
      <w:r>
        <w:t xml:space="preserve">’</w:t>
      </w:r>
      <w:r>
        <w:t xml:space="preserve">”</w:t>
      </w:r>
      <w:r>
        <w:t xml:space="preserve"> </w:t>
      </w:r>
      <w:r>
        <w:t xml:space="preserve">(32).</w:t>
      </w:r>
      <w:r>
        <w:rPr>
          <w:rStyle w:val="FootnoteReference"/>
        </w:rPr>
        <w:footnoteReference w:id="118"/>
      </w:r>
      <w:r>
        <w:t xml:space="preserve"> </w:t>
      </w:r>
      <w:r>
        <w:t xml:space="preserve">He similarly treats Matthew 19,9, or Mark 10,11, in 33.</w:t>
      </w:r>
    </w:p>
    <w:bookmarkEnd w:id="119"/>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8">
    <w:p>
      <w:pPr>
        <w:pStyle w:val="FootnoteText"/>
      </w:pPr>
      <w:r>
        <w:rPr>
          <w:rStyle w:val="FootnoteReference"/>
        </w:rPr>
        <w:footnoteRef/>
      </w:r>
      <w:r>
        <w:t xml:space="preserve"> </w:t>
      </w:r>
      <w:r>
        <w:t xml:space="preserve">Skorzystałem z tłumaczenia autorstwa C.C. Richardsona z książki Early Christian Fathers.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2026-01-13T05:37:52Z</dcterms:created>
  <dcterms:modified xsi:type="dcterms:W3CDTF">2026-01-13T05:37:52Z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