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oba były uważane za autorytatywne i w równym stopniu zalecane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Whether or not the order suggests that the Gospels were preferred to the Prophets, it is clear that they both were considered to be authoritative and equally enjoined upon the hearers.</w:t>
      </w:r>
      <w:r>
        <w:t xml:space="preserve"> </w:t>
      </w:r>
      <w:r>
        <w:rPr>
          <w:bCs/>
          <w:b/>
        </w:rPr>
        <w:t xml:space="preserve">Notice further that each assembly must have had its own copy of the apostles’ writings to read from</w:t>
      </w:r>
      <w:r>
        <w:t xml:space="preserve">, and that such reading took place every week.</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2026-01-10T08:55:46Z</dcterms:created>
  <dcterms:modified xsi:type="dcterms:W3CDTF">2026-01-10T08:55:46Z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