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pozostawało tak nadal. Sam zestawiłem co najmniej jedną księgę w ponad 120 manuskryptach należących do linii przekazu, którą nazywam Rodziną 35, i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It is important to note that the earliest Christians did not need to be textual critics. Starting out with what they knew to be the pure text, they had only to be reasonably honest and careful. I submit that we have good reason for understanding that they were especially watchful and careful— this especially in the early decades. And in one line of transmission this continued to be the case. Having myself collated at least one book in over 120 MSS belonging to the line of transmission that I call Family 35, I hold a perfect copy of at least 22 of the 27 NT books, copies made in the 11th , 12th, 13th , 14th and 15th centuries. For a copy to be perfect in the 14th century, all of its ‘ancestors’ had to be perfect, all the way back to the family archetype. I believe that the archetype of Family 35 is the Autograph, but if not, it must date back to the 3rd century, at least.</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As time went on regional attitudes developed, not to mention regional politics. The rise of the so-called ‘school of Antioch’ is a relevant consideration. Beginning with Theophilus, a bishop of Antioch who died around 185, the Antiochians began insisting upon the literal interpretation of Scripture. The point is that a literalist is obliged to be concerned about the precise wording of the text since his interpretation or exegesis hinges upon it.</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It is reasonable to assume that this ‘literalist’ mentality would have influenced the churches of Asia Minor and Greece and encouraged them in the careful and faithful transmission of the pure text that they had received. For example, the extant MSS of the Syriac Peshitta are unparalleled for their consistency. (By way of contrast, the 8,000+ MSS of the Latin Vulgate are remarkable for their extensive discrepancies, and in this they follow the example of the Old Latin MSS.) It is not unreasonable to suppose that the Antiochian antipathy toward the Alexandrian allegorical interpretation of Scripture would rather indispose them to view with favor any competing forms of the text coming out of Egypt. Similarly the Quartodeciman controversy with Rome would scarcely enhance the appeal of any innovations coming from the West.</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Tbd.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2026-03-31T04:51:11Z</dcterms:created>
  <dcterms:modified xsi:type="dcterms:W3CDTF">2026-03-31T04:51:11Z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