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Override PartName="/word/media/rId1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 wydawnictwa</w:t>
      </w:r>
      <w:r>
        <w:t xml:space="preserve"> </w:t>
      </w:r>
      <w:hyperlink r:id="rId21">
        <w:r>
          <w:rPr>
            <w:rStyle w:val="Hyperlink"/>
          </w:rPr>
          <w:t xml:space="preserve">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w:t>
      </w:r>
      <w:r>
        <w:t xml:space="preserve"> </w:t>
      </w:r>
      <w:r>
        <w:rPr>
          <w:iCs/>
          <w:i/>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90" w:name="część-i-dowody-historyczne"/>
    <w:p>
      <w:pPr>
        <w:pStyle w:val="Heading1"/>
      </w:pPr>
      <w:r>
        <w:t xml:space="preserve">CZĘŚĆ I: Dowody historyczne</w:t>
      </w:r>
    </w:p>
    <w:bookmarkStart w:id="6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6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3"/>
    <w:bookmarkStart w:id="85" w:name="wprowadzenie"/>
    <w:p>
      <w:pPr>
        <w:pStyle w:val="Heading2"/>
      </w:pPr>
      <w:r>
        <w:t xml:space="preserve">Wprowadzenie</w:t>
      </w:r>
    </w:p>
    <w:bookmarkStart w:id="79" w:name="natchnienie"/>
    <w:p>
      <w:pPr>
        <w:pStyle w:val="Heading3"/>
      </w:pPr>
      <w:r>
        <w:t xml:space="preserve">Natchnienie</w:t>
      </w:r>
    </w:p>
    <w:p>
      <w:pPr>
        <w:pStyle w:val="FirstParagraph"/>
      </w:pPr>
      <w:r>
        <w:t xml:space="preserve">Gdy piszę książkę</w:t>
      </w:r>
      <w:r>
        <w:rPr>
          <w:rStyle w:val="FootnoteReference"/>
        </w:rPr>
        <w:footnoteReference w:id="6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8"/>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6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1"/>
      </w:r>
      <w:r>
        <w:t xml:space="preserve"> </w:t>
      </w:r>
      <w:r>
        <w:t xml:space="preserve">Ewangelii Chrystusa</w:t>
      </w:r>
      <w:r>
        <w:rPr>
          <w:rStyle w:val="FootnoteReference"/>
        </w:rPr>
        <w:footnoteReference w:id="72"/>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79"/>
    <w:bookmarkStart w:id="8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1"/>
    <w:bookmarkStart w:id="8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4"/>
    <w:bookmarkEnd w:id="85"/>
    <w:bookmarkStart w:id="18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8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3"/>
    <w:bookmarkStart w:id="121" w:name="X2567adac6f25933c916ef36242b5d7814bc2aed"/>
    <w:p>
      <w:pPr>
        <w:pStyle w:val="Heading3"/>
      </w:pPr>
      <w:r>
        <w:t xml:space="preserve">Wczesne rozpoznanie</w:t>
      </w:r>
      <w:r>
        <w:t xml:space="preserve"> </w:t>
      </w:r>
      <w:r>
        <w:rPr>
          <w:rStyle w:val="FootnoteReference"/>
        </w:rPr>
        <w:footnoteReference w:id="9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6"/>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7"/>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8"/>
      </w:r>
      <w:r>
        <w:t xml:space="preserve"> </w:t>
      </w:r>
      <w:r>
        <w:t xml:space="preserve">tak jak ci, którzy stali się naocznymi świadkami, od początku, i słudzy Słowa dostarczyli nam je,</w:t>
      </w:r>
      <w:r>
        <w:rPr>
          <w:rStyle w:val="FootnoteReference"/>
        </w:rPr>
        <w:footnoteReference w:id="99"/>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0"/>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3"/>
      </w:r>
    </w:p>
    <w:p>
      <w:pPr>
        <w:pStyle w:val="BodyText"/>
      </w:pPr>
      <w:r>
        <w:t xml:space="preserve">Autor, kimkolwiek był, wyraźnie przypisuje boskie autorstwo temu cytatowi, który wydaje się pochodzić z 2 Listu Piotra 3,8.</w:t>
      </w:r>
      <w:r>
        <w:rPr>
          <w:rStyle w:val="FootnoteReference"/>
        </w:rPr>
        <w:footnoteReference w:id="10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09"/>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1"/>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5"/>
      </w:r>
      <w:r>
        <w:t xml:space="preserve">. Podobnie traktuje on Ewangelię Mateusza 19,9 lub Ewangelię Marka 10,11 w rozdziale 33.</w:t>
      </w:r>
    </w:p>
    <w:p>
      <w:pPr>
        <w:pStyle w:val="BodyText"/>
      </w:pPr>
      <w:r>
        <w:t xml:space="preserve">Teofil, biskup Antiochii</w:t>
      </w:r>
      <w:r>
        <w:rPr>
          <w:rStyle w:val="FootnoteReference"/>
        </w:rPr>
        <w:footnoteReference w:id="11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7"/>
      </w:r>
    </w:p>
    <w:p>
      <w:pPr>
        <w:pStyle w:val="BodyText"/>
      </w:pPr>
      <w:r>
        <w:t xml:space="preserve">Dzieła Ireneusza (zm. 202 r.)</w:t>
      </w:r>
      <w:r>
        <w:rPr>
          <w:rStyle w:val="FootnoteReference"/>
        </w:rPr>
        <w:footnoteReference w:id="118"/>
      </w:r>
      <w:r>
        <w:t xml:space="preserve">, które zachowały się do dziś, jego główne dzieło</w:t>
      </w:r>
      <w:r>
        <w:t xml:space="preserve"> </w:t>
      </w:r>
      <w:r>
        <w:rPr>
          <w:iCs/>
          <w:i/>
        </w:rPr>
        <w:t xml:space="preserve">Przeciw heretykom</w:t>
      </w:r>
      <w:r>
        <w:rPr>
          <w:rStyle w:val="FootnoteReference"/>
        </w:rPr>
        <w:footnoteReference w:id="11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0"/>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1"/>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32"/>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9"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Cs/>
          <w:i/>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42"/>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43"/>
      </w:r>
      <w:r>
        <w:t xml:space="preserve"> </w:t>
      </w:r>
      <w:r>
        <w:t xml:space="preserve">Aland stwierdza: „Egipt wyróżniał się spośród innych prowincji Kościoła, na ile możemy to ocenić, wczesną dominacją gnostycyzmu”.</w:t>
      </w:r>
      <w:r>
        <w:rPr>
          <w:rStyle w:val="FootnoteReference"/>
        </w:rPr>
        <w:footnoteReference w:id="144"/>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45"/>
      </w:r>
      <w:r>
        <w:t xml:space="preserve"> </w:t>
      </w:r>
      <w:r>
        <w:t xml:space="preserve">No, to wszystko jest bardzo pouczające – innymi słowy, Aland mówi nam, że do 200 roku n.e. tradycji tekstowej w Egipcie</w:t>
      </w:r>
      <w:r>
        <w:t xml:space="preserve"> </w:t>
      </w:r>
      <w:r>
        <w:rPr>
          <w:bCs/>
          <w:b/>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46"/>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Cs/>
          <w:b/>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Cs/>
          <w:i/>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47"/>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48"/>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Cs/>
          <w:i/>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49"/>
    <w:bookmarkStart w:id="16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50"/>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Cs/>
          <w:i/>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51"/>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52"/>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53"/>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Cs/>
          <w:i/>
        </w:rPr>
        <w:t xml:space="preserve">Nienormalny przebieg przekazywania</w:t>
      </w:r>
      <w:r>
        <w:rPr>
          <w:rStyle w:val="FootnoteReference"/>
        </w:rPr>
        <w:footnoteReference w:id="154"/>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55"/>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56"/>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57"/>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58"/>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59"/>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60"/>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61"/>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62"/>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63"/>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Cs/>
          <w:b/>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64"/>
    <w:bookmarkStart w:id="17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Cs/>
          <w:i/>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66" name="Picture"/>
            <a:graphic>
              <a:graphicData uri="http://schemas.openxmlformats.org/drawingml/2006/picture">
                <pic:pic>
                  <pic:nvPicPr>
                    <pic:cNvPr descr="images/Rysunek_A.jpg" id="16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r>
        <w:br/>
      </w:r>
      <w:r>
        <w:rPr>
          <w:bCs/>
          <w:b/>
        </w:rPr>
        <w:t xml:space="preserve">Rysunek A</w:t>
      </w:r>
      <w:r>
        <w:rPr>
          <w:rStyle w:val="FootnoteReference"/>
        </w:rPr>
        <w:footnoteReference w:id="168"/>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69"/>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Cs/>
          <w:i/>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70"/>
      </w:r>
      <w:r>
        <w:t xml:space="preserve"> </w:t>
      </w:r>
      <w:r>
        <w:t xml:space="preserve">Kiedy mówię, że Tekst Większościowy dominuje strumień, mam na myśli to, że jest on reprezentowany w około 95% manuskryptów.</w:t>
      </w:r>
      <w:r>
        <w:rPr>
          <w:rStyle w:val="FootnoteReference"/>
        </w:rPr>
        <w:footnoteReference w:id="171"/>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72"/>
      </w:r>
    </w:p>
    <w:p>
      <w:pPr>
        <w:pStyle w:val="BodyText"/>
      </w:pPr>
      <w:r>
        <w:t xml:space="preserve">A członkowie niezgadzającej się grupy różnią się od odczytu do odczytu.</w:t>
      </w:r>
      <w:r>
        <w:rPr>
          <w:rStyle w:val="FootnoteReference"/>
        </w:rPr>
        <w:footnoteReference w:id="173"/>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74"/>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75"/>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76"/>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Cs/>
          <w:b/>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Cs/>
          <w:b/>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77"/>
    <w:bookmarkStart w:id="185"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Cs/>
          <w:i/>
        </w:rPr>
        <w:t xml:space="preserve">Kurzgefasste Liste</w:t>
      </w:r>
      <w:r>
        <w:t xml:space="preserve">.</w:t>
      </w:r>
      <w:r>
        <w:rPr>
          <w:rStyle w:val="FootnoteReference"/>
        </w:rPr>
        <w:footnoteReference w:id="178"/>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79"/>
      </w:r>
      <w:r>
        <w:t xml:space="preserve">, obejmują one okres od II do VIII wieku: II — 4, III — 49, IV — 31, V — 14, VI — 16, VII — 16, VIII — 3. Spośród tych 133 papirusów, 35 zawiera mniej niż pięć wersetów(są to jedynie fragmenty)</w:t>
      </w:r>
      <w:r>
        <w:rPr>
          <w:rStyle w:val="FootnoteReference"/>
        </w:rPr>
        <w:footnoteReference w:id="180"/>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zawierają mniej niż całą księgę, jedynie 63 zawierają kompletną księgę lub więcej. Znaczenie przypisywane uncjałom będzie zależało od indywidualnych założeń.</w:t>
      </w:r>
    </w:p>
    <w:p>
      <w:pPr>
        <w:pStyle w:val="BodyText"/>
      </w:pPr>
      <w:r>
        <w:t xml:space="preserve">Pisma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Znamy około 60 kompletnych Nowych Testamentów, kolejne 150 zawierających wszystkie księgi z wyjątkiem Objawienia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Cs/>
          <w:b/>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81"/>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82"/>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83"/>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84"/>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Cs/>
          <w:b/>
        </w:rPr>
        <w:t xml:space="preserve">Tekstem Kościoła</w:t>
      </w:r>
      <w:r>
        <w:t xml:space="preserve">.</w:t>
      </w:r>
    </w:p>
    <w:bookmarkEnd w:id="185"/>
    <w:bookmarkEnd w:id="186"/>
    <w:bookmarkStart w:id="189" w:name="uwagi-końcowe"/>
    <w:p>
      <w:pPr>
        <w:pStyle w:val="Heading2"/>
      </w:pPr>
      <w:r>
        <w:t xml:space="preserve">Uwagi końcowe</w:t>
      </w:r>
    </w:p>
    <w:p>
      <w:pPr>
        <w:pStyle w:val="FirstParagraph"/>
      </w:pPr>
      <w:r>
        <w:t xml:space="preserve">Do tego miejsca zajmowałem się szerokim nurtem normalnego przebiegu przekazywania Tekstu Nowego Testamentu. Ten szeroki nurt jest powszechnie określany jako „bizantyjski” tekst lub typ tekstu. Jednak ten szeroki nurt składa się z wielu odrębnych linii przekazu – przypomnijmy, że F. Wisse wyodrębnił 36 takich linii na podstawie swoich badań nad Ewangelią Łukasza, rozdziałami 1, 10 i 20. Spośród tych 36 linii jedna jest zdecydowanie największa pod względem liczby reprezentatywnych manuskryptów i będę argumentował, że jest ona również bez wątpienia najlepsza. Nazywam tę linię przekazu „Rodziną 35”, a moje omówienie tej „rodziny” zajmuje część II.</w:t>
      </w:r>
      <w:r>
        <w:rPr>
          <w:rStyle w:val="FootnoteReference"/>
        </w:rPr>
        <w:footnoteReference w:id="187"/>
      </w:r>
      <w:r>
        <w:t xml:space="preserve">. Tam będę argumentował, że Rodzina 35 stanowi ostateczny dowód na to, że Bóg zachował Tekst Nowego Testamentu.</w:t>
      </w:r>
    </w:p>
    <w:p>
      <w:pPr>
        <w:pStyle w:val="BodyText"/>
      </w:pPr>
      <w:r>
        <w:t xml:space="preserve">Biorąc pod uwagę moje założenia, uważam, że mam dobry powód, by oświadczać zachowanie przez Boga dokładnych, oryginalnych sformułowań całego Tekstu Nowego Testamentu, aż do dnia dzisiejszego. Sformułowania te zostały odtworzone w moim wydaniu greckiego Nowego Testamentu,</w:t>
      </w:r>
      <w:r>
        <w:t xml:space="preserve"> </w:t>
      </w:r>
      <w:r>
        <w:rPr>
          <w:iCs/>
          <w:i/>
        </w:rPr>
        <w:t xml:space="preserve">The Greek New Testament According to Family 35</w:t>
      </w:r>
      <w:r>
        <w:t xml:space="preserve">. Książkę tę można zamówić na stronie Amazon.com bądź pobrać z mojej strony internetowej www.prunch.org. Wymieniam tutaj moje wnioski, obiecując czytelnikowi, że następnie przedstawię dowody prowadzące do tych wniosków (oprócz tych, które zostały już podane powyżej).</w:t>
      </w:r>
    </w:p>
    <w:p>
      <w:pPr>
        <w:pStyle w:val="BodyText"/>
      </w:pPr>
      <w:r>
        <w:t xml:space="preserve">Na podstawie jak dotąd dostępnych dowodów stwierdzam, co następuje:</w:t>
      </w:r>
    </w:p>
    <w:p>
      <w:pPr>
        <w:numPr>
          <w:ilvl w:val="0"/>
          <w:numId w:val="1007"/>
        </w:numPr>
      </w:pPr>
      <w:r>
        <w:t xml:space="preserve">Oryginalne sformułowania nigdy nie zostały „utracone”, a ich przekazywanie na przestrzeni lat przebiegało zasadniczo normalnie, będąc od początku rozpoznane jako materiał natchniony.</w:t>
      </w:r>
    </w:p>
    <w:p>
      <w:pPr>
        <w:numPr>
          <w:ilvl w:val="0"/>
          <w:numId w:val="1007"/>
        </w:numPr>
      </w:pPr>
      <w:r>
        <w:t xml:space="preserve">Ten naturalny proces doprowadził do powstania linii przekazywania.</w:t>
      </w:r>
    </w:p>
    <w:p>
      <w:pPr>
        <w:numPr>
          <w:ilvl w:val="0"/>
          <w:numId w:val="1007"/>
        </w:numPr>
      </w:pPr>
      <w:r>
        <w:t xml:space="preserve">Aby nakreślić takie linie, manuskrypty muszą być pogrupowane empirycznie na podstawie wspólnej mozaiki odczytów.</w:t>
      </w:r>
    </w:p>
    <w:p>
      <w:pPr>
        <w:numPr>
          <w:ilvl w:val="0"/>
          <w:numId w:val="1007"/>
        </w:numPr>
      </w:pPr>
      <w:r>
        <w:t xml:space="preserve">Takie grupy lub rodziny muszą zostać poddane ocenie pod kątem niezależności i wiarygodności.</w:t>
      </w:r>
    </w:p>
    <w:p>
      <w:pPr>
        <w:numPr>
          <w:ilvl w:val="0"/>
          <w:numId w:val="1007"/>
        </w:numPr>
      </w:pPr>
      <w:r>
        <w:t xml:space="preserve">Największą wyraźnie zdefiniowaną grupą jest Rodzina 35.</w:t>
      </w:r>
    </w:p>
    <w:p>
      <w:pPr>
        <w:numPr>
          <w:ilvl w:val="0"/>
          <w:numId w:val="1007"/>
        </w:numPr>
      </w:pPr>
      <w:r>
        <w:t xml:space="preserve">Rodzina 35 jest w sposób oczywisty (możliwy do wykazania) niezależna od wszystkich innych linii przekazu w całym Nowym Testamencie.</w:t>
      </w:r>
    </w:p>
    <w:p>
      <w:pPr>
        <w:numPr>
          <w:ilvl w:val="0"/>
          <w:numId w:val="1007"/>
        </w:numPr>
      </w:pPr>
      <w:r>
        <w:t xml:space="preserve">Rodzina 35 jest w sposób oczywisty (możliwy do wykazania) bardzo stara, sięgająca co najmniej III wieku.</w:t>
      </w:r>
    </w:p>
    <w:p>
      <w:pPr>
        <w:numPr>
          <w:ilvl w:val="0"/>
          <w:numId w:val="1007"/>
        </w:numPr>
      </w:pPr>
      <w:r>
        <w:t xml:space="preserve">Przedstawiciele Rodziny 35 pochodzą z całego obszaru basenu Morza Śródziemnego, a ich rozmieszczenie geograficzne jest niemal całkowite.</w:t>
      </w:r>
    </w:p>
    <w:p>
      <w:pPr>
        <w:numPr>
          <w:ilvl w:val="0"/>
          <w:numId w:val="1007"/>
        </w:numPr>
      </w:pPr>
      <w:r>
        <w:t xml:space="preserve">Rodzina 35 nie jest opracowaniem krytycznym, nie powstała później niż Autografy wskutek recenzji.</w:t>
      </w:r>
    </w:p>
    <w:p>
      <w:pPr>
        <w:numPr>
          <w:ilvl w:val="0"/>
          <w:numId w:val="1007"/>
        </w:numPr>
      </w:pPr>
      <w:r>
        <w:t xml:space="preserve">Rodzina 35 jest obiektywnie/empirycznie zdefiniowaną jednostką w całym Nowym Testamencie, ma możliwy do wykazania profil diagnostyczny od Ewangelii Mateusza 1,1 do Objawienia Jana 22,21. (Profil ten jest przedstawiony w części II.)</w:t>
      </w:r>
    </w:p>
    <w:p>
      <w:pPr>
        <w:numPr>
          <w:ilvl w:val="0"/>
          <w:numId w:val="1007"/>
        </w:numPr>
      </w:pPr>
      <w:r>
        <w:t xml:space="preserve">Archetypowa forma Rodziny 35 jest możliwa do wykazania – została ona wykazana.</w:t>
      </w:r>
    </w:p>
    <w:p>
      <w:pPr>
        <w:numPr>
          <w:ilvl w:val="0"/>
          <w:numId w:val="1007"/>
        </w:numPr>
      </w:pPr>
      <w:r>
        <w:t xml:space="preserve">Tekst Oryginalny jest ostatecznym archetypem, każdy kandydat musi być również archetypem – prawdziwym, autentycznym, obiektywnie weryfikowalnym archetypem, istnieje tylko jeden – Rodzina 35.</w:t>
      </w:r>
    </w:p>
    <w:p>
      <w:pPr>
        <w:numPr>
          <w:ilvl w:val="0"/>
          <w:numId w:val="1007"/>
        </w:numPr>
      </w:pPr>
      <w:r>
        <w:t xml:space="preserve">Troska Boga o zachowanie Tekstu Biblijnego jest ewidentna: uważam, że fragmenty takie jak 1 Ksiega Kronik 16,15, Psalm 119,89, Księga Izajasza 40,8, Ewangelia Mateusza 5,18, Ewangelia Łukasza 16,17 i 21,33, Ewangelia Jana 10,35 oraz 16,12-13, 1 List Piotra 1,23-25 oraz Ewangelia Łukasza 4,4 można rozsądnie uznać za sugerujące obietnicę, że Święte Pisma (aż do ostatniej kreski) zostaną zachowane do użytku człowieka (mamy żyć „z</w:t>
      </w:r>
      <w:r>
        <w:t xml:space="preserve"> </w:t>
      </w:r>
      <w:r>
        <w:rPr>
          <w:iCs/>
          <w:i/>
        </w:rPr>
        <w:t xml:space="preserve">każdego</w:t>
      </w:r>
      <w:r>
        <w:t xml:space="preserve"> </w:t>
      </w:r>
      <w:r>
        <w:t xml:space="preserve">słowa Bożego”) i aż do końca świata („przez tysiąc pokoleń”), ale nie ma żadnej wskazówki co do tego, w jaki sposób Bóg zamierzał to uczynić. Odpowiedź musimy wywnioskować z tego, co On faktycznie uczynił – odkrywamy, że rzeczywiście to</w:t>
      </w:r>
      <w:r>
        <w:t xml:space="preserve"> </w:t>
      </w:r>
      <w:r>
        <w:rPr>
          <w:bCs/>
          <w:b/>
        </w:rPr>
        <w:t xml:space="preserve">uczynił</w:t>
      </w:r>
      <w:r>
        <w:t xml:space="preserve">!</w:t>
      </w:r>
    </w:p>
    <w:p>
      <w:pPr>
        <w:numPr>
          <w:ilvl w:val="0"/>
          <w:numId w:val="1007"/>
        </w:numPr>
      </w:pPr>
      <w:r>
        <w:t xml:space="preserve">Ta troska znajduje odzwierciedlenie w Rodzinie 35, która charakteryzuje się niesamowicie starannym przekazem (w przeciwieństwie do innych linii). (Posiadam doskonałą kopię tekstu archetypowego Rodziny 35 dla większości ksiąg Nowego Testamentu (22), mam kopie sporządzone na podstawie (przypuszczalnie) doskonałego egzemplarza dla kolejnych czterech (4), w miarę kontynuowania porównywania manuskryptów mam nadzieję dodać ostatnią (Dzieje Apostolskie), ale nawet w jej przypadku forma archetypowa jest możliwa do wykazania.)</w:t>
      </w:r>
    </w:p>
    <w:p>
      <w:pPr>
        <w:numPr>
          <w:ilvl w:val="0"/>
          <w:numId w:val="1007"/>
        </w:numPr>
      </w:pPr>
      <w:r>
        <w:t xml:space="preserve">Jeśli Bóg zachowałby oryginalne sformułowania w jakiejś linii przekazu innej niż Rodzina 35, czy ta linia byłaby mniej staranna? Myślę, że nie. Zatem każda linia przekazu charakteryzująca się wewnętrznym zamieszaniem zostaje wykluczona – dotyczy to</w:t>
      </w:r>
      <w:r>
        <w:t xml:space="preserve"> </w:t>
      </w:r>
      <w:r>
        <w:rPr>
          <w:bCs/>
          <w:b/>
        </w:rPr>
        <w:t xml:space="preserve">wszystkich</w:t>
      </w:r>
      <w:r>
        <w:t xml:space="preserve"> </w:t>
      </w:r>
      <w:r>
        <w:t xml:space="preserve">pozostałych linii przekazu, które jak dotąd widziałem.</w:t>
      </w:r>
    </w:p>
    <w:p>
      <w:pPr>
        <w:numPr>
          <w:ilvl w:val="0"/>
          <w:numId w:val="1007"/>
        </w:numPr>
      </w:pPr>
      <w:r>
        <w:t xml:space="preserve">Zapewniam, że Bóg posłużył się Rodziną 35, aby zachować dokładne, oryginalne sformułowania Tekstu Nowego Testamentu, zostały one odtworzone w moim wydaniu Tekstu Greckiego.</w:t>
      </w:r>
      <w:r>
        <w:rPr>
          <w:rStyle w:val="FootnoteReference"/>
        </w:rPr>
        <w:footnoteReference w:id="188"/>
      </w:r>
    </w:p>
    <w:p>
      <w:pPr>
        <w:pStyle w:val="FirstParagraph"/>
      </w:pPr>
      <w:r>
        <w:rPr>
          <w:bCs/>
          <w:b/>
        </w:rPr>
        <w:t xml:space="preserve">Twierdzę, że wykazałem wyższość Rodziny 35 w oparciu o</w:t>
      </w:r>
      <w:r>
        <w:rPr>
          <w:bCs/>
          <w:b/>
        </w:rPr>
        <w:t xml:space="preserve"> </w:t>
      </w:r>
      <w:r>
        <w:rPr>
          <w:iCs/>
          <w:i/>
          <w:bCs/>
          <w:b/>
        </w:rPr>
        <w:t xml:space="preserve">wielkość</w:t>
      </w:r>
      <w:r>
        <w:t xml:space="preserve"> </w:t>
      </w:r>
      <w:r>
        <w:t xml:space="preserve">(liczbę przedstawicieli),</w:t>
      </w:r>
      <w:r>
        <w:t xml:space="preserve"> </w:t>
      </w:r>
      <w:r>
        <w:rPr>
          <w:iCs/>
          <w:i/>
          <w:bCs/>
          <w:b/>
        </w:rPr>
        <w:t xml:space="preserve">niezależność</w:t>
      </w:r>
      <w:r>
        <w:t xml:space="preserve"> </w:t>
      </w:r>
      <w:r>
        <w:t xml:space="preserve">(można wykazać, że jest ona niezależna od wszystkich innych linii przekazu),</w:t>
      </w:r>
      <w:r>
        <w:t xml:space="preserve"> </w:t>
      </w:r>
      <w:r>
        <w:rPr>
          <w:iCs/>
          <w:i/>
          <w:bCs/>
          <w:b/>
        </w:rPr>
        <w:t xml:space="preserve">wiek</w:t>
      </w:r>
      <w:r>
        <w:t xml:space="preserve"> </w:t>
      </w:r>
      <w:r>
        <w:t xml:space="preserve">(sięga co najmniej III wieku),</w:t>
      </w:r>
      <w:r>
        <w:t xml:space="preserve"> </w:t>
      </w:r>
      <w:r>
        <w:rPr>
          <w:iCs/>
          <w:i/>
          <w:bCs/>
          <w:b/>
        </w:rPr>
        <w:t xml:space="preserve">rozmieszczenie geograficzne</w:t>
      </w:r>
      <w:r>
        <w:t xml:space="preserve"> </w:t>
      </w:r>
      <w:r>
        <w:t xml:space="preserve">(na całym obszarze basenu Morza Śródziemnego),</w:t>
      </w:r>
      <w:r>
        <w:t xml:space="preserve"> </w:t>
      </w:r>
      <w:r>
        <w:rPr>
          <w:iCs/>
          <w:i/>
          <w:bCs/>
          <w:b/>
        </w:rPr>
        <w:t xml:space="preserve">profil</w:t>
      </w:r>
      <w:r>
        <w:t xml:space="preserve"> </w:t>
      </w:r>
      <w:r>
        <w:t xml:space="preserve">(ustalony empirycznie),</w:t>
      </w:r>
      <w:r>
        <w:t xml:space="preserve"> </w:t>
      </w:r>
      <w:r>
        <w:rPr>
          <w:iCs/>
          <w:i/>
          <w:bCs/>
          <w:b/>
        </w:rPr>
        <w:t xml:space="preserve">staranność</w:t>
      </w:r>
      <w:r>
        <w:t xml:space="preserve"> </w:t>
      </w:r>
      <w:r>
        <w:t xml:space="preserve">(kopistów) oraz</w:t>
      </w:r>
      <w:r>
        <w:t xml:space="preserve"> </w:t>
      </w:r>
      <w:r>
        <w:rPr>
          <w:iCs/>
          <w:i/>
          <w:bCs/>
          <w:b/>
        </w:rPr>
        <w:t xml:space="preserve">zakres</w:t>
      </w:r>
      <w:r>
        <w:t xml:space="preserve"> </w:t>
      </w:r>
      <w:r>
        <w:t xml:space="preserve">(wszystkich 27 ksiąg).</w:t>
      </w:r>
      <w:r>
        <w:t xml:space="preserve"> </w:t>
      </w:r>
      <w:r>
        <w:rPr>
          <w:bCs/>
          <w:b/>
        </w:rPr>
        <w:t xml:space="preserve">Wyzywam każdego do zrobienia tego samego w odniesieniu do jakiejkolwiek innej linii przekazu!</w:t>
      </w:r>
    </w:p>
    <w:p>
      <w:pPr>
        <w:pStyle w:val="BodyText"/>
      </w:pPr>
      <w:r>
        <w:t xml:space="preserve">Tekst Oryginalny stanowi ostateczny archetyp, każdy kandydat musi być również archetypem – prawdziwym, autentycznym i obiektywnie weryfikowalnym archetypem. Jak dotąd zidentyfikowano tylko jeden – Rodzinę 35. Przechodzę teraz do części II, w której przedstawiam dalsze dowody, które prowadzą mnie do moich wniosków.</w:t>
      </w:r>
    </w:p>
    <w:bookmarkEnd w:id="189"/>
    <w:bookmarkEnd w:id="190"/>
    <w:bookmarkStart w:id="207" w:name="część-ii-najlepsza-linia-przekazywania"/>
    <w:p>
      <w:pPr>
        <w:pStyle w:val="Heading1"/>
      </w:pPr>
      <w:r>
        <w:t xml:space="preserve">CZĘŚĆ II: Najlepsza linia przekazywania</w:t>
      </w:r>
    </w:p>
    <w:bookmarkStart w:id="204" w:name="czym-właściwie-jest-rodzina-35"/>
    <w:p>
      <w:pPr>
        <w:pStyle w:val="Heading2"/>
      </w:pPr>
      <w:r>
        <w:t xml:space="preserve">Czym właściwie jest Rodzina 35?</w:t>
      </w:r>
    </w:p>
    <w:p>
      <w:pPr>
        <w:pStyle w:val="FirstParagraph"/>
      </w:pPr>
      <w:r>
        <w:t xml:space="preserve">Mogę sobie dobrze wyobrazić, że wielu z moich czytelników słyszy o „Rodzinie 35” po raz pierwszy. Termin ten odnosi się do linii przekazu w ramach szerokiego nurtu manuskryptów „bizantyjskich” i to ja nadałem mu tę nazwę. Jak narazie, o ile mi wiadomo, środowisko akademickie całkowicie ignoruje moją pracę, jak zresztą musi, aby być pewnym, ponieważ obnażam fałszywe informacje, które oni rozpowszechniają od pokoleń. Zacznę od odrobiny najnowszej historii.</w:t>
      </w:r>
    </w:p>
    <w:p>
      <w:pPr>
        <w:pStyle w:val="BodyText"/>
      </w:pPr>
      <w:r>
        <w:t xml:space="preserve">Kiedy w 1977 roku wydawnictwo Thomas Nelson Inc. opublikowało moją pierwszą książkę,</w:t>
      </w:r>
      <w:r>
        <w:t xml:space="preserve"> </w:t>
      </w:r>
      <w:r>
        <w:rPr>
          <w:iCs/>
          <w:i/>
        </w:rPr>
        <w:t xml:space="preserve">The Identity of the New Testament Text</w:t>
      </w:r>
      <w:r>
        <w:t xml:space="preserve">, najlepszym drukowanym greckim Nowym Testamentem, jaki był wówczas łatwo dostępny, był</w:t>
      </w:r>
      <w:r>
        <w:t xml:space="preserve"> </w:t>
      </w:r>
      <w:r>
        <w:rPr>
          <w:iCs/>
          <w:i/>
        </w:rPr>
        <w:t xml:space="preserve">Textus Receptus</w:t>
      </w:r>
      <w:r>
        <w:t xml:space="preserve">, czyli Tekst Przyjęty — był to grecki Tekst z czasów reformacji protestanckiej. John William Burgon, dziekan z Chichester, nazwał go „Tekstem Tradycyjnym”. Chociaż Zane C. Hodges i Arthur L. Farstad rozpoczęli prace nad</w:t>
      </w:r>
      <w:r>
        <w:t xml:space="preserve"> </w:t>
      </w:r>
      <w:r>
        <w:rPr>
          <w:iCs/>
          <w:i/>
        </w:rPr>
        <w:t xml:space="preserve">Tekstem Większościowym</w:t>
      </w:r>
      <w:r>
        <w:t xml:space="preserve"> </w:t>
      </w:r>
      <w:r>
        <w:t xml:space="preserve">(Majority Text), opierając się na dorobku Hermanna von Sodena</w:t>
      </w:r>
      <w:r>
        <w:rPr>
          <w:rStyle w:val="FootnoteReference"/>
        </w:rPr>
        <w:footnoteReference w:id="191"/>
      </w:r>
      <w:r>
        <w:t xml:space="preserve">, to został on opublikowany dopiero w 1982 roku. W 1977 roku wykazałem, że teoria krytyczna Westcotta i Horta była fałszywa w każdym punkcie, a dowód ten, na ile mi wiadomo, nie został od tamtej pory nigdy obalony. Jednak jeśli chodzi o zaproponowanie alternatywy, ograniczałem się do ogólników i siedmiu „Uwag o Prawdzie” Burgona</w:t>
      </w:r>
      <w:r>
        <w:rPr>
          <w:rStyle w:val="FootnoteReference"/>
        </w:rPr>
        <w:footnoteReference w:id="192"/>
      </w:r>
      <w:r>
        <w:t xml:space="preserve">. Wydawnictwo Thomas Nelson wydało moją książkę w co najmniej trzech kolejnych nakładach, w tym z pewnymi poprawkami, z których ostatni ukazał się w 1990 roku. Nawet wtedy nie miałem nic lepszego do zaoferowania.</w:t>
      </w:r>
    </w:p>
    <w:p>
      <w:pPr>
        <w:pStyle w:val="BodyText"/>
      </w:pPr>
      <w:r>
        <w:t xml:space="preserve">Jednakże w 1988 roku pomogłem założyć Towarzystwo Tekstu Większościowego (Majority Text Society) wraz z Zane’em Hodgesem, Artem Farstadem i Frankiem Carmichalem, i zostałem jego pierwszym prezesem. W tym czasie zacząłem poważnie zajmować się teorią Tekstu Większościowego, a w ciągu następnej dekady opracowałem coś, czemu miałem przyjemność nadać nazwę „teoria Tekstu Oryginalnego”. Wykorzystałem ją jako punkt wyjścia do mojego obecnego podejścia do krytyki tekstu Nowego Testamentu (które możemy nazwać Teorią priorytetu Rodziny 35). Oto ona:</w:t>
      </w:r>
    </w:p>
    <w:p>
      <w:pPr>
        <w:numPr>
          <w:ilvl w:val="0"/>
          <w:numId w:val="1008"/>
        </w:numPr>
      </w:pPr>
      <w:r>
        <w:t xml:space="preserve">Po pierwsze, teoria tekstu oryginalnego dotyczy identyfikacji dokładnych, oryginalnych sformułowań pism Nowego Testamentu.</w:t>
      </w:r>
      <w:r>
        <w:rPr>
          <w:rStyle w:val="FootnoteReference"/>
        </w:rPr>
        <w:footnoteReference w:id="193"/>
      </w:r>
    </w:p>
    <w:p>
      <w:pPr>
        <w:numPr>
          <w:ilvl w:val="0"/>
          <w:numId w:val="1008"/>
        </w:numPr>
      </w:pPr>
      <w:r>
        <w:t xml:space="preserve">Po drugie, kryteria muszą być biblijne, obiektywne i rozsądne.</w:t>
      </w:r>
      <w:r>
        <w:rPr>
          <w:rStyle w:val="FootnoteReference"/>
        </w:rPr>
        <w:footnoteReference w:id="194"/>
      </w:r>
    </w:p>
    <w:p>
      <w:pPr>
        <w:numPr>
          <w:ilvl w:val="0"/>
          <w:numId w:val="1008"/>
        </w:numPr>
      </w:pPr>
      <w:r>
        <w:t xml:space="preserve">Po trzecie, 90% poświadczenie będzie uznawane za niepodważalne, a 80% niemalże niepodważalne.</w:t>
      </w:r>
      <w:r>
        <w:rPr>
          <w:rStyle w:val="FootnoteReference"/>
        </w:rPr>
        <w:footnoteReference w:id="195"/>
      </w:r>
    </w:p>
    <w:p>
      <w:pPr>
        <w:numPr>
          <w:ilvl w:val="0"/>
          <w:numId w:val="1008"/>
        </w:numPr>
      </w:pPr>
      <w:r>
        <w:t xml:space="preserve">Po czwarte, do gry wejdą „notatki prawdy” Burgona, zwłaszcza tam, gdzie poświadczenie spada poniżej 80%.</w:t>
      </w:r>
      <w:r>
        <w:rPr>
          <w:rStyle w:val="FootnoteReference"/>
        </w:rPr>
        <w:footnoteReference w:id="196"/>
      </w:r>
    </w:p>
    <w:p>
      <w:pPr>
        <w:numPr>
          <w:ilvl w:val="0"/>
          <w:numId w:val="1008"/>
        </w:numPr>
      </w:pPr>
      <w:r>
        <w:t xml:space="preserve">Po piąte, w przypadkach, gdy istnieją zestawienia umożliwiające empiryczne pogrupowanie manuskryptów na podstawie wspólnych mozaik odczytów, trzeba to zrobić. Grupy takie muszą być ocenione pod kątem ich wyników i mieć przypisane współczynniki wiarygodności. Przypuszczalną historię przekazywania Tekstu należy opracować w oparciu o wzajemne powiązania między takimi grupami.</w:t>
      </w:r>
      <w:r>
        <w:t xml:space="preserve"> </w:t>
      </w:r>
      <w:r>
        <w:rPr>
          <w:bCs/>
          <w:b/>
        </w:rPr>
        <w:t xml:space="preserve">Wykazane pogrupowania i relacje zastępują liczenie manuskryptów.</w:t>
      </w:r>
      <w:r>
        <w:rPr>
          <w:rStyle w:val="FootnoteReference"/>
        </w:rPr>
        <w:footnoteReference w:id="197"/>
      </w:r>
    </w:p>
    <w:p>
      <w:pPr>
        <w:numPr>
          <w:ilvl w:val="0"/>
          <w:numId w:val="1008"/>
        </w:numPr>
      </w:pPr>
      <w:r>
        <w:t xml:space="preserve">Po szóste, zakłada ona, że Stwórca istnieje i że przemówił do naszej rasy. Przyjmuje dorozumiany boski zamysł, by zachować Jego objawienie dla użytku kolejnych pokoleń, w tym naszego. Rozumie, że zarówno Bóg, jak i Szatan wykazują nieustanne, aktywne zainteresowanie losami Tekstu Nowego Testamentu – podchodzenie do krytyki tekstowej Nowego Testamentu bez należytego uwzględnienia tego zainteresowania jest działaniem nieodpowiedzialnym.</w:t>
      </w:r>
      <w:r>
        <w:rPr>
          <w:rStyle w:val="FootnoteReference"/>
        </w:rPr>
        <w:footnoteReference w:id="198"/>
      </w:r>
    </w:p>
    <w:p>
      <w:pPr>
        <w:numPr>
          <w:ilvl w:val="0"/>
          <w:numId w:val="1008"/>
        </w:numPr>
      </w:pPr>
      <w:r>
        <w:t xml:space="preserve">Po siódme, kładzie nacisk na to, że należy zawsze uwzględniać i oceniać założenia i motywy.</w:t>
      </w:r>
      <w:r>
        <w:rPr>
          <w:rStyle w:val="FootnoteReference"/>
        </w:rPr>
        <w:footnoteReference w:id="199"/>
      </w:r>
    </w:p>
    <w:p>
      <w:pPr>
        <w:pStyle w:val="FirstParagraph"/>
      </w:pPr>
      <w:r>
        <w:t xml:space="preserve">Używam terminu „punkt pośredni” (ang. steppingstone), ponieważ wciąż myślałem w kategoriach znacznej większości, a wynikało to z tego, że Rodzina 35 nie zwróciła jeszcze mojej uwagi (nadal ograniczałem się do ogólnikow). Jednak piąty z powyższych punktów pokazuje kierunek, w którym zmierzałem. Zwróć szczególną uwagę na ostatnie zdanie, które od samego początku było zapisane pogrubioną czcionką, a zwłaszcza na termin „</w:t>
      </w:r>
      <w:r>
        <w:rPr>
          <w:bCs/>
          <w:b/>
        </w:rPr>
        <w:t xml:space="preserve">wykazane</w:t>
      </w:r>
      <w:r>
        <w:t xml:space="preserve">”.</w:t>
      </w:r>
      <w:r>
        <w:rPr>
          <w:rStyle w:val="FootnoteReference"/>
        </w:rPr>
        <w:footnoteReference w:id="200"/>
      </w:r>
      <w:r>
        <w:t xml:space="preserve"> </w:t>
      </w:r>
      <w:r>
        <w:t xml:space="preserve">Na przykład mój aparat krytyczny do Objawienia Jana przedstawia dowody według dziewięciu grup Hoskiera, a nie w postaci procentowego udziału manuskryptów.</w:t>
      </w:r>
    </w:p>
    <w:p>
      <w:pPr>
        <w:pStyle w:val="BodyText"/>
      </w:pPr>
      <w:r>
        <w:t xml:space="preserve">Niemniej jednak w 2003 roku wydawnictwo Wipf and Stock Publishers opublikowało</w:t>
      </w:r>
      <w:r>
        <w:t xml:space="preserve"> </w:t>
      </w:r>
      <w:r>
        <w:rPr>
          <w:iCs/>
          <w:i/>
        </w:rPr>
        <w:t xml:space="preserve">The Identity of the New Testament Text II</w:t>
      </w:r>
      <w:r>
        <w:t xml:space="preserve"> </w:t>
      </w:r>
      <w:r>
        <w:t xml:space="preserve">jako wznowienie akademickie. Wydanie to zawierało dalsze korekty, lecz nadal wykorzystywało „Notatki prawdy” Burgona, chociaż wprowadziłem Rodzinę 18, którą wkrótce zmieniłem na Rodzinę 35. Do 2002 roku zdałem sobie sprawę z Rodziny 35, jednak rozwijana przeze mnie teoria jej dotycząca była wciąż niepewna i niepełna. Do czasu, gdy Wipf and Stock opublikowało</w:t>
      </w:r>
      <w:r>
        <w:t xml:space="preserve"> </w:t>
      </w:r>
      <w:r>
        <w:rPr>
          <w:iCs/>
          <w:i/>
        </w:rPr>
        <w:t xml:space="preserve">The Identity of the New Testament Text III</w:t>
      </w:r>
      <w:r>
        <w:t xml:space="preserve"> </w:t>
      </w:r>
      <w:r>
        <w:t xml:space="preserve">w 2012 roku, wykonałem już wystarczająco dużo pracy nad tą teorią, aby zastąpić nią „Notatki prawdy” Burgona.</w:t>
      </w:r>
    </w:p>
    <w:p>
      <w:pPr>
        <w:pStyle w:val="BodyText"/>
      </w:pPr>
      <w:r>
        <w:t xml:space="preserve">Moją uwagę zwróciło przedstawienie dowodów dotyczących</w:t>
      </w:r>
      <w:r>
        <w:t xml:space="preserve"> </w:t>
      </w:r>
      <w:r>
        <w:rPr>
          <w:iCs/>
          <w:i/>
        </w:rPr>
        <w:t xml:space="preserve">Pericope Adulterae</w:t>
      </w:r>
      <w:r>
        <w:t xml:space="preserve"> </w:t>
      </w:r>
      <w:r>
        <w:t xml:space="preserve">w Tekście Większościowym Hodgesa-Farstada, oparte na rzekomym skolacjonowaniu przez von Sodena ponad 900 manuskryptów.</w:t>
      </w:r>
      <w:r>
        <w:rPr>
          <w:rStyle w:val="FootnoteReference"/>
        </w:rPr>
        <w:footnoteReference w:id="201"/>
      </w:r>
      <w:r>
        <w:t xml:space="preserve"> </w:t>
      </w:r>
      <w:r>
        <w:t xml:space="preserve">Jak podano w ich aparacie krytycznym, istniały trzy główne nurty:</w:t>
      </w:r>
      <w:r>
        <w:t xml:space="preserve"> </w:t>
      </w:r>
      <w:r>
        <w:rPr>
          <w:bCs/>
          <w:b/>
        </w:rPr>
        <w:t xml:space="preserve">M</w:t>
      </w:r>
      <w:r>
        <w:rPr>
          <w:vertAlign w:val="superscript"/>
          <w:bCs/>
          <w:b/>
        </w:rPr>
        <w:t xml:space="preserve">5</w:t>
      </w:r>
      <w:r>
        <w:t xml:space="preserve">,</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7</w:t>
      </w:r>
      <w:r>
        <w:t xml:space="preserve">.</w:t>
      </w:r>
      <w:r>
        <w:t xml:space="preserve"> </w:t>
      </w:r>
      <w:r>
        <w:rPr>
          <w:bCs/>
          <w:b/>
        </w:rPr>
        <w:t xml:space="preserve">7</w:t>
      </w:r>
      <w:r>
        <w:t xml:space="preserve"> </w:t>
      </w:r>
      <w:r>
        <w:t xml:space="preserve">zawsze stanowił większość (z wyjątkiem jednego przypadku podziału na pięć wariantów, gdzie nie ma większości), ponieważ zawsze towarzyszył mu albo</w:t>
      </w:r>
      <w:r>
        <w:t xml:space="preserve"> </w:t>
      </w:r>
      <w:r>
        <w:rPr>
          <w:bCs/>
          <w:b/>
        </w:rPr>
        <w:t xml:space="preserve">5</w:t>
      </w:r>
      <w:r>
        <w:t xml:space="preserve">, albo</w:t>
      </w:r>
      <w:r>
        <w:t xml:space="preserve"> </w:t>
      </w:r>
      <w:r>
        <w:rPr>
          <w:bCs/>
          <w:b/>
        </w:rPr>
        <w:t xml:space="preserve">6</w:t>
      </w:r>
      <w:r>
        <w:t xml:space="preserve"> </w:t>
      </w:r>
      <w:r>
        <w:t xml:space="preserve">(5 + 6 nigdy nie występują przeciwko 7). Wyglądało mi to na trzy niezależne nurty, z których rzadko więcej niż jeden błądził w danym miejscu. Jako wspólny mianownik</w:t>
      </w:r>
      <w:r>
        <w:t xml:space="preserve"> </w:t>
      </w:r>
      <w:r>
        <w:rPr>
          <w:bCs/>
          <w:b/>
        </w:rPr>
        <w:t xml:space="preserve">7</w:t>
      </w:r>
      <w:r>
        <w:t xml:space="preserve"> </w:t>
      </w:r>
      <w:r>
        <w:t xml:space="preserve">był wyraźnie najlepszym z trzech, a przypuszczalnie także najstarszym.</w:t>
      </w:r>
    </w:p>
    <w:p>
      <w:pPr>
        <w:pStyle w:val="BodyText"/>
      </w:pPr>
      <w:r>
        <w:t xml:space="preserve">Następnie przeszedłem do Objawienia Jana (w H-F) i ponownie zauważyłem trzy główne nurty:</w:t>
      </w:r>
      <w:r>
        <w:t xml:space="preserve"> </w:t>
      </w:r>
      <w:r>
        <w:rPr>
          <w:bCs/>
          <w:b/>
        </w:rPr>
        <w:t xml:space="preserve">M</w:t>
      </w:r>
      <w:r>
        <w:rPr>
          <w:vertAlign w:val="superscript"/>
          <w:bCs/>
          <w:b/>
        </w:rPr>
        <w:t xml:space="preserve">a-b</w:t>
      </w:r>
      <w:r>
        <w:t xml:space="preserve">,</w:t>
      </w:r>
      <w:r>
        <w:t xml:space="preserve"> </w:t>
      </w:r>
      <w:r>
        <w:rPr>
          <w:bCs/>
          <w:b/>
        </w:rPr>
        <w:t xml:space="preserve">M</w:t>
      </w:r>
      <w:r>
        <w:rPr>
          <w:vertAlign w:val="superscript"/>
          <w:bCs/>
          <w:b/>
        </w:rPr>
        <w:t xml:space="preserve">c</w:t>
      </w:r>
      <w:r>
        <w:t xml:space="preserve"> </w:t>
      </w:r>
      <w:r>
        <w:t xml:space="preserve">i</w:t>
      </w:r>
      <w:r>
        <w:t xml:space="preserve"> </w:t>
      </w:r>
      <w:r>
        <w:rPr>
          <w:bCs/>
          <w:b/>
        </w:rPr>
        <w:t xml:space="preserve">M</w:t>
      </w:r>
      <w:r>
        <w:rPr>
          <w:vertAlign w:val="superscript"/>
          <w:bCs/>
          <w:b/>
        </w:rPr>
        <w:t xml:space="preserve">d-e</w:t>
      </w:r>
      <w:r>
        <w:t xml:space="preserve">. Obraz był analogiczny do tego z</w:t>
      </w:r>
      <w:r>
        <w:t xml:space="preserve"> </w:t>
      </w:r>
      <w:r>
        <w:rPr>
          <w:iCs/>
          <w:i/>
        </w:rPr>
        <w:t xml:space="preserve">PA</w:t>
      </w:r>
      <w:r>
        <w:t xml:space="preserve">. Objawienie Jana stanowi znacznie większy korpus niż</w:t>
      </w:r>
      <w:r>
        <w:t xml:space="preserve"> </w:t>
      </w:r>
      <w:r>
        <w:rPr>
          <w:iCs/>
          <w:i/>
        </w:rPr>
        <w:t xml:space="preserve">PA</w:t>
      </w:r>
      <w:r>
        <w:t xml:space="preserve">, ale mimo to istnieje tylko 8 przypadków, w których</w:t>
      </w:r>
      <w:r>
        <w:t xml:space="preserve"> </w:t>
      </w:r>
      <w:r>
        <w:rPr>
          <w:bCs/>
          <w:b/>
        </w:rPr>
        <w:t xml:space="preserve">a-b</w:t>
      </w:r>
      <w:r>
        <w:t xml:space="preserve"> </w:t>
      </w:r>
      <w:r>
        <w:t xml:space="preserve">i</w:t>
      </w:r>
      <w:r>
        <w:t xml:space="preserve"> </w:t>
      </w:r>
      <w:r>
        <w:rPr>
          <w:bCs/>
          <w:b/>
        </w:rPr>
        <w:t xml:space="preserve">d-e</w:t>
      </w:r>
      <w:r>
        <w:t xml:space="preserve"> </w:t>
      </w:r>
      <w:r>
        <w:t xml:space="preserve">łączą się przeciwko</w:t>
      </w:r>
      <w:r>
        <w:t xml:space="preserve"> </w:t>
      </w:r>
      <w:r>
        <w:rPr>
          <w:bCs/>
          <w:b/>
        </w:rPr>
        <w:t xml:space="preserve">c</w:t>
      </w:r>
      <w:r>
        <w:t xml:space="preserve"> </w:t>
      </w:r>
      <w:r>
        <w:t xml:space="preserve">(+ 6 innych, w których jeden z czterech jest podzielony), w porównaniu z ponad 100 przypadkami zarówno</w:t>
      </w:r>
      <w:r>
        <w:t xml:space="preserve"> </w:t>
      </w:r>
      <w:r>
        <w:rPr>
          <w:bCs/>
          <w:b/>
        </w:rPr>
        <w:t xml:space="preserve">a-b</w:t>
      </w:r>
      <w:r>
        <w:t xml:space="preserve"> </w:t>
      </w:r>
      <w:r>
        <w:t xml:space="preserve">i</w:t>
      </w:r>
      <w:r>
        <w:t xml:space="preserve"> </w:t>
      </w:r>
      <w:r>
        <w:rPr>
          <w:bCs/>
          <w:b/>
        </w:rPr>
        <w:t xml:space="preserve">c</w:t>
      </w:r>
      <w:r>
        <w:t xml:space="preserve"> </w:t>
      </w:r>
      <w:r>
        <w:t xml:space="preserve">przeciwko</w:t>
      </w:r>
      <w:r>
        <w:t xml:space="preserve"> </w:t>
      </w:r>
      <w:r>
        <w:rPr>
          <w:bCs/>
          <w:b/>
        </w:rPr>
        <w:t xml:space="preserve">d-e</w:t>
      </w:r>
      <w:r>
        <w:t xml:space="preserve">, jak i</w:t>
      </w:r>
      <w:r>
        <w:t xml:space="preserve"> </w:t>
      </w:r>
      <w:r>
        <w:rPr>
          <w:bCs/>
          <w:b/>
        </w:rPr>
        <w:t xml:space="preserve">c</w:t>
      </w:r>
      <w:r>
        <w:t xml:space="preserve"> </w:t>
      </w:r>
      <w:r>
        <w:t xml:space="preserve">i</w:t>
      </w:r>
      <w:r>
        <w:t xml:space="preserve"> </w:t>
      </w:r>
      <w:r>
        <w:rPr>
          <w:bCs/>
          <w:b/>
        </w:rPr>
        <w:t xml:space="preserve">d-e</w:t>
      </w:r>
      <w:r>
        <w:t xml:space="preserve"> </w:t>
      </w:r>
      <w:r>
        <w:t xml:space="preserve">przeciwko</w:t>
      </w:r>
      <w:r>
        <w:t xml:space="preserve"> </w:t>
      </w:r>
      <w:r>
        <w:rPr>
          <w:bCs/>
          <w:b/>
        </w:rPr>
        <w:t xml:space="preserve">a-b</w:t>
      </w:r>
      <w:r>
        <w:t xml:space="preserve">. Ponownie, jako wspólny mianownik,</w:t>
      </w:r>
      <w:r>
        <w:t xml:space="preserve"> </w:t>
      </w:r>
      <w:r>
        <w:rPr>
          <w:bCs/>
          <w:b/>
        </w:rPr>
        <w:t xml:space="preserve">c</w:t>
      </w:r>
      <w:r>
        <w:t xml:space="preserve"> </w:t>
      </w:r>
      <w:r>
        <w:t xml:space="preserve">był wyraźnie najlepszym z trzech (zob. aparat krytyczny mojego greckiego Tekstu Objawienia Jana).</w:t>
      </w:r>
    </w:p>
    <w:p>
      <w:pPr>
        <w:pStyle w:val="BodyText"/>
      </w:pPr>
      <w:r>
        <w:t xml:space="preserve">Tak się składa, że</w:t>
      </w:r>
      <w:r>
        <w:t xml:space="preserve"> </w:t>
      </w:r>
      <w:r>
        <w:rPr>
          <w:bCs/>
          <w:b/>
        </w:rPr>
        <w:t xml:space="preserve">M</w:t>
      </w:r>
      <w:r>
        <w:rPr>
          <w:vertAlign w:val="superscript"/>
          <w:bCs/>
          <w:b/>
        </w:rPr>
        <w:t xml:space="preserve">7</w:t>
      </w:r>
      <w:r>
        <w:t xml:space="preserve"> </w:t>
      </w:r>
      <w:r>
        <w:t xml:space="preserve">w</w:t>
      </w:r>
      <w:r>
        <w:t xml:space="preserve"> </w:t>
      </w:r>
      <w:r>
        <w:rPr>
          <w:iCs/>
          <w:i/>
        </w:rPr>
        <w:t xml:space="preserve">PA</w:t>
      </w:r>
      <w:r>
        <w:t xml:space="preserve"> </w:t>
      </w:r>
      <w:r>
        <w:t xml:space="preserve">i</w:t>
      </w:r>
      <w:r>
        <w:t xml:space="preserve"> </w:t>
      </w:r>
      <w:r>
        <w:rPr>
          <w:bCs/>
          <w:b/>
        </w:rPr>
        <w:t xml:space="preserve">M</w:t>
      </w:r>
      <w:r>
        <w:rPr>
          <w:vertAlign w:val="superscript"/>
          <w:bCs/>
          <w:b/>
        </w:rPr>
        <w:t xml:space="preserve">c</w:t>
      </w:r>
      <w:r>
        <w:t xml:space="preserve"> </w:t>
      </w:r>
      <w:r>
        <w:t xml:space="preserve">w Objawieniu Jana odpowiadają</w:t>
      </w:r>
      <w:r>
        <w:t xml:space="preserve"> </w:t>
      </w:r>
      <w:r>
        <w:rPr>
          <w:bCs/>
          <w:b/>
        </w:rPr>
        <w:t xml:space="preserve">K</w:t>
      </w:r>
      <w:r>
        <w:rPr>
          <w:vertAlign w:val="superscript"/>
          <w:bCs/>
          <w:b/>
        </w:rPr>
        <w:t xml:space="preserve">r</w:t>
      </w:r>
      <w:r>
        <w:t xml:space="preserve"> </w:t>
      </w:r>
      <w:r>
        <w:t xml:space="preserve">Sodena, więc zacząłem podejrzewać, że coś tu jest nie tak.</w:t>
      </w:r>
      <w:r>
        <w:rPr>
          <w:rStyle w:val="FootnoteReference"/>
        </w:rPr>
        <w:footnoteReference w:id="202"/>
      </w:r>
      <w:r>
        <w:t xml:space="preserve"> </w:t>
      </w:r>
      <w:r>
        <w:t xml:space="preserve">Następnie seria</w:t>
      </w:r>
      <w:r>
        <w:t xml:space="preserve"> </w:t>
      </w:r>
      <w:r>
        <w:rPr>
          <w:iCs/>
          <w:i/>
        </w:rPr>
        <w:t xml:space="preserve">Text und Textwert</w:t>
      </w:r>
      <w:r>
        <w:t xml:space="preserve"> </w:t>
      </w:r>
      <w:r>
        <w:t xml:space="preserve">wykazała,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w:t>
      </w:r>
      <w:r>
        <w:t xml:space="preserve">w całym Nowym Testamencie. Wynika z tego, że</w:t>
      </w:r>
      <w:r>
        <w:t xml:space="preserve"> </w:t>
      </w:r>
      <w:r>
        <w:rPr>
          <w:bCs/>
          <w:b/>
        </w:rPr>
        <w:t xml:space="preserve">K</w:t>
      </w:r>
      <w:r>
        <w:rPr>
          <w:vertAlign w:val="superscript"/>
          <w:bCs/>
          <w:b/>
        </w:rPr>
        <w:t xml:space="preserve">r</w:t>
      </w:r>
      <w:r>
        <w:t xml:space="preserve"> </w:t>
      </w:r>
      <w:r>
        <w:rPr>
          <w:bCs/>
          <w:b/>
        </w:rPr>
        <w:t xml:space="preserve">nie może</w:t>
      </w:r>
      <w:r>
        <w:t xml:space="preserve"> </w:t>
      </w:r>
      <w:r>
        <w:t xml:space="preserve">być rewizją</w:t>
      </w:r>
      <w:r>
        <w:t xml:space="preserve"> </w:t>
      </w:r>
      <w:r>
        <w:rPr>
          <w:bCs/>
          <w:b/>
        </w:rPr>
        <w:t xml:space="preserve">K</w:t>
      </w:r>
      <w:r>
        <w:rPr>
          <w:vertAlign w:val="superscript"/>
          <w:bCs/>
          <w:b/>
        </w:rPr>
        <w:t xml:space="preserve">x</w:t>
      </w:r>
      <w:r>
        <w:t xml:space="preserve">. Istnieją również setki miejsc, w których</w:t>
      </w:r>
      <w:r>
        <w:t xml:space="preserve"> </w:t>
      </w:r>
      <w:r>
        <w:rPr>
          <w:bCs/>
          <w:b/>
        </w:rPr>
        <w:t xml:space="preserve">K</w:t>
      </w:r>
      <w:r>
        <w:rPr>
          <w:vertAlign w:val="superscript"/>
          <w:bCs/>
          <w:b/>
        </w:rPr>
        <w:t xml:space="preserve">r</w:t>
      </w:r>
      <w:r>
        <w:t xml:space="preserve"> </w:t>
      </w:r>
      <w:r>
        <w:t xml:space="preserve">ma wyraźne wczesne poświadczenie przeciwko</w:t>
      </w:r>
      <w:r>
        <w:t xml:space="preserve"> </w:t>
      </w:r>
      <w:r>
        <w:rPr>
          <w:bCs/>
          <w:b/>
        </w:rPr>
        <w:t xml:space="preserve">K</w:t>
      </w:r>
      <w:r>
        <w:rPr>
          <w:vertAlign w:val="superscript"/>
          <w:bCs/>
          <w:b/>
        </w:rPr>
        <w:t xml:space="preserve">x</w:t>
      </w:r>
      <w:r>
        <w:t xml:space="preserve">, lecz nie ma żadnego wzorca do tego wczesnego poświadczenia. Skoro nie ma żadnego wzorca,</w:t>
      </w:r>
      <w:r>
        <w:t xml:space="preserve"> </w:t>
      </w:r>
      <w:r>
        <w:rPr>
          <w:bCs/>
          <w:b/>
        </w:rPr>
        <w:t xml:space="preserve">K</w:t>
      </w:r>
      <w:r>
        <w:rPr>
          <w:vertAlign w:val="superscript"/>
          <w:bCs/>
          <w:b/>
        </w:rPr>
        <w:t xml:space="preserve">r</w:t>
      </w:r>
      <w:r>
        <w:t xml:space="preserve"> </w:t>
      </w:r>
      <w:r>
        <w:t xml:space="preserve">musi być wczesny, jak już sugerował obraz wyłaniający się z</w:t>
      </w:r>
      <w:r>
        <w:t xml:space="preserve"> </w:t>
      </w:r>
      <w:r>
        <w:rPr>
          <w:iCs/>
          <w:i/>
        </w:rPr>
        <w:t xml:space="preserve">PA</w:t>
      </w:r>
      <w:r>
        <w:t xml:space="preserve"> </w:t>
      </w:r>
      <w:r>
        <w:t xml:space="preserve">i Objawienia Jana.</w:t>
      </w:r>
      <w:r>
        <w:t xml:space="preserve"> </w:t>
      </w:r>
      <w:r>
        <w:rPr>
          <w:bCs/>
          <w:b/>
        </w:rPr>
        <w:t xml:space="preserve">Jeśli K</w:t>
      </w:r>
      <w:r>
        <w:rPr>
          <w:vertAlign w:val="superscript"/>
          <w:bCs/>
          <w:b/>
        </w:rPr>
        <w:t xml:space="preserve">r</w:t>
      </w:r>
      <w:r>
        <w:rPr>
          <w:bCs/>
          <w:b/>
        </w:rPr>
        <w:t xml:space="preserve"> </w:t>
      </w:r>
      <w:r>
        <w:rPr>
          <w:bCs/>
          <w:b/>
        </w:rPr>
        <w:t xml:space="preserve">jest wczesny i niezależny, to musi zostać zrehabilitowany w praktyce krytyki tekstu Nowego Testamentu. Jeśli jest najlepszą linią przekazu w</w:t>
      </w:r>
      <w:r>
        <w:rPr>
          <w:bCs/>
          <w:b/>
        </w:rPr>
        <w:t xml:space="preserve"> </w:t>
      </w:r>
      <w:r>
        <w:rPr>
          <w:iCs/>
          <w:i/>
          <w:bCs/>
          <w:b/>
        </w:rPr>
        <w:t xml:space="preserve">PA</w:t>
      </w:r>
      <w:r>
        <w:rPr>
          <w:bCs/>
          <w:b/>
        </w:rPr>
        <w:t xml:space="preserve"> </w:t>
      </w:r>
      <w:r>
        <w:rPr>
          <w:bCs/>
          <w:b/>
        </w:rPr>
        <w:t xml:space="preserve">i Objawieniu Jana, to równie dobrze może być najlepszą także gdzie indziej.</w:t>
      </w:r>
    </w:p>
    <w:p>
      <w:pPr>
        <w:pStyle w:val="BodyText"/>
      </w:pPr>
      <w:r>
        <w:t xml:space="preserve">Istnieje jednak głęboko zakorzeniona pogarda/antypatia wobec symbolu</w:t>
      </w:r>
      <w:r>
        <w:t xml:space="preserve"> </w:t>
      </w:r>
      <w:r>
        <w:rPr>
          <w:bCs/>
          <w:b/>
        </w:rPr>
        <w:t xml:space="preserve">K</w:t>
      </w:r>
      <w:r>
        <w:rPr>
          <w:vertAlign w:val="superscript"/>
          <w:bCs/>
          <w:b/>
        </w:rPr>
        <w:t xml:space="preserve">r</w:t>
      </w:r>
      <w:r>
        <w:t xml:space="preserve">,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 Minuskuł 35 zawiera cały Nowy Testament i wszędzie odzwierciedla</w:t>
      </w:r>
      <w:r>
        <w:t xml:space="preserve"> </w:t>
      </w:r>
      <w:r>
        <w:rPr>
          <w:bCs/>
          <w:b/>
        </w:rPr>
        <w:t xml:space="preserve">K</w:t>
      </w:r>
      <w:r>
        <w:rPr>
          <w:vertAlign w:val="superscript"/>
          <w:bCs/>
          <w:b/>
        </w:rPr>
        <w:t xml:space="preserve">r</w:t>
      </w:r>
      <w:r>
        <w:t xml:space="preserve">, a zarazem jest manuskryptem o najniższym numerze, który spełnia te kryteria</w:t>
      </w:r>
      <w:r>
        <w:rPr>
          <w:rStyle w:val="FootnoteReference"/>
        </w:rPr>
        <w:footnoteReference w:id="203"/>
      </w:r>
      <w:r>
        <w:t xml:space="preserve"> </w:t>
      </w:r>
      <w:r>
        <w:t xml:space="preserve">(podobnie jak rękopisy kursywne 1 i 13 mają najniższe numery w swoich rodzinach, i podobnie jak one, 35 nie zawsze jest najlepszym przedstawicielem [choć na ogół jest znakomity] — pochodzi jednak z XI wieku [i jest kopią starszego egzemplarza, a nie nowym tworem], więc ten typ tekstu nie mógł zostać stworzony w XII wieku, Q.E.D. — jest to skrót łacińskiego</w:t>
      </w:r>
      <w:r>
        <w:t xml:space="preserve"> </w:t>
      </w:r>
      <w:r>
        <w:rPr>
          <w:iCs/>
          <w:i/>
        </w:rPr>
        <w:t xml:space="preserve">quod erat demonstrandum</w:t>
      </w:r>
      <w:r>
        <w:t xml:space="preserve">, „to, co należało udowodnić, zostało udowodnione”).</w:t>
      </w:r>
    </w:p>
    <w:p>
      <w:pPr>
        <w:pStyle w:val="BodyText"/>
      </w:pPr>
      <w:r>
        <w:t xml:space="preserve">Rodzina 35 stanowi około 16% ogółu zachowanych (znanych) greckich manuskryptów, lecz niemal nigdy nie występuje całkowicie sama. Jednak lista pozostałych manuskryptów niemal nigdy nie jest taka sama, i to w całym Nowym Testamencie. Czy nie wskazuje to, że</w:t>
      </w:r>
      <w:r>
        <w:t xml:space="preserve"> </w:t>
      </w:r>
      <w:r>
        <w:rPr>
          <w:bCs/>
          <w:b/>
        </w:rPr>
        <w:t xml:space="preserve">f</w:t>
      </w:r>
      <w:r>
        <w:rPr>
          <w:vertAlign w:val="superscript"/>
          <w:bCs/>
          <w:b/>
        </w:rPr>
        <w:t xml:space="preserve">35</w:t>
      </w:r>
      <w:r>
        <w:t xml:space="preserve"> </w:t>
      </w:r>
      <w:r>
        <w:t xml:space="preserve">jest wspólnym mianownikiem? Ponieważ lista pozostałych manuskryptów niemal nigdy nie jest taka sama, można wyodrębnić manuskrypty reprezentujące</w:t>
      </w:r>
      <w:r>
        <w:t xml:space="preserve"> </w:t>
      </w:r>
      <w:r>
        <w:rPr>
          <w:bCs/>
          <w:b/>
        </w:rPr>
        <w:t xml:space="preserve">f</w:t>
      </w:r>
      <w:r>
        <w:rPr>
          <w:vertAlign w:val="superscript"/>
          <w:bCs/>
          <w:b/>
        </w:rPr>
        <w:t xml:space="preserve">35</w:t>
      </w:r>
      <w:r>
        <w:t xml:space="preserve">. Jak stwierdziłem na końcu Części I, Tekst Oryginalny jest ostatecznym archetypem, więc każdy kandydat również musi być archetypem — rzeczywistym, autentycznym, obiektywnie weryfikowalnym archetypem, jak dotąd zidentyfikowano tylko jeden taki archetyp — Rodzinę 35. Większość słów w Nowym Testamencie ma niemal 100% poświadczenie (z zachowanych greckich manuskryptach), lecz tam, gdzie występują różnice, to mozaika lub profil wspólnych odczytów, definiuje rodzinę lub linię przekazu. Przedstawiam teraz profil definiujący Rodzinę 35.</w:t>
      </w:r>
    </w:p>
    <w:bookmarkEnd w:id="204"/>
    <w:bookmarkStart w:id="206" w:name="X2ce4f72614a37f3fef02ca3acede1fe5baf6763"/>
    <w:p>
      <w:pPr>
        <w:pStyle w:val="Heading2"/>
      </w:pPr>
      <w:r>
        <w:t xml:space="preserve">Profil Rodziny 35 dla całego Nowego Testamentu</w:t>
      </w:r>
      <w:r>
        <w:rPr>
          <w:rStyle w:val="FootnoteReference"/>
        </w:rPr>
        <w:footnoteReference w:id="205"/>
      </w:r>
    </w:p>
    <w:p>
      <w:pPr>
        <w:pStyle w:val="BodyText"/>
      </w:pPr>
      <w:r>
        <w:rPr>
          <w:bCs/>
          <w:b/>
        </w:rPr>
        <w:t xml:space="preserve">Klucz:</w:t>
      </w:r>
    </w:p>
    <w:tbl>
      <w:tblPr>
        <w:tblStyle w:val="Table"/>
        <w:tblW w:type="pct" w:w="5000"/>
        <w:tblLook w:firstRow="0" w:lastRow="0" w:firstColumn="0" w:lastColumn="0" w:noHBand="0" w:noVBand="0" w:val="0000"/>
        <w:jc w:val="start"/>
      </w:tblPr>
      <w:tblGrid>
        <w:gridCol w:w="754"/>
        <w:gridCol w:w="7165"/>
      </w:tblGrid>
      <w:tr>
        <w:tc>
          <w:tcPr/>
          <w:p>
            <w:pPr>
              <w:pStyle w:val="Compact"/>
              <w:jc w:val="left"/>
            </w:pPr>
            <w:r>
              <w:t xml:space="preserve">+++</w:t>
            </w:r>
          </w:p>
        </w:tc>
        <w:tc>
          <w:tcPr/>
          <w:p>
            <w:pPr>
              <w:pStyle w:val="Compact"/>
              <w:jc w:val="left"/>
            </w:pPr>
            <w:r>
              <w:t xml:space="preserve">około 20% =</w:t>
            </w:r>
            <w:r>
              <w:t xml:space="preserve"> </w:t>
            </w:r>
            <w:r>
              <w:rPr>
                <w:bCs/>
                <w:b/>
              </w:rPr>
              <w:t xml:space="preserve">f</w:t>
            </w:r>
            <w:r>
              <w:rPr>
                <w:vertAlign w:val="superscript"/>
                <w:bCs/>
                <w:b/>
              </w:rPr>
              <w:t xml:space="preserve">35</w:t>
            </w:r>
            <w:r>
              <w:t xml:space="preserve"> </w:t>
            </w:r>
            <w:r>
              <w:t xml:space="preserve">praktycznie samodzielnie = diagnostyczne</w:t>
            </w:r>
          </w:p>
        </w:tc>
      </w:tr>
      <w:tr>
        <w:tc>
          <w:tcPr/>
          <w:p>
            <w:pPr>
              <w:pStyle w:val="Compact"/>
              <w:jc w:val="left"/>
            </w:pPr>
            <w:r>
              <w:t xml:space="preserve">++–</w:t>
            </w:r>
          </w:p>
        </w:tc>
        <w:tc>
          <w:tcPr/>
          <w:p>
            <w:pPr>
              <w:pStyle w:val="Compact"/>
              <w:jc w:val="left"/>
            </w:pPr>
            <w:r>
              <w:t xml:space="preserve">około 25% = całkiem dobrze</w:t>
            </w:r>
          </w:p>
        </w:tc>
      </w:tr>
      <w:tr>
        <w:tc>
          <w:tcPr/>
          <w:p>
            <w:pPr>
              <w:pStyle w:val="Compact"/>
              <w:jc w:val="left"/>
            </w:pPr>
            <w:r>
              <w:t xml:space="preserve">++</w:t>
            </w:r>
          </w:p>
        </w:tc>
        <w:tc>
          <w:tcPr/>
          <w:p>
            <w:pPr>
              <w:pStyle w:val="Compact"/>
              <w:jc w:val="left"/>
            </w:pPr>
            <w:r>
              <w:t xml:space="preserve">około 30% = nieźle</w:t>
            </w:r>
          </w:p>
        </w:tc>
      </w:tr>
      <w:tr>
        <w:tc>
          <w:tcPr/>
          <w:p>
            <w:pPr>
              <w:pStyle w:val="Compact"/>
              <w:jc w:val="left"/>
            </w:pPr>
            <w:r>
              <w:t xml:space="preserve">+—</w:t>
            </w:r>
          </w:p>
        </w:tc>
        <w:tc>
          <w:tcPr/>
          <w:p>
            <w:pPr>
              <w:pStyle w:val="Compact"/>
              <w:jc w:val="left"/>
            </w:pPr>
            <w:r>
              <w:t xml:space="preserve">około 35%</w:t>
            </w:r>
          </w:p>
        </w:tc>
      </w:tr>
      <w:tr>
        <w:tc>
          <w:tcPr/>
          <w:p>
            <w:pPr>
              <w:pStyle w:val="Compact"/>
              <w:jc w:val="left"/>
            </w:pPr>
            <w:r>
              <w:t xml:space="preserve">+</w:t>
            </w:r>
          </w:p>
        </w:tc>
        <w:tc>
          <w:tcPr/>
          <w:p>
            <w:pPr>
              <w:pStyle w:val="Compact"/>
              <w:jc w:val="left"/>
            </w:pPr>
            <w:r>
              <w:t xml:space="preserve">około 40%</w:t>
            </w:r>
          </w:p>
        </w:tc>
      </w:tr>
    </w:tbl>
    <w:bookmarkEnd w:id="206"/>
    <w:bookmarkEnd w:id="2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4">
    <w:p>
      <w:pPr>
        <w:pStyle w:val="FootnoteText"/>
      </w:pPr>
      <w:r>
        <w:rPr>
          <w:rStyle w:val="FootnoteReference"/>
        </w:rPr>
        <w:footnoteRef/>
      </w:r>
      <w:r>
        <w:t xml:space="preserve"> </w:t>
      </w:r>
      <w:r>
        <w:t xml:space="preserve">Do tej pory opublikowałem osiem, plus Tekst Grecki.</w:t>
      </w:r>
    </w:p>
  </w:footnote>
  <w:footnote w:id="65">
    <w:p>
      <w:pPr>
        <w:pStyle w:val="FootnoteText"/>
      </w:pPr>
      <w:r>
        <w:rPr>
          <w:rStyle w:val="FootnoteReference"/>
        </w:rPr>
        <w:footnoteRef/>
      </w:r>
      <w:r>
        <w:t xml:space="preserve"> </w:t>
      </w:r>
      <w:r>
        <w:t xml:space="preserve">Odniosłem się już do 1 Kronik 16,15.</w:t>
      </w:r>
    </w:p>
  </w:footnote>
  <w:footnote w:id="6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7">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69">
    <w:p>
      <w:pPr>
        <w:pStyle w:val="FootnoteText"/>
      </w:pPr>
      <w:r>
        <w:rPr>
          <w:rStyle w:val="FootnoteReference"/>
        </w:rPr>
        <w:footnoteRef/>
      </w:r>
      <w:r>
        <w:t xml:space="preserve"> </w:t>
      </w:r>
      <w:r>
        <w:t xml:space="preserve">Dostęp do Pisma jest niezbędny do duchowego wzrostu i pracy.</w:t>
      </w:r>
    </w:p>
  </w:footnote>
  <w:footnote w:id="7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4">
    <w:p>
      <w:pPr>
        <w:pStyle w:val="FootnoteText"/>
      </w:pPr>
      <w:r>
        <w:rPr>
          <w:rStyle w:val="FootnoteReference"/>
        </w:rPr>
        <w:footnoteRef/>
      </w:r>
      <w:r>
        <w:t xml:space="preserve"> </w:t>
      </w:r>
      <w:r>
        <w:t xml:space="preserve">Bardzo niewiele rozdziałów zostało napisanych w języku aramejskim.</w:t>
      </w:r>
    </w:p>
  </w:footnote>
  <w:footnote w:id="75">
    <w:p>
      <w:pPr>
        <w:pStyle w:val="FootnoteText"/>
      </w:pPr>
      <w:r>
        <w:rPr>
          <w:rStyle w:val="FootnoteReference"/>
        </w:rPr>
        <w:footnoteRef/>
      </w:r>
      <w:r>
        <w:t xml:space="preserve"> </w:t>
      </w:r>
      <w:r>
        <w:t xml:space="preserve">Więc nie mamy tu do czynienia z nauką w sensie obiektywnym.</w:t>
      </w:r>
    </w:p>
  </w:footnote>
  <w:footnote w:id="7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7">
    <w:p>
      <w:pPr>
        <w:pStyle w:val="FootnoteText"/>
      </w:pPr>
      <w:r>
        <w:rPr>
          <w:rStyle w:val="FootnoteReference"/>
        </w:rPr>
        <w:footnoteRef/>
      </w:r>
      <w:r>
        <w:t xml:space="preserve"> </w:t>
      </w:r>
      <w:r>
        <w:t xml:space="preserve">Mowa o informacjach historycznych w Biblii, w porównaniu do proroctw. [przyp. tłum.]</w:t>
      </w:r>
    </w:p>
  </w:footnote>
  <w:footnote w:id="7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8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0">
    <w:p>
      <w:pPr>
        <w:pStyle w:val="FootnoteText"/>
      </w:pPr>
      <w:r>
        <w:rPr>
          <w:rStyle w:val="FootnoteReference"/>
        </w:rPr>
        <w:footnoteRef/>
      </w:r>
      <w:r>
        <w:t xml:space="preserve"> </w:t>
      </w:r>
      <w:r>
        <w:t xml:space="preserve">NKJV - Biblia, przekład New King James Version. [przyp. tłum.]</w:t>
      </w:r>
    </w:p>
  </w:footnote>
  <w:footnote w:id="9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9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5">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6">
    <w:p>
      <w:pPr>
        <w:pStyle w:val="FootnoteText"/>
      </w:pPr>
      <w:r>
        <w:rPr>
          <w:rStyle w:val="FootnoteReference"/>
        </w:rPr>
        <w:footnoteRef/>
      </w:r>
      <w:r>
        <w:t xml:space="preserve"> </w:t>
      </w:r>
      <w:r>
        <w:t xml:space="preserve">Francis Glimm, ponownie.</w:t>
      </w:r>
    </w:p>
  </w:footnote>
  <w:footnote w:id="107">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0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2">
    <w:p>
      <w:pPr>
        <w:pStyle w:val="FootnoteText"/>
      </w:pPr>
      <w:r>
        <w:rPr>
          <w:rStyle w:val="FootnoteReference"/>
        </w:rPr>
        <w:footnoteRef/>
      </w:r>
      <w:r>
        <w:t xml:space="preserve"> </w:t>
      </w:r>
      <w:r>
        <w:t xml:space="preserve">Roberts i Donaldson, ponownie.</w:t>
      </w:r>
    </w:p>
  </w:footnote>
  <w:footnote w:id="11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str. 23, 53), stanowiąc wymowne świadectwo skali ruchu między wczesnymi kościołami.</w:t>
      </w:r>
    </w:p>
  </w:footnote>
  <w:footnote w:id="114">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5">
    <w:p>
      <w:pPr>
        <w:pStyle w:val="FootnoteText"/>
      </w:pPr>
      <w:r>
        <w:rPr>
          <w:rStyle w:val="FootnoteReference"/>
        </w:rPr>
        <w:footnoteRef/>
      </w:r>
      <w:r>
        <w:t xml:space="preserve"> </w:t>
      </w:r>
      <w:r>
        <w:t xml:space="preserve">Skorzystałem z tłumaczenia autorstwa C.C. Richardsona z książki Early Christian Fathers.</w:t>
      </w:r>
    </w:p>
  </w:footnote>
  <w:footnote w:id="11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19">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0">
    <w:p>
      <w:pPr>
        <w:pStyle w:val="FootnoteText"/>
      </w:pPr>
      <w:r>
        <w:rPr>
          <w:rStyle w:val="FootnoteReference"/>
        </w:rPr>
        <w:footnoteRef/>
      </w:r>
      <w:r>
        <w:t xml:space="preserve"> </w:t>
      </w:r>
      <w:r>
        <w:rPr>
          <w:iCs/>
          <w:i/>
        </w:rPr>
        <w:t xml:space="preserve">Ibid.</w:t>
      </w:r>
      <w:r>
        <w:t xml:space="preserve">, strona 53.</w:t>
      </w:r>
    </w:p>
  </w:footnote>
  <w:footnote w:id="12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2">
    <w:p>
      <w:pPr>
        <w:pStyle w:val="FootnoteText"/>
      </w:pPr>
      <w:r>
        <w:rPr>
          <w:rStyle w:val="FootnoteReference"/>
        </w:rPr>
        <w:footnoteRef/>
      </w:r>
      <w:r>
        <w:t xml:space="preserve"> </w:t>
      </w:r>
      <w:r>
        <w:t xml:space="preserve">Określenia</w:t>
      </w:r>
      <w:r>
        <w:t xml:space="preserve"> </w:t>
      </w:r>
      <w:r>
        <w:rPr>
          <w:iCs/>
          <w:i/>
        </w:rPr>
        <w:t xml:space="preserve">odczyt</w:t>
      </w:r>
      <w:r>
        <w:t xml:space="preserve"> </w:t>
      </w:r>
      <w:r>
        <w:t xml:space="preserve">oraz</w:t>
      </w:r>
      <w:r>
        <w:t xml:space="preserve"> </w:t>
      </w:r>
      <w:r>
        <w:rPr>
          <w:iCs/>
          <w:i/>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Cs/>
          <w:i/>
        </w:rPr>
        <w:t xml:space="preserve">O naukowej polszczyźnie humanistycznej</w:t>
      </w:r>
      <w:r>
        <w:t xml:space="preserve">, Katowice 2025, s. 29.</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Cs/>
          <w:b/>
        </w:rPr>
        <w:t xml:space="preserve">nie można było ufać</w:t>
      </w:r>
      <w:r>
        <w:t xml:space="preserve">.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 w:id="142">
    <w:p>
      <w:pPr>
        <w:pStyle w:val="FootnoteText"/>
      </w:pPr>
      <w:r>
        <w:rPr>
          <w:rStyle w:val="FootnoteReference"/>
        </w:rPr>
        <w:footnoteRef/>
      </w:r>
      <w:r>
        <w:t xml:space="preserve"> </w:t>
      </w:r>
      <w:r>
        <w:rPr>
          <w:iCs/>
          <w:i/>
        </w:rPr>
        <w:t xml:space="preserve">Ibid.</w:t>
      </w:r>
      <w:r>
        <w:t xml:space="preserve">, strona 53.</w:t>
      </w:r>
    </w:p>
  </w:footnote>
  <w:footnote w:id="143">
    <w:p>
      <w:pPr>
        <w:pStyle w:val="FootnoteText"/>
      </w:pPr>
      <w:r>
        <w:rPr>
          <w:rStyle w:val="FootnoteReference"/>
        </w:rPr>
        <w:footnoteRef/>
      </w:r>
      <w:r>
        <w:t xml:space="preserve"> </w:t>
      </w:r>
      <w:r>
        <w:t xml:space="preserve">C.H. Roberts,</w:t>
      </w:r>
      <w:r>
        <w:t xml:space="preserve"> </w:t>
      </w:r>
      <w:r>
        <w:rPr>
          <w:iCs/>
          <w:i/>
        </w:rPr>
        <w:t xml:space="preserve">Manuscript, Society and Belief in Early Christian Egypt</w:t>
      </w:r>
      <w:r>
        <w:t xml:space="preserve"> </w:t>
      </w:r>
      <w:r>
        <w:t xml:space="preserve">(Londyn: Oxford University Press, 1979), s. 42–43, 54–58.</w:t>
      </w:r>
    </w:p>
  </w:footnote>
  <w:footnote w:id="144">
    <w:p>
      <w:pPr>
        <w:pStyle w:val="FootnoteText"/>
      </w:pPr>
      <w:r>
        <w:rPr>
          <w:rStyle w:val="FootnoteReference"/>
        </w:rPr>
        <w:footnoteRef/>
      </w:r>
      <w:r>
        <w:t xml:space="preserve"> </w:t>
      </w:r>
      <w:r>
        <w:t xml:space="preserve">K. i B. Aland, s. 59.</w:t>
      </w:r>
    </w:p>
  </w:footnote>
  <w:footnote w:id="145">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8NS:138.</w:t>
      </w:r>
    </w:p>
  </w:footnote>
  <w:footnote w:id="146">
    <w:p>
      <w:pPr>
        <w:pStyle w:val="FootnoteText"/>
      </w:pPr>
      <w:r>
        <w:rPr>
          <w:rStyle w:val="FootnoteReference"/>
        </w:rPr>
        <w:footnoteRef/>
      </w:r>
      <w:r>
        <w:t xml:space="preserve"> </w:t>
      </w:r>
      <w:r>
        <w:t xml:space="preserve">Metzger,</w:t>
      </w:r>
      <w:r>
        <w:t xml:space="preserve"> </w:t>
      </w:r>
      <w:r>
        <w:rPr>
          <w:iCs/>
          <w:i/>
        </w:rPr>
        <w:t xml:space="preserve">Early Versions</w:t>
      </w:r>
      <w:r>
        <w:t xml:space="preserve">, s. 101.</w:t>
      </w:r>
    </w:p>
  </w:footnote>
  <w:footnote w:id="147">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48">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50">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51">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Cs/>
          <w:i/>
        </w:rPr>
        <w:t xml:space="preserve">The Identity of the New Testament Text IV</w:t>
      </w:r>
      <w:r>
        <w:t xml:space="preserve">, dostępnej na Amazon.com jak również na mojej stronie internetowej www.prunch.org.</w:t>
      </w:r>
    </w:p>
  </w:footnote>
  <w:footnote w:id="152">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53">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54">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Cs/>
          <w:b/>
        </w:rPr>
        <w:t xml:space="preserve">natchnionego Tekstu</w:t>
      </w:r>
      <w:r>
        <w:t xml:space="preserve">, czemu Westcott i Hort zaprzeczali. Odnoszę się do wierzących kopiujących tekst, który</w:t>
      </w:r>
      <w:r>
        <w:t xml:space="preserve"> </w:t>
      </w:r>
      <w:r>
        <w:rPr>
          <w:bCs/>
          <w:b/>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Cs/>
          <w:i/>
        </w:rPr>
        <w:t xml:space="preserve">The Identity of the New Testament Text</w:t>
      </w:r>
      <w:r>
        <w:t xml:space="preserve">: A Review Article”,</w:t>
      </w:r>
      <w:r>
        <w:t xml:space="preserve"> </w:t>
      </w:r>
      <w:r>
        <w:rPr>
          <w:iCs/>
          <w:i/>
        </w:rPr>
        <w:t xml:space="preserve">The Westminster Theological Journal</w:t>
      </w:r>
      <w:r>
        <w:t xml:space="preserve">, XLI [wiosna 1979], str. 404-408) oraz błędnie przedstawiając mój pogląd na temat normalnego przebiegu przekazywania (</w:t>
      </w:r>
      <w:r>
        <w:rPr>
          <w:iCs/>
          <w:i/>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55">
    <w:p>
      <w:pPr>
        <w:pStyle w:val="FootnoteText"/>
      </w:pPr>
      <w:r>
        <w:rPr>
          <w:rStyle w:val="FootnoteReference"/>
        </w:rPr>
        <w:footnoteRef/>
      </w:r>
      <w:r>
        <w:t xml:space="preserve"> </w:t>
      </w:r>
      <w:r>
        <w:t xml:space="preserve">3 J.W. Burgon,</w:t>
      </w:r>
      <w:r>
        <w:t xml:space="preserve"> </w:t>
      </w:r>
      <w:r>
        <w:rPr>
          <w:iCs/>
          <w:i/>
        </w:rPr>
        <w:t xml:space="preserve">The Revision Revised</w:t>
      </w:r>
      <w:r>
        <w:t xml:space="preserve"> </w:t>
      </w:r>
      <w:r>
        <w:t xml:space="preserve">(Londyn: John Murray, 1883), s. 323–324.</w:t>
      </w:r>
    </w:p>
  </w:footnote>
  <w:footnote w:id="156">
    <w:p>
      <w:pPr>
        <w:pStyle w:val="FootnoteText"/>
      </w:pPr>
      <w:r>
        <w:rPr>
          <w:rStyle w:val="FootnoteReference"/>
        </w:rPr>
        <w:footnoteRef/>
      </w:r>
      <w:r>
        <w:t xml:space="preserve"> </w:t>
      </w:r>
      <w:r>
        <w:t xml:space="preserve">E.C. Colwell, „The Origin of Text-types of New Testament Manuscripts”,</w:t>
      </w:r>
      <w:r>
        <w:t xml:space="preserve"> </w:t>
      </w:r>
      <w:r>
        <w:rPr>
          <w:iCs/>
          <w:i/>
        </w:rPr>
        <w:t xml:space="preserve">Early Christian Origins</w:t>
      </w:r>
      <w:r>
        <w:t xml:space="preserve">, red. Allen Wikgren (Chicago: Quadrangle Books, 1961), s. 138.</w:t>
      </w:r>
    </w:p>
  </w:footnote>
  <w:footnote w:id="157">
    <w:p>
      <w:pPr>
        <w:pStyle w:val="FootnoteText"/>
      </w:pPr>
      <w:r>
        <w:rPr>
          <w:rStyle w:val="FootnoteReference"/>
        </w:rPr>
        <w:footnoteRef/>
      </w:r>
      <w:r>
        <w:t xml:space="preserve"> </w:t>
      </w:r>
      <w:r>
        <w:t xml:space="preserve">F.H.A. Scrivener,</w:t>
      </w:r>
      <w:r>
        <w:t xml:space="preserve"> </w:t>
      </w:r>
      <w:r>
        <w:rPr>
          <w:iCs/>
          <w:i/>
        </w:rPr>
        <w:t xml:space="preserve">A Plain Introduction to the Criticism of the New Testament</w:t>
      </w:r>
      <w:r>
        <w:t xml:space="preserve">, wydanie czwarte pod redakcją E. Millera (2 tomy; Londyn: George Bell and Sons, 1894), II, 264.</w:t>
      </w:r>
    </w:p>
  </w:footnote>
  <w:footnote w:id="158">
    <w:p>
      <w:pPr>
        <w:pStyle w:val="FootnoteText"/>
      </w:pPr>
      <w:r>
        <w:rPr>
          <w:rStyle w:val="FootnoteReference"/>
        </w:rPr>
        <w:footnoteRef/>
      </w:r>
      <w:r>
        <w:t xml:space="preserve"> </w:t>
      </w:r>
      <w:r>
        <w:t xml:space="preserve">G.D. Kilpatrick, „The Transmission of the New Testament and its Reliability”,</w:t>
      </w:r>
      <w:r>
        <w:t xml:space="preserve"> </w:t>
      </w:r>
      <w:r>
        <w:rPr>
          <w:iCs/>
          <w:i/>
        </w:rPr>
        <w:t xml:space="preserve">The Bible Translator</w:t>
      </w:r>
      <w:r>
        <w:t xml:space="preserve">, IX (lipiec 1958), 128-29.</w:t>
      </w:r>
    </w:p>
  </w:footnote>
  <w:footnote w:id="159">
    <w:p>
      <w:pPr>
        <w:pStyle w:val="FootnoteText"/>
      </w:pPr>
      <w:r>
        <w:rPr>
          <w:rStyle w:val="FootnoteReference"/>
        </w:rPr>
        <w:footnoteRef/>
      </w:r>
      <w:r>
        <w:t xml:space="preserve"> </w:t>
      </w:r>
      <w:r>
        <w:t xml:space="preserve">G. Zuntz,</w:t>
      </w:r>
      <w:r>
        <w:t xml:space="preserve"> </w:t>
      </w:r>
      <w:r>
        <w:rPr>
          <w:iCs/>
          <w:i/>
        </w:rPr>
        <w:t xml:space="preserve">The Text of the Epistles</w:t>
      </w:r>
      <w:r>
        <w:t xml:space="preserve"> </w:t>
      </w:r>
      <w:r>
        <w:t xml:space="preserve">(Londyn: Oxford University Press, 1953), s. 11.</w:t>
      </w:r>
    </w:p>
  </w:footnote>
  <w:footnote w:id="160">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61">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62">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63">
    <w:p>
      <w:pPr>
        <w:pStyle w:val="FootnoteText"/>
      </w:pPr>
      <w:r>
        <w:rPr>
          <w:rStyle w:val="FootnoteReference"/>
        </w:rPr>
        <w:footnoteRef/>
      </w:r>
      <w:r>
        <w:t xml:space="preserve"> </w:t>
      </w:r>
      <w:r>
        <w:t xml:space="preserve">Zob. Burgon,</w:t>
      </w:r>
      <w:r>
        <w:t xml:space="preserve"> </w:t>
      </w:r>
      <w:r>
        <w:rPr>
          <w:iCs/>
          <w:i/>
        </w:rPr>
        <w:t xml:space="preserve">The Revision Revised</w:t>
      </w:r>
      <w:r>
        <w:t xml:space="preserve">, s. 323.</w:t>
      </w:r>
    </w:p>
  </w:footnote>
  <w:footnote w:id="168">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69">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Cs/>
          <w:i/>
        </w:rPr>
        <w:t xml:space="preserve">The Identity of the New Testament Text IV</w:t>
      </w:r>
      <w:r>
        <w:t xml:space="preserve">, dostępnej na Amazon.com oraz na mojej stronie internetowej www.prunch.org.</w:t>
      </w:r>
    </w:p>
  </w:footnote>
  <w:footnote w:id="170">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Cs/>
          <w:i/>
        </w:rPr>
        <w:t xml:space="preserve">W</w:t>
      </w:r>
      <w:r>
        <w:t xml:space="preserve">, czyli Waszyngtońskiego, przyp. tłum.] albo wirze P</w:t>
      </w:r>
      <w:r>
        <w:rPr>
          <w:vertAlign w:val="superscript"/>
        </w:rPr>
        <w:t xml:space="preserve">75</w:t>
      </w:r>
      <w:r>
        <w:t xml:space="preserve">/B [papirus 75 z kodeksu</w:t>
      </w:r>
      <w:r>
        <w:t xml:space="preserve"> </w:t>
      </w:r>
      <w:r>
        <w:rPr>
          <w:iCs/>
          <w:i/>
        </w:rPr>
        <w:t xml:space="preserve">B</w:t>
      </w:r>
      <w:r>
        <w:t xml:space="preserve">, czyli Watykańskiego, przyp. tłum.].</w:t>
      </w:r>
    </w:p>
  </w:footnote>
  <w:footnote w:id="171">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Cs/>
          <w:b/>
        </w:rPr>
        <w:t xml:space="preserve">będą</w:t>
      </w:r>
      <w:r>
        <w:t xml:space="preserve"> </w:t>
      </w:r>
      <w:r>
        <w:t xml:space="preserve">błędami).</w:t>
      </w:r>
    </w:p>
  </w:footnote>
  <w:footnote w:id="172">
    <w:p>
      <w:pPr>
        <w:pStyle w:val="FootnoteText"/>
      </w:pPr>
      <w:r>
        <w:rPr>
          <w:rStyle w:val="FootnoteReference"/>
        </w:rPr>
        <w:footnoteRef/>
      </w:r>
      <w:r>
        <w:t xml:space="preserve"> </w:t>
      </w:r>
      <w:r>
        <w:t xml:space="preserve">Nie jestem przygotowany do obrony podanych konkretnych liczb – są to</w:t>
      </w:r>
      <w:r>
        <w:t xml:space="preserve"> </w:t>
      </w:r>
      <w:r>
        <w:rPr>
          <w:bCs/>
          <w:b/>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Cs/>
          <w:i/>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73">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Cs/>
          <w:i/>
        </w:rPr>
        <w:t xml:space="preserve">Identity IV</w:t>
      </w:r>
      <w:r>
        <w:t xml:space="preserve">, w sekcji zatytułowanej „Czy świadków nie należy raczej ważyć, a nie liczyć?”.</w:t>
      </w:r>
    </w:p>
  </w:footnote>
  <w:footnote w:id="174">
    <w:p>
      <w:pPr>
        <w:pStyle w:val="FootnoteText"/>
      </w:pPr>
      <w:r>
        <w:rPr>
          <w:rStyle w:val="FootnoteReference"/>
        </w:rPr>
        <w:footnoteRef/>
      </w:r>
      <w:r>
        <w:t xml:space="preserve"> </w:t>
      </w:r>
      <w:r>
        <w:t xml:space="preserve">Sturz,</w:t>
      </w:r>
      <w:r>
        <w:t xml:space="preserve"> </w:t>
      </w:r>
      <w:r>
        <w:rPr>
          <w:iCs/>
          <w:i/>
        </w:rPr>
        <w:t xml:space="preserve">Op. Cit.</w:t>
      </w:r>
      <w:r>
        <w:t xml:space="preserve"> </w:t>
      </w:r>
      <w:r>
        <w:t xml:space="preserve">[łac.</w:t>
      </w:r>
      <w:r>
        <w:t xml:space="preserve"> </w:t>
      </w:r>
      <w:r>
        <w:rPr>
          <w:iCs/>
          <w:i/>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75">
    <w:p>
      <w:pPr>
        <w:pStyle w:val="FootnoteText"/>
      </w:pPr>
      <w:r>
        <w:rPr>
          <w:rStyle w:val="FootnoteReference"/>
        </w:rPr>
        <w:footnoteRef/>
      </w:r>
      <w:r>
        <w:t xml:space="preserve"> </w:t>
      </w:r>
      <w:r>
        <w:t xml:space="preserve">Odczyty wraz z popierającymi je manuskryptami są jak następuje [w formie:</w:t>
      </w:r>
      <w:r>
        <w:t xml:space="preserve"> </w:t>
      </w:r>
      <w:r>
        <w:rPr>
          <w:iCs/>
          <w:i/>
        </w:rPr>
        <w:t xml:space="preserve">grecka fraza</w:t>
      </w:r>
      <w:r>
        <w:t xml:space="preserve"> </w:t>
      </w:r>
      <w:r>
        <w:t xml:space="preserve">- identyfikatory manuskryptów, przyp. tłum.]:</w:t>
      </w:r>
    </w:p>
    <w:p>
      <w:pPr>
        <w:pStyle w:val="FootnoteText"/>
      </w:pPr>
      <w:r>
        <w:rPr>
          <w:iCs/>
          <w:i/>
        </w:rPr>
        <w:t xml:space="preserve">ο</w:t>
      </w:r>
      <w:r>
        <w:t xml:space="preserve"> </w:t>
      </w:r>
      <w:r>
        <w:t xml:space="preserve">– D</w:t>
      </w:r>
    </w:p>
    <w:p>
      <w:pPr>
        <w:pStyle w:val="FootnoteText"/>
      </w:pPr>
      <w:r>
        <w:rPr>
          <w:iCs/>
          <w:i/>
        </w:rPr>
        <w:t xml:space="preserve">ω</w:t>
      </w:r>
      <w:r>
        <w:t xml:space="preserve"> </w:t>
      </w:r>
      <w:r>
        <w:t xml:space="preserve">– 061</w:t>
      </w:r>
    </w:p>
    <w:p>
      <w:pPr>
        <w:pStyle w:val="FootnoteText"/>
      </w:pPr>
      <w:r>
        <w:rPr>
          <w:iCs/>
          <w:i/>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Cs/>
          <w:i/>
        </w:rPr>
        <w:t xml:space="preserve">ος</w:t>
      </w:r>
      <w:r>
        <w:t xml:space="preserve"> </w:t>
      </w:r>
      <w:r>
        <w:t xml:space="preserve">– ℵ, 33, 365, 442, 1175, 2127 (plus trzy Lekcjonarze)</w:t>
      </w:r>
    </w:p>
    <w:p>
      <w:pPr>
        <w:pStyle w:val="FootnoteText"/>
      </w:pPr>
      <w:r>
        <w:rPr>
          <w:iCs/>
          <w:i/>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Cs/>
          <w:i/>
        </w:rPr>
        <w:t xml:space="preserve">ο Θεος</w:t>
      </w:r>
      <w:r>
        <w:t xml:space="preserve"> </w:t>
      </w:r>
      <w:r>
        <w:t xml:space="preserve">oraz jeden lekcjonarz mający odczyt</w:t>
      </w:r>
      <w:r>
        <w:t xml:space="preserve"> </w:t>
      </w:r>
      <w:r>
        <w:rPr>
          <w:iCs/>
          <w:i/>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Cs/>
          <w:i/>
        </w:rPr>
        <w:t xml:space="preserve">Θ</w:t>
      </w:r>
      <w:r>
        <w:t xml:space="preserve">, które dwadzieścia lat później (tj. w 1785 roku) przestały być dla niego widoczne” (</w:t>
      </w:r>
      <w:r>
        <w:rPr>
          <w:iCs/>
          <w:i/>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Cs/>
          <w:i/>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Cs/>
          <w:i/>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Cs/>
          <w:b/>
        </w:rPr>
        <w:t xml:space="preserve">Kreska skrótu</w:t>
      </w:r>
      <w:r>
        <w:t xml:space="preserve"> </w:t>
      </w:r>
      <w:r>
        <w:t xml:space="preserve">[ang.</w:t>
      </w:r>
      <w:r>
        <w:t xml:space="preserve"> </w:t>
      </w:r>
      <w:r>
        <w:rPr>
          <w:iCs/>
          <w:i/>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Cs/>
          <w:i/>
        </w:rPr>
        <w:t xml:space="preserve">Ibid.</w:t>
      </w:r>
      <w:r>
        <w:t xml:space="preserve">, s. 437-438.</w:t>
      </w:r>
    </w:p>
    <w:p>
      <w:pPr>
        <w:pStyle w:val="FootnoteText"/>
      </w:pPr>
      <w:r>
        <w:t xml:space="preserve">W kodeksach F/G występuje odczyt</w:t>
      </w:r>
      <w:r>
        <w:t xml:space="preserve"> </w:t>
      </w:r>
      <w:r>
        <w:rPr>
          <w:iCs/>
          <w:i/>
        </w:rPr>
        <w:t xml:space="preserve">OC</w:t>
      </w:r>
      <w:r>
        <w:t xml:space="preserve">, gdzie kreska skrótu ma postać ukośnej kreski. Argumentowano, że kreska ta oznacza aspiratę [</w:t>
      </w:r>
      <w:r>
        <w:rPr>
          <w:iCs/>
          <w:i/>
        </w:rPr>
        <w:t xml:space="preserve">aspirata</w:t>
      </w:r>
      <w:r>
        <w:t xml:space="preserve"> </w:t>
      </w:r>
      <w:r>
        <w:t xml:space="preserve">- spółgłoska wymawiana z przydechem, czyli następującym po niej dźwiękiem przypominającym krótkie</w:t>
      </w:r>
      <w:r>
        <w:t xml:space="preserve"> </w:t>
      </w:r>
      <w:r>
        <w:t xml:space="preserve">‘</w:t>
      </w:r>
      <w:r>
        <w:t xml:space="preserve">h</w:t>
      </w:r>
      <w:r>
        <w:t xml:space="preserve">’</w:t>
      </w:r>
      <w:r>
        <w:t xml:space="preserve"> </w:t>
      </w:r>
      <w:r>
        <w:t xml:space="preserve">- https://sjp.pl/aspirata, przyp. tłum.]</w:t>
      </w:r>
      <w:r>
        <w:t xml:space="preserve"> </w:t>
      </w:r>
      <w:r>
        <w:rPr>
          <w:iCs/>
          <w:i/>
        </w:rPr>
        <w:t xml:space="preserve">ος</w:t>
      </w:r>
      <w:r>
        <w:t xml:space="preserve">, ale Burgon dowodzi, że omawiana kreska nigdy nie oznacza oddechu, lecz jest niezmiennie znakiem skrótu i potwierdza, że „</w:t>
      </w:r>
      <w:r>
        <w:rPr>
          <w:iCs/>
          <w:i/>
        </w:rPr>
        <w:t xml:space="preserve">ος</w:t>
      </w:r>
      <w:r>
        <w:t xml:space="preserve"> </w:t>
      </w:r>
      <w:r>
        <w:t xml:space="preserve">nie jest</w:t>
      </w:r>
      <w:r>
        <w:t xml:space="preserve"> </w:t>
      </w:r>
      <w:r>
        <w:rPr>
          <w:bCs/>
          <w:b/>
        </w:rPr>
        <w:t xml:space="preserve">nigdzie</w:t>
      </w:r>
      <w:r>
        <w:t xml:space="preserve"> </w:t>
      </w:r>
      <w:r>
        <w:t xml:space="preserve">indziej zapisane jako</w:t>
      </w:r>
      <w:r>
        <w:t xml:space="preserve"> </w:t>
      </w:r>
      <w:r>
        <w:rPr>
          <w:iCs/>
          <w:i/>
        </w:rPr>
        <w:t xml:space="preserve">OC</w:t>
      </w:r>
      <w:r>
        <w:t xml:space="preserve"> </w:t>
      </w:r>
      <w:r>
        <w:t xml:space="preserve">(z kreską) w żadnym z kodeksów” (</w:t>
      </w:r>
      <w:r>
        <w:rPr>
          <w:iCs/>
          <w:i/>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Cs/>
          <w:i/>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Cs/>
          <w:i/>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Cs/>
          <w:i/>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Cs/>
          <w:i/>
        </w:rPr>
        <w:t xml:space="preserve">Ιησους … ο υιος του Θεου τυπω και εν σαρκι φανερωθεις</w:t>
      </w:r>
      <w:r>
        <w:t xml:space="preserve">” (rozdz. XII) oraz u Ignacego: „</w:t>
      </w:r>
      <w:r>
        <w:rPr>
          <w:iCs/>
          <w:i/>
        </w:rPr>
        <w:t xml:space="preserve">Θεου ανθρωπινως φανερουμενου</w:t>
      </w:r>
      <w:r>
        <w:t xml:space="preserve">” (</w:t>
      </w:r>
      <w:r>
        <w:rPr>
          <w:iCs/>
          <w:i/>
        </w:rPr>
        <w:t xml:space="preserve">Ad Ephes.</w:t>
      </w:r>
      <w:r>
        <w:t xml:space="preserve"> </w:t>
      </w:r>
      <w:r>
        <w:t xml:space="preserve">rozdz. 19) oraz „</w:t>
      </w:r>
      <w:r>
        <w:rPr>
          <w:iCs/>
          <w:i/>
        </w:rPr>
        <w:t xml:space="preserve">εν σαρκι γενομενος Θεος</w:t>
      </w:r>
      <w:r>
        <w:t xml:space="preserve">” (</w:t>
      </w:r>
      <w:r>
        <w:rPr>
          <w:iCs/>
          <w:i/>
        </w:rPr>
        <w:t xml:space="preserve">Ibid.</w:t>
      </w:r>
      <w:r>
        <w:t xml:space="preserve">, rozdz. 7). W III wieku wydają się istnieć wyraźne odniesienia u Hipolita: „</w:t>
      </w:r>
      <w:r>
        <w:rPr>
          <w:iCs/>
          <w:i/>
        </w:rPr>
        <w:t xml:space="preserve">Θεος εν σωματι εφανερωθη</w:t>
      </w:r>
      <w:r>
        <w:t xml:space="preserve">” (</w:t>
      </w:r>
      <w:r>
        <w:rPr>
          <w:iCs/>
          <w:i/>
        </w:rPr>
        <w:t xml:space="preserve">Contra Haeresim Noeti</w:t>
      </w:r>
      <w:r>
        <w:t xml:space="preserve">, rozdz. XVII), u Dionizego: „</w:t>
      </w:r>
      <w:r>
        <w:rPr>
          <w:iCs/>
          <w:i/>
        </w:rPr>
        <w:t xml:space="preserve">Θεος γαρ εφανερωθη εν σαρκι</w:t>
      </w:r>
      <w:r>
        <w:t xml:space="preserve">” (</w:t>
      </w:r>
      <w:r>
        <w:rPr>
          <w:iCs/>
          <w:i/>
        </w:rPr>
        <w:t xml:space="preserve">Concilia</w:t>
      </w:r>
      <w:r>
        <w:t xml:space="preserve">, tom I 853a) oraz u Grzegorza Cudotwórcy: „</w:t>
      </w:r>
      <w:r>
        <w:rPr>
          <w:iCs/>
          <w:i/>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Cs/>
          <w:i/>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Cs/>
          <w:i/>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Cs/>
          <w:i/>
        </w:rPr>
        <w:t xml:space="preserve">Ibid.</w:t>
      </w:r>
      <w:r>
        <w:t xml:space="preserve">, s. 483).</w:t>
      </w:r>
    </w:p>
    <w:p>
      <w:pPr>
        <w:pStyle w:val="FootnoteText"/>
      </w:pPr>
      <w:r>
        <w:t xml:space="preserve">Wydaje się zatem, że odczyty „zachodnie” i „bizantyjskie” mają wcześniejsze zaświadczenie niż „aleksandryjskie”. Jeśli jednak</w:t>
      </w:r>
      <w:r>
        <w:t xml:space="preserve"> </w:t>
      </w:r>
      <w:r>
        <w:t xml:space="preserve">“</w:t>
      </w:r>
      <w:r>
        <w:t xml:space="preserve">która</w:t>
      </w:r>
      <w:r>
        <w:t xml:space="preserve">”</w:t>
      </w:r>
      <w:r>
        <w:t xml:space="preserve"> </w:t>
      </w:r>
      <w:r>
        <w:t xml:space="preserve">powstała z</w:t>
      </w:r>
      <w:r>
        <w:t xml:space="preserve"> </w:t>
      </w:r>
      <w:r>
        <w:t xml:space="preserve">“</w:t>
      </w:r>
      <w:r>
        <w:t xml:space="preserve">kto</w:t>
      </w:r>
      <w:r>
        <w:t xml:space="preserve">”</w:t>
      </w:r>
      <w:r>
        <w:t xml:space="preserve">, wówczas to drugie musi być starsze. Odczyt</w:t>
      </w:r>
      <w:r>
        <w:t xml:space="preserve"> </w:t>
      </w:r>
      <w:r>
        <w:t xml:space="preserve">“</w:t>
      </w:r>
      <w:r>
        <w:t xml:space="preserve">kto</w:t>
      </w:r>
      <w:r>
        <w:t xml:space="preserve">”</w:t>
      </w:r>
      <w:r>
        <w:t xml:space="preserve"> </w:t>
      </w:r>
      <w:r>
        <w:t xml:space="preserve">jest co prawda najtrudniejszy, do tego stopnia, że stosowanie zasady</w:t>
      </w:r>
      <w:r>
        <w:t xml:space="preserve"> </w:t>
      </w:r>
      <w:r>
        <w:t xml:space="preserve">“</w:t>
      </w:r>
      <w:r>
        <w:t xml:space="preserve">trudniejszego odczytu</w:t>
      </w:r>
      <w:r>
        <w:t xml:space="preserve">”</w:t>
      </w:r>
      <w:r>
        <w:t xml:space="preserve"> </w:t>
      </w:r>
      <w:r>
        <w:t xml:space="preserve">w obliczu łatwego wyjaśnienia transkrypcyjnego (przypadkowego pominięcia dwóch pociągnięć pióra) dla trudnego odczytu wydaje się nierozsądne. Jak trafnie ujął to Burgon:</w:t>
      </w:r>
    </w:p>
    <w:p>
      <w:pPr>
        <w:pStyle w:val="BlockText"/>
      </w:pPr>
      <w:r>
        <w:t xml:space="preserve">Wierzę, że przynajmniej co do tego się zgadzamy, iż maksyma „</w:t>
      </w:r>
      <w:r>
        <w:rPr>
          <w:iCs/>
          <w:i/>
        </w:rPr>
        <w:t xml:space="preserve">proclivi lectioni praestat ardua</w:t>
      </w:r>
      <w:r>
        <w:t xml:space="preserve">” nie głosi tak nierozsądnej tezy, jakoby przy wyborze między dwoma lub więcej sprzecznymi odczytami należało preferować</w:t>
      </w:r>
      <w:r>
        <w:t xml:space="preserve"> </w:t>
      </w:r>
      <w:r>
        <w:rPr>
          <w:bCs/>
          <w:b/>
        </w:rPr>
        <w:t xml:space="preserve">ten</w:t>
      </w:r>
      <w:r>
        <w:t xml:space="preserve">, który ma najsłabsze zewnętrzne potwierdzenie – pod warunkiem, że sam w sobie jest niemal niezrozumiały? (</w:t>
      </w:r>
      <w:r>
        <w:rPr>
          <w:iCs/>
          <w:i/>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76">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78">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w:t>
      </w:r>
      <w:r>
        <w:rPr>
          <w:iCs/>
          <w:i/>
        </w:rPr>
        <w:t xml:space="preserve">Skrócona lista rękopisów Nowego Testamentu w języku griesh</w:t>
      </w:r>
      <w:r>
        <w:t xml:space="preserve">, przyp. tłum.] (Berlin: Walter de Gruyter, 1994).</w:t>
      </w:r>
    </w:p>
  </w:footnote>
  <w:footnote w:id="179">
    <w:p>
      <w:pPr>
        <w:pStyle w:val="FootnoteText"/>
      </w:pPr>
      <w:r>
        <w:rPr>
          <w:rStyle w:val="FootnoteReference"/>
        </w:rPr>
        <w:footnoteRef/>
      </w:r>
      <w:r>
        <w:t xml:space="preserve"> </w:t>
      </w:r>
      <w:r>
        <w:t xml:space="preserve">Ten akapit, jak i następny, opierają się po prostu na</w:t>
      </w:r>
      <w:r>
        <w:t xml:space="preserve"> </w:t>
      </w:r>
      <w:r>
        <w:rPr>
          <w:iCs/>
          <w:i/>
        </w:rPr>
        <w:t xml:space="preserve">Liste</w:t>
      </w:r>
      <w:r>
        <w:t xml:space="preserve"> </w:t>
      </w:r>
      <w:r>
        <w:t xml:space="preserve">(niezależnie od tego, czy się zgadzam, czy nie).</w:t>
      </w:r>
    </w:p>
  </w:footnote>
  <w:footnote w:id="180">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81">
    <w:p>
      <w:pPr>
        <w:pStyle w:val="FootnoteText"/>
      </w:pPr>
      <w:r>
        <w:rPr>
          <w:rStyle w:val="FootnoteReference"/>
        </w:rPr>
        <w:footnoteRef/>
      </w:r>
      <w:r>
        <w:t xml:space="preserve"> </w:t>
      </w:r>
      <w:r>
        <w:t xml:space="preserve">Frederik Wisse zebrał i porównał 1 386 manuskryptów z 1, 10 i 20 rozdziału Ewangelii Łukasza (trzy rozdziały), a następnie zredukował te manuskrypty do 37 grup (rodzin) (plus 89 „indywidualistów”).</w:t>
      </w:r>
      <w:r>
        <w:t xml:space="preserve"> </w:t>
      </w:r>
      <w:r>
        <w:rPr>
          <w:iCs/>
          <w:i/>
        </w:rPr>
        <w:t xml:space="preserve">The Profile Method for the Classification and Evaluation of Manuscript Evidence</w:t>
      </w:r>
      <w:r>
        <w:t xml:space="preserve"> </w:t>
      </w:r>
      <w:r>
        <w:t xml:space="preserve">(Grand Rapids: Eerdmans, 1982). Okazuje się, że 36 z 37 należy do szerokiego byzantyjskiego nurtu przekazu. Znalazł 70 podgrup w obrębie tych 36, więc uznał, że jest w stanie zdefiniować te relacje na podstawie profili. Przyznaję, że jest to krok we właściwym kierunku.</w:t>
      </w:r>
    </w:p>
  </w:footnote>
  <w:footnote w:id="182">
    <w:p>
      <w:pPr>
        <w:pStyle w:val="FootnoteText"/>
      </w:pPr>
      <w:r>
        <w:rPr>
          <w:rStyle w:val="FootnoteReference"/>
        </w:rPr>
        <w:footnoteRef/>
      </w:r>
      <w:r>
        <w:t xml:space="preserve"> </w:t>
      </w:r>
      <w:r>
        <w:t xml:space="preserve">Rozważ wnioski, do jakich doszedł Maurice Robinson w wyniku przeprowadzenia kompletnego zestawienia 1 389 manuskryptów zawierających perykopę z Ewangelii Jana 7,53–8,11:</w:t>
      </w:r>
    </w:p>
    <w:p>
      <w:pPr>
        <w:pStyle w:val="BlockText"/>
      </w:pPr>
      <w:r>
        <w:t xml:space="preserve">Jednak wbrew wcześniejszym przypuszczeniom tego autora, szeroko zakrojona analiza manuskryptów PA [Pericope Adulterae, czyli fragment z Jan 7,53–8,11 - o kobiecie pochwyconej na cudzołóstwie, będący tematem licznych debat, przyp. tłum.] jednoznacznie wykazała, że międzytekstowe porównania i korekty manuskryptów miały miejsce jedynie</w:t>
      </w:r>
      <w:r>
        <w:t xml:space="preserve"> </w:t>
      </w:r>
      <w:r>
        <w:rPr>
          <w:iCs/>
          <w:i/>
        </w:rPr>
        <w:t xml:space="preserve">rzadko</w:t>
      </w:r>
      <w:r>
        <w:t xml:space="preserve"> </w:t>
      </w:r>
      <w:r>
        <w:t xml:space="preserve">i</w:t>
      </w:r>
      <w:r>
        <w:t xml:space="preserve"> </w:t>
      </w:r>
      <w:r>
        <w:rPr>
          <w:iCs/>
          <w:i/>
        </w:rPr>
        <w:t xml:space="preserve">sporadycznie</w:t>
      </w:r>
      <w:r>
        <w:t xml:space="preserve">, a wprowadzone poprawki w niewielkim stopniu lub wcale nie były przenoszone na różnorodne przedstawione typy (kursywa autora, podobnie poniżej).</w:t>
      </w:r>
    </w:p>
    <w:p>
      <w:pPr>
        <w:pStyle w:val="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Cs/>
          <w:i/>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BlockText"/>
      </w:pPr>
      <w:r>
        <w:t xml:space="preserve">Skoro tak jest, fenomenu stosunkowo jednolitej bizantyjskiej formy tekstowej</w:t>
      </w:r>
      <w:r>
        <w:t xml:space="preserve"> </w:t>
      </w:r>
      <w:r>
        <w:rPr>
          <w:iCs/>
          <w:i/>
        </w:rPr>
        <w:t xml:space="preserve">nie da się</w:t>
      </w:r>
      <w:r>
        <w:t xml:space="preserve"> </w:t>
      </w:r>
      <w:r>
        <w:t xml:space="preserve">wyjaśnić metodologią „procesową”, niezależnie od tego, czy jest ona „zmodyfikowana”, czy nie…</w:t>
      </w:r>
    </w:p>
    <w:p>
      <w:pPr>
        <w:pStyle w:val="BlockText"/>
      </w:pPr>
      <w:r>
        <w:t xml:space="preserve">Na podstawie zebranych danych autor niniejszego artykułu zmuszony jest zmienić swoje wcześniejsze założenia dotyczące rozwoju oraz odtworzenia/zachowania bizantyjskiej formy tekstowej, w tym sensie: chociaż sama transmisja tekstowa jest procesem, wydaje się, iż w większości przypadków linie transmisji pozostawały odrębne, a mieszanie się tekstów występowało i utrwalało się w stosunkowo niewielkim stopniu…</w:t>
      </w:r>
    </w:p>
    <w:p>
      <w:pPr>
        <w:pStyle w:val="BlockText"/>
      </w:pPr>
      <w:r>
        <w:t xml:space="preserve">Oczywiście, wszystkie rodzaje tekstów PA są odrębne i odzwierciedlają długą linię przekazu oraz zachowania w swojej odrębnej integralności… Wydaje się zatem, że bizantyjskie manuskrypty minuskułowe zachowują linie przekazu, które są nie tylko niezależne, ale które z konieczności miały swój początek w czasie znacznie wcześniejszym niż IX wiek. Zachowane manuskrypty uncjałowe nie wyjaśniają i nie są w stanie wyjaśnić różnorodności i stabilności form tekstowych PA występujących nawet wśród najwcześniejszych manuskryptów minuskulowych z IX wieku, nie mówiąc już o różnorodności i stabilności form pojawiających się na przestrzeni wszystkich stuleci epoki minuskulowej. Brak szeroko zakrojonych międzytekstowych porównań i korekt wykazanych w zachowanych manuskryptach zawierających PA uniemożliwia łatwe wywiedzenie jakiejkolwiek istniejącej formy tekstu PA z jakiejkolwiek innej formy tego tekstu, przynajmniej w epoce pergaminu. Wczesne uncjały, które zawierają PA, wykazują znacznie różniące się linie przekazu, ale nie obejmują one wszystkich znanych linii. Również uncjały ani minuskuły nie wykazują żadnych oznak, by jakakolwiek znana linia wywodziła się z równoległej, znanej linii. Około 10 linii przekazu „typu tekstowego” pozostaje niezależnych i z konieczności musi sięgać punktu znacznie wcześniejszego niż nastąpiła ich odrębna stabilizacja – punktu, który wydaje się być zakopany (jak sugerowali Colwell i Scrivener) głęboko w II wieku. („Wstępne obserwacje dotyczące</w:t>
      </w:r>
      <w:r>
        <w:t xml:space="preserve"> </w:t>
      </w:r>
      <w:r>
        <w:rPr>
          <w:iCs/>
          <w:i/>
        </w:rPr>
        <w:t xml:space="preserve">Pericope Adulterae</w:t>
      </w:r>
      <w:r>
        <w:t xml:space="preserve"> </w:t>
      </w:r>
      <w:r>
        <w:t xml:space="preserve">oparte na nowych porównaniach niemal wszystkich manuskryptów tekstu ciągłego i ponad stu lekcjonarzy”, przedstawione przed Ewangelickim Towarzystwem Teologicznym [ang. Evangelical Theological Society] listopad 1998 r., s. 11–13.)</w:t>
      </w:r>
    </w:p>
  </w:footnote>
  <w:footnote w:id="183">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(w rzeczywistości opublikowane w 1989 r.), s. 142–143.</w:t>
      </w:r>
    </w:p>
  </w:footnote>
  <w:footnote w:id="184">
    <w:p>
      <w:pPr>
        <w:pStyle w:val="FootnoteText"/>
      </w:pPr>
      <w:r>
        <w:rPr>
          <w:rStyle w:val="FootnoteReference"/>
        </w:rPr>
        <w:footnoteRef/>
      </w:r>
      <w:r>
        <w:t xml:space="preserve"> </w:t>
      </w:r>
      <w:r>
        <w:rPr>
          <w:iCs/>
          <w:i/>
        </w:rPr>
        <w:t xml:space="preserve">The Text of the New Testament</w:t>
      </w:r>
      <w:r>
        <w:t xml:space="preserve">, s. 53.</w:t>
      </w:r>
    </w:p>
  </w:footnote>
  <w:footnote w:id="187">
    <w:p>
      <w:pPr>
        <w:pStyle w:val="FootnoteText"/>
      </w:pPr>
      <w:r>
        <w:rPr>
          <w:rStyle w:val="FootnoteReference"/>
        </w:rPr>
        <w:footnoteRef/>
      </w:r>
      <w:r>
        <w:t xml:space="preserve"> </w:t>
      </w:r>
      <w:r>
        <w:t xml:space="preserve">Niniejsza część I stanowi zasadniczo reprodukcję (z kilkoma uzupełnieniami) rozdziału 5 mojej książki</w:t>
      </w:r>
      <w:r>
        <w:t xml:space="preserve"> </w:t>
      </w:r>
      <w:r>
        <w:rPr>
          <w:iCs/>
          <w:i/>
        </w:rPr>
        <w:t xml:space="preserve">The Identity of the New Testament Text IV</w:t>
      </w:r>
      <w:r>
        <w:t xml:space="preserve">, dostępnej na stronie Amazon.com, a także na mojej stronie internetowej www.prunch.org. Moje obalenie eklektyzmu, zarówno „rozsądnego”, jak i „rygorystycznego”, zajmuje rozdział 2 tej części. Moje obalenie teorii krytycznej Wetcotta i Horta zajmuje rozdziały 3 i 4. Rozdział 6 porusza cztery „możliwe zastrzeżenia”: 1. Czy najstarsze manuskrypty nie są najlepsze? 2. Dlaczego nie ma wczesnych manuskryptów „bizantyjskich”? 3. „Ale nie ma dowodów na istnienie</w:t>
      </w:r>
      <w:r>
        <w:t xml:space="preserve"> </w:t>
      </w:r>
      <w:r>
        <w:rPr>
          <w:bCs/>
          <w:b/>
        </w:rPr>
        <w:t xml:space="preserve">Tekstu</w:t>
      </w:r>
      <w:r>
        <w:t xml:space="preserve"> </w:t>
      </w:r>
      <w:r>
        <w:t xml:space="preserve">bizantyjskiego we wczesnych wiekach” 4. Czy świadectwa nie powinny być raczej oceniane, a nie liczone? Zainteresowanego czytelnika odsyłam do tych rozważań.</w:t>
      </w:r>
    </w:p>
  </w:footnote>
  <w:footnote w:id="188">
    <w:p>
      <w:pPr>
        <w:pStyle w:val="FootnoteText"/>
      </w:pPr>
      <w:r>
        <w:rPr>
          <w:rStyle w:val="FootnoteReference"/>
        </w:rPr>
        <w:footnoteRef/>
      </w:r>
      <w:r>
        <w:t xml:space="preserve"> </w:t>
      </w:r>
      <w:r>
        <w:t xml:space="preserve">A Bóg posłużył się głównie Wschodnimi Kościołami Prawosławnymi, aby zachować Tekst Nowego Testamentu na przestrzeni wieków — kościoły te zawsze korzystały z Tekstu, który pod każdym praktycznym względem stanowił adekwatne odzwierciedlenie Oryginału. Ponadto spośród rodzin manuskryptów lekcjonarnych, pod względem liczby przedstawicieli, Rodzina 35 jest drugą co do wielkości i została wykorzystana w pierwszym wydaniu drukowanym, czyli w wydaniu da Sabbio z 1539 roku.</w:t>
      </w:r>
    </w:p>
  </w:footnote>
  <w:footnote w:id="191">
    <w:p>
      <w:pPr>
        <w:pStyle w:val="FootnoteText"/>
      </w:pPr>
      <w:r>
        <w:rPr>
          <w:rStyle w:val="FootnoteReference"/>
        </w:rPr>
        <w:footnoteRef/>
      </w:r>
      <w:r>
        <w:t xml:space="preserve"> </w:t>
      </w:r>
      <w:r>
        <w:rPr>
          <w:iCs/>
          <w:i/>
        </w:rPr>
        <w:t xml:space="preserve">Die Schriften des Neuen Testaments in ihrer ältesten erreichbaren Textgestalt</w:t>
      </w:r>
      <w:r>
        <w:t xml:space="preserve"> </w:t>
      </w:r>
      <w:r>
        <w:t xml:space="preserve">[niem.</w:t>
      </w:r>
      <w:r>
        <w:t xml:space="preserve"> </w:t>
      </w:r>
      <w:r>
        <w:rPr>
          <w:iCs/>
          <w:i/>
        </w:rPr>
        <w:t xml:space="preserve">Pisma Nowego Testamentu w najstarszej dostępnej wersji tekstowej</w:t>
      </w:r>
      <w:r>
        <w:t xml:space="preserve">, przyp. tłum.] (część 1, Berlin: Wydawnictwo Alexandra Dunckera, 1902–1910, część 2, Getynga: Vandenhoeck i Ruprecht, 1913).</w:t>
      </w:r>
    </w:p>
  </w:footnote>
  <w:footnote w:id="192">
    <w:p>
      <w:pPr>
        <w:pStyle w:val="FootnoteText"/>
      </w:pPr>
      <w:r>
        <w:rPr>
          <w:rStyle w:val="FootnoteReference"/>
        </w:rPr>
        <w:footnoteRef/>
      </w:r>
      <w:r>
        <w:t xml:space="preserve"> </w:t>
      </w:r>
      <w:r>
        <w:t xml:space="preserve">Są to: 1. Starożytność, lub pierwotność; 2. Zgodność świadków, lub liczba; 3. Różnorodność dowodów, lub powszechność; 4. Poważanie, jakim cieszą się świadkowie, lub waga; 5. Ciągłość, lub nieprzerwana tradycja; 6. Dowody całych fragmentów, lub kontekst; 7. Rozważania wewnętrzne, lub sensowność. Burgon,</w:t>
      </w:r>
      <w:r>
        <w:t xml:space="preserve"> </w:t>
      </w:r>
      <w:r>
        <w:rPr>
          <w:iCs/>
          <w:i/>
        </w:rPr>
        <w:t xml:space="preserve">The Traditional Text</w:t>
      </w:r>
      <w:r>
        <w:t xml:space="preserve">, str. 29.</w:t>
      </w:r>
    </w:p>
  </w:footnote>
  <w:footnote w:id="193">
    <w:p>
      <w:pPr>
        <w:pStyle w:val="FootnoteText"/>
      </w:pPr>
      <w:r>
        <w:rPr>
          <w:rStyle w:val="FootnoteReference"/>
        </w:rPr>
        <w:footnoteRef/>
      </w:r>
      <w:r>
        <w:t xml:space="preserve"> </w:t>
      </w:r>
      <w:r>
        <w:t xml:space="preserve">W tym miejscu odrzucam zarzut, że oryginalne sformułowania są zagubione i przepadły.</w:t>
      </w:r>
    </w:p>
  </w:footnote>
  <w:footnote w:id="194">
    <w:p>
      <w:pPr>
        <w:pStyle w:val="FootnoteText"/>
      </w:pPr>
      <w:r>
        <w:rPr>
          <w:rStyle w:val="FootnoteReference"/>
        </w:rPr>
        <w:footnoteRef/>
      </w:r>
      <w:r>
        <w:t xml:space="preserve"> </w:t>
      </w:r>
      <w:r>
        <w:t xml:space="preserve">W tym miejscu odrzucam opieranie się na kryteriach subiektywnych oraz podejście czysto racjonalistyczne.</w:t>
      </w:r>
    </w:p>
  </w:footnote>
  <w:footnote w:id="195">
    <w:p>
      <w:pPr>
        <w:pStyle w:val="FootnoteText"/>
      </w:pPr>
      <w:r>
        <w:rPr>
          <w:rStyle w:val="FootnoteReference"/>
        </w:rPr>
        <w:footnoteRef/>
      </w:r>
      <w:r>
        <w:t xml:space="preserve"> </w:t>
      </w:r>
      <w:r>
        <w:t xml:space="preserve">Jest to obecnie wyparte przez postępy z punktu 5, choć 90% poświadczenie nadal trudno podważyć.</w:t>
      </w:r>
    </w:p>
  </w:footnote>
  <w:footnote w:id="196">
    <w:p>
      <w:pPr>
        <w:pStyle w:val="FootnoteText"/>
      </w:pPr>
      <w:r>
        <w:rPr>
          <w:rStyle w:val="FootnoteReference"/>
        </w:rPr>
        <w:footnoteRef/>
      </w:r>
      <w:r>
        <w:t xml:space="preserve"> </w:t>
      </w:r>
      <w:r>
        <w:t xml:space="preserve">Jest to obecnie wyparte przez postępy z punktu 5, choć jego „notatki” pozostają zasadniczo aktualne.</w:t>
      </w:r>
    </w:p>
  </w:footnote>
  <w:footnote w:id="197">
    <w:p>
      <w:pPr>
        <w:pStyle w:val="FootnoteText"/>
      </w:pPr>
      <w:r>
        <w:rPr>
          <w:rStyle w:val="FootnoteReference"/>
        </w:rPr>
        <w:footnoteRef/>
      </w:r>
      <w:r>
        <w:t xml:space="preserve"> </w:t>
      </w:r>
      <w:r>
        <w:t xml:space="preserve">Proszę zwrócić uwagę, że nie odnoszę się tu do jakiejkolwiek próby odtworzenia genealogii manuskryptów – zgadzam się z tymi badaczami, którzy uznali takie przedsięwzięcie za praktycznie niemożliwe (brakuje po prostu zbyt wielu ogniw). W rzeczywistości odnoszę się do odtworzenia genealogii odczytów, a tym samym historii przekazywania Tekstu. To ostatnie zdanie zawsze było podkreślane. Gdy wszystkie manuskrypty zostaną zestawione i pogrupowane empirycznie, będziemy mogli zrezygnować z liczenia ich.</w:t>
      </w:r>
    </w:p>
  </w:footnote>
  <w:footnote w:id="198">
    <w:p>
      <w:pPr>
        <w:pStyle w:val="FootnoteText"/>
      </w:pPr>
      <w:r>
        <w:rPr>
          <w:rStyle w:val="FootnoteReference"/>
        </w:rPr>
        <w:footnoteRef/>
      </w:r>
      <w:r>
        <w:t xml:space="preserve"> </w:t>
      </w:r>
      <w:r>
        <w:t xml:space="preserve">Ci, którzy wykluczają ponadnaturalność ze swojego modelu, skazują się na to, że nigdy nie dotrą do Prawdy – Bóg i Szatan istnieją, i obaj byli zaangażowani w przekazywanie Tekstu Nowego Testamentu.</w:t>
      </w:r>
    </w:p>
  </w:footnote>
  <w:footnote w:id="199">
    <w:p>
      <w:pPr>
        <w:pStyle w:val="FootnoteText"/>
      </w:pPr>
      <w:r>
        <w:rPr>
          <w:rStyle w:val="FootnoteReference"/>
        </w:rPr>
        <w:footnoteRef/>
      </w:r>
      <w:r>
        <w:t xml:space="preserve"> </w:t>
      </w:r>
      <w:r>
        <w:t xml:space="preserve">W każdym dochodzeniu naukowym należy dokonać rygorystycznego rozróżnienia między dowodami, założeniami a interpretacją. Ponieważ założenia mają ogromny wpływ na interpretację dowodów, wręcz ją kontrolują (dowody powinny być takie same dla wszystkich), każdy uczciwy badacz musi otwarcie przedstawić swoje założenia. Bez wątpienia zbyt wielkim oczekiwaniem jest, by grzesznicy ujawnili swoje motywy na światło dzienne (Ewangelia Jana 3,20).</w:t>
      </w:r>
    </w:p>
  </w:footnote>
  <w:footnote w:id="200">
    <w:p>
      <w:pPr>
        <w:pStyle w:val="FootnoteText"/>
      </w:pPr>
      <w:r>
        <w:rPr>
          <w:rStyle w:val="FootnoteReference"/>
        </w:rPr>
        <w:footnoteRef/>
      </w:r>
      <w:r>
        <w:t xml:space="preserve"> </w:t>
      </w:r>
      <w:r>
        <w:t xml:space="preserve">Hort wyrządził tej dziedzinie znaczną szkodę, postulując teoretyczne typy tekstu, pozbawione dowodów, a następnie traktując je jako ustalone fakty.</w:t>
      </w:r>
    </w:p>
  </w:footnote>
  <w:footnote w:id="201">
    <w:p>
      <w:pPr>
        <w:pStyle w:val="FootnoteText"/>
      </w:pPr>
      <w:r>
        <w:rPr>
          <w:rStyle w:val="FootnoteReference"/>
        </w:rPr>
        <w:footnoteRef/>
      </w:r>
      <w:r>
        <w:t xml:space="preserve"> </w:t>
      </w:r>
      <w:r>
        <w:t xml:space="preserve">Kolacjonowanie Robinsona pokazuje, że Soden „uregulował” dane.</w:t>
      </w:r>
    </w:p>
  </w:footnote>
  <w:footnote w:id="202">
    <w:p>
      <w:pPr>
        <w:pStyle w:val="FootnoteText"/>
      </w:pPr>
      <w:r>
        <w:rPr>
          <w:rStyle w:val="FootnoteReference"/>
        </w:rPr>
        <w:footnoteRef/>
      </w:r>
      <w:r>
        <w:t xml:space="preserve"> </w:t>
      </w:r>
      <w:r>
        <w:t xml:space="preserve">Dlaczego „zacząłem podejrzewać, że coś tu jest nie tak”? Ponieważ</w:t>
      </w:r>
      <w:r>
        <w:t xml:space="preserve"> </w:t>
      </w:r>
      <w:r>
        <w:rPr>
          <w:bCs/>
          <w:b/>
        </w:rPr>
        <w:t xml:space="preserve">M</w:t>
      </w:r>
      <w:r>
        <w:rPr>
          <w:vertAlign w:val="superscript"/>
          <w:bCs/>
          <w:b/>
        </w:rPr>
        <w:t xml:space="preserve">7</w:t>
      </w:r>
      <w:r>
        <w:t xml:space="preserve"> </w:t>
      </w:r>
      <w:r>
        <w:t xml:space="preserve">jest wyraźnie starszy niż</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w</w:t>
      </w:r>
      <w:r>
        <w:t xml:space="preserve"> </w:t>
      </w:r>
      <w:r>
        <w:rPr>
          <w:iCs/>
          <w:i/>
        </w:rPr>
        <w:t xml:space="preserve">PA</w:t>
      </w:r>
      <w:r>
        <w:t xml:space="preserve">, a</w:t>
      </w:r>
      <w:r>
        <w:t xml:space="preserve"> </w:t>
      </w:r>
      <w:r>
        <w:rPr>
          <w:bCs/>
          <w:b/>
        </w:rPr>
        <w:t xml:space="preserve">M</w:t>
      </w:r>
      <w:r>
        <w:rPr>
          <w:vertAlign w:val="superscript"/>
          <w:bCs/>
          <w:b/>
        </w:rPr>
        <w:t xml:space="preserve">c</w:t>
      </w:r>
      <w:r>
        <w:t xml:space="preserve"> </w:t>
      </w:r>
      <w:r>
        <w:t xml:space="preserve">niż</w:t>
      </w:r>
      <w:r>
        <w:t xml:space="preserve"> </w:t>
      </w:r>
      <w:r>
        <w:rPr>
          <w:bCs/>
          <w:b/>
        </w:rPr>
        <w:t xml:space="preserve">M</w:t>
      </w:r>
      <w:r>
        <w:rPr>
          <w:vertAlign w:val="superscript"/>
          <w:bCs/>
          <w:b/>
        </w:rPr>
        <w:t xml:space="preserve">a-b</w:t>
      </w:r>
      <w:r>
        <w:t xml:space="preserve"> </w:t>
      </w:r>
      <w:r>
        <w:t xml:space="preserve">i</w:t>
      </w:r>
      <w:r>
        <w:t xml:space="preserve"> </w:t>
      </w:r>
      <w:r>
        <w:rPr>
          <w:bCs/>
          <w:b/>
        </w:rPr>
        <w:t xml:space="preserve">M</w:t>
      </w:r>
      <w:r>
        <w:rPr>
          <w:vertAlign w:val="superscript"/>
          <w:bCs/>
          <w:b/>
        </w:rPr>
        <w:t xml:space="preserve">d-e</w:t>
      </w:r>
      <w:r>
        <w:t xml:space="preserve"> </w:t>
      </w:r>
      <w:r>
        <w:t xml:space="preserve">w Objawieniu Jana, lecz von Soden twierdził, że</w:t>
      </w:r>
      <w:r>
        <w:t xml:space="preserve"> </w:t>
      </w:r>
      <w:r>
        <w:rPr>
          <w:bCs/>
          <w:b/>
        </w:rPr>
        <w:t xml:space="preserve">K</w:t>
      </w:r>
      <w:r>
        <w:rPr>
          <w:vertAlign w:val="superscript"/>
          <w:bCs/>
          <w:b/>
        </w:rPr>
        <w:t xml:space="preserve">r</w:t>
      </w:r>
      <w:r>
        <w:t xml:space="preserve"> </w:t>
      </w:r>
      <w:r>
        <w:t xml:space="preserve">było rewizją</w:t>
      </w:r>
      <w:r>
        <w:t xml:space="preserve"> </w:t>
      </w:r>
      <w:r>
        <w:rPr>
          <w:bCs/>
          <w:b/>
        </w:rPr>
        <w:t xml:space="preserve">K</w:t>
      </w:r>
      <w:r>
        <w:rPr>
          <w:vertAlign w:val="superscript"/>
          <w:bCs/>
          <w:b/>
        </w:rPr>
        <w:t xml:space="preserve">x</w:t>
      </w:r>
      <w:r>
        <w:t xml:space="preserve"> </w:t>
      </w:r>
      <w:r>
        <w:t xml:space="preserve">(jak mogło być rewizją, skoro było starsze?).</w:t>
      </w:r>
    </w:p>
  </w:footnote>
  <w:footnote w:id="203">
    <w:p>
      <w:pPr>
        <w:pStyle w:val="FootnoteText"/>
      </w:pPr>
      <w:r>
        <w:rPr>
          <w:rStyle w:val="FootnoteReference"/>
        </w:rPr>
        <w:footnoteRef/>
      </w:r>
      <w:r>
        <w:t xml:space="preserve"> </w:t>
      </w:r>
      <w:r>
        <w:t xml:space="preserve">Minuskuł 18 ma niższy numer i również zawiera cały Nowy Testament, lecz w Objawieniu Jana odbiega od tego typu tekstu.</w:t>
      </w:r>
    </w:p>
  </w:footnote>
  <w:footnote w:id="205">
    <w:p>
      <w:pPr>
        <w:pStyle w:val="FootnoteText"/>
      </w:pPr>
      <w:r>
        <w:rPr>
          <w:rStyle w:val="FootnoteReference"/>
        </w:rPr>
        <w:footnoteRef/>
      </w:r>
      <w:r>
        <w:t xml:space="preserve"> </w:t>
      </w:r>
      <w:r>
        <w:t xml:space="preserve">Informacje te wzięto z mojego greckiego Tekstu i aparatu krytycznego.</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image" Id="rId165" Target="media/rId165.jp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2026-08-18T16:14:52Z</dcterms:created>
  <dcterms:modified xsi:type="dcterms:W3CDTF">2026-08-18T16:14:52Z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