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3"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0"/>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1"/>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2"/>
    <w:bookmarkStart w:id="161"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4" name="Picture"/>
            <a:graphic>
              <a:graphicData uri="http://schemas.openxmlformats.org/drawingml/2006/picture">
                <pic:pic>
                  <pic:nvPicPr>
                    <pic:cNvPr descr="images/Rysunek_A.jpg" id="155" name="Picture"/>
                    <pic:cNvPicPr>
                      <a:picLocks noChangeArrowheads="1" noChangeAspect="1"/>
                    </pic:cNvPicPr>
                  </pic:nvPicPr>
                  <pic:blipFill>
                    <a:blip r:embed="rId153"/>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6"/>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7"/>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8"/>
      </w:r>
      <w:r>
        <w:t xml:space="preserve"> </w:t>
      </w:r>
      <w:r>
        <w:t xml:space="preserve">Kiedy mówię, że Tekst Większościowy dominuje strumień, mam na myśli to, że jest on reprezentowany w około 95% manuskryptów.</w:t>
      </w:r>
      <w:r>
        <w:rPr>
          <w:rStyle w:val="FootnoteReference"/>
        </w:rPr>
        <w:footnoteReference w:id="159"/>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0"/>
      </w:r>
    </w:p>
    <w:p>
      <w:pPr>
        <w:pStyle w:val="BodyText"/>
      </w:pPr>
      <w:r>
        <w:t xml:space="preserve">Actually, such a statement is not altogether satisfactory because it does not allow for the mixture or shifting affinities encountered within individual MSS. A better, though more cumbersome, way to describe the situation would be something like this: 100% of the MSS agree as to, say, 50% of the Text, 99% agree as to another 40%, over 95% agree as to another 4%, over 90% agree as to another 2%, over 80% agree as to another 2%, only for 2% or so of the Text do less than 80% of the MSS agree, and a disproportionate number of those cases occur in Revelation.3</w:t>
      </w:r>
    </w:p>
    <w:bookmarkEnd w:id="161"/>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1">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6">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7">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8">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59">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0">
    <w:p>
      <w:pPr>
        <w:pStyle w:val="FootnoteText"/>
      </w:pPr>
      <w:r>
        <w:rPr>
          <w:rStyle w:val="FootnoteReference"/>
        </w:rPr>
        <w:footnoteRef/>
      </w:r>
      <w:r>
        <w:t xml:space="preserve"> </w:t>
      </w:r>
      <w:r>
        <w:t xml:space="preserve">I am not prepared to defend the precise figures used, they are</w:t>
      </w:r>
      <w:r>
        <w:t xml:space="preserve"> </w:t>
      </w:r>
      <w:r>
        <w:rPr>
          <w:b/>
          <w:bCs/>
        </w:rPr>
        <w:t xml:space="preserve">guesses</w:t>
      </w:r>
      <w:r>
        <w:t xml:space="preserve">, but I believe they represent a reasonable approximation to reality. I heartily agree with Colwell when he insists that we must “rigorously eliminate the singular reading” (“External Evidence and New Testament Criticism”,</w:t>
      </w:r>
      <w:r>
        <w:t xml:space="preserve"> </w:t>
      </w:r>
      <w:r>
        <w:rPr>
          <w:i/>
          <w:iCs/>
        </w:rPr>
        <w:t xml:space="preserve">Studies in the History of the Text of the New Testament</w:t>
      </w:r>
      <w:r>
        <w:t xml:space="preserve">, ed. B.L. Daniels and M.J. Suggs [Salt Lake City: University of Utah Press, 1967], p. 8) on the altogether reasonable assumption (it seems to me) that a solitary witness against the world cannot possibly be right.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3" Target="media/rId153.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2026-05-21T06:37:31Z</dcterms:created>
  <dcterms:modified xsi:type="dcterms:W3CDTF">2026-05-21T06:37:31Z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