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 wydawnictwa</w:t>
      </w:r>
      <w:r>
        <w:t xml:space="preserve"> </w:t>
      </w:r>
      <w:hyperlink r:id="rId10">
        <w:r>
          <w:rPr>
            <w:rStyle w:val="Hyperlink"/>
          </w:rPr>
          <w:t xml:space="preserve">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w:t>
      </w:r>
      <w:r>
        <w:t xml:space="preserve"> </w:t>
      </w:r>
      <w:r>
        <w:rPr>
          <w:i/>
          <w:iCs/>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73"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72"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71"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64"/>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65"/>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
          <w:bCs/>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
          <w:bCs/>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p>
      <w:pPr>
        <w:pStyle w:val="BodyText"/>
      </w:pPr>
      <w:r>
        <w:t xml:space="preserve">### Jakie są rzeczywiste dowody?</w:t>
      </w:r>
    </w:p>
    <w:p>
      <w:pPr>
        <w:pStyle w:val="BodyText"/>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
          <w:iCs/>
        </w:rPr>
        <w:t xml:space="preserve">Kurzgefasste Liste</w:t>
      </w:r>
      <w:r>
        <w:t xml:space="preserve">.</w:t>
      </w:r>
      <w:r>
        <w:rPr>
          <w:rStyle w:val="FootnoteReference"/>
        </w:rPr>
        <w:footnoteReference w:id="166"/>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67"/>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68"/>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
          <w:bCs/>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69"/>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Those who catalog NT MSS inform us that the 12th and 13th centuries lead the pack, in terms of extant MSS, followed by the 14th, 11th, 15th, 16th and 10th, in that order. There are over four times as many MSS from the 13th as from the 10th, but obviously Koiné Greek would have been more of a living language in the 10th than the 13th, and so there would have been more demand and therefore more supply. In other words, many hundreds of really pure MSS from the 10th perished. A higher percentage of the really good MSS produced in the 14th century survived than those pro-duced in the 11th, and so on. That is why there is a progressive level of agreement among the Byzantine MSS, there being a higher percentage of agreement in the 14th than in the 10th. But had we lived in the 10th, and done a wide survey of the MSS, we would have found very nearly the same level of agreement (perhaps 98%). The same obtains if we had lived in the 8th, 6th, 4th or 2nd century. In other words, THE SURVIVING MSS FROM THE FIRST TEN CENTURIES ARE NOT REPRESENTATIVE OF THE TRUE STATE OF AFFAIRS AT THE TIME.</w:t>
      </w:r>
      <w:r>
        <w:rPr>
          <w:rStyle w:val="FootnoteReference"/>
        </w:rPr>
        <w:footnoteReference w:id="170"/>
      </w:r>
    </w:p>
    <w:bookmarkEnd w:id="171"/>
    <w:bookmarkEnd w:id="172"/>
    <w:bookmarkEnd w:id="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w:t>
      </w:r>
      <w:r>
        <w:t xml:space="preserve"> </w:t>
      </w:r>
      <w:r>
        <w:rPr>
          <w:i/>
          <w:iCs/>
        </w:rPr>
        <w:t xml:space="preserve">Op. Cit.</w:t>
      </w:r>
      <w:r>
        <w:t xml:space="preserve"> </w:t>
      </w:r>
      <w:r>
        <w:t xml:space="preserve">[łac.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 </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rozdz. 19) oraz „</w:t>
      </w:r>
      <w:r>
        <w:rPr>
          <w:i/>
          <w:iCs/>
        </w:rPr>
        <w:t xml:space="preserve">εν σαρκι γενομενος Θεος</w:t>
      </w:r>
      <w:r>
        <w:t xml:space="preserve">” (</w:t>
      </w:r>
      <w:r>
        <w:rPr>
          <w:i/>
          <w:iCs/>
        </w:rPr>
        <w:t xml:space="preserve">Ibid.</w:t>
      </w:r>
      <w:r>
        <w:t xml:space="preserve">, rozdz.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rozdz. XVII), u Dionizego: „</w:t>
      </w:r>
      <w:r>
        <w:rPr>
          <w:i/>
          <w:iCs/>
        </w:rPr>
        <w:t xml:space="preserve">Θεος γαρ εφανερωθη εν σαρκι</w:t>
      </w:r>
      <w:r>
        <w:t xml:space="preserve">” (</w:t>
      </w:r>
      <w:r>
        <w:rPr>
          <w:i/>
          <w:iCs/>
        </w:rPr>
        <w:t xml:space="preserve">Concilia</w:t>
      </w:r>
      <w:r>
        <w:t xml:space="preserve">, tom I 853a) oraz u Grzegorza Cudotwórcy: „</w:t>
      </w:r>
      <w:r>
        <w:rPr>
          <w:i/>
          <w:iCs/>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
          <w:iCs/>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
          <w:iCs/>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
          <w:iCs/>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“która”</w:t>
      </w:r>
      <w:r>
        <w:t xml:space="preserve"> </w:t>
      </w:r>
      <w:r>
        <w:t xml:space="preserve">powstała z</w:t>
      </w:r>
      <w:r>
        <w:t xml:space="preserve"> </w:t>
      </w:r>
      <w:r>
        <w:t xml:space="preserve">“kto”</w:t>
      </w:r>
      <w:r>
        <w:t xml:space="preserve">, wówczas to drugie musi być starsze. Odczyt</w:t>
      </w:r>
      <w:r>
        <w:t xml:space="preserve"> </w:t>
      </w:r>
      <w:r>
        <w:t xml:space="preserve">“kto”</w:t>
      </w:r>
      <w:r>
        <w:t xml:space="preserve"> </w:t>
      </w:r>
      <w:r>
        <w:t xml:space="preserve">jest co prawda najtrudniejszy, do tego stopnia, że stosowanie zasady</w:t>
      </w:r>
      <w:r>
        <w:t xml:space="preserve"> </w:t>
      </w:r>
      <w:r>
        <w:t xml:space="preserve">“trudniejszego odczytu”</w:t>
      </w:r>
      <w:r>
        <w:t xml:space="preserve"> </w:t>
      </w:r>
      <w:r>
        <w:t xml:space="preserve">w obliczu łatwego wyjaśnienia transkrypcyjnego (przypadkowego pominięcia dwóch pociągnięć pióra) dla trudnego odczytu wydaje się nierozsądne. Jak trafnie ujął to Burgon:</w:t>
      </w:r>
    </w:p>
    <w:p>
      <w:pPr>
        <w:pStyle w:val="FootnoteBlockText"/>
      </w:pPr>
      <w:r>
        <w:t xml:space="preserve">Wierzę, że przynajmniej co do tego się zgadzamy, iż maksyma „</w:t>
      </w:r>
      <w:r>
        <w:rPr>
          <w:i/>
          <w:iCs/>
        </w:rPr>
        <w:t xml:space="preserve">proclivi lectioni praestat ardua</w:t>
      </w:r>
      <w:r>
        <w:t xml:space="preserve">” nie głosi tak nierozsądnej tezy, jakoby przy wyborze między dwoma lub więcej sprzecznymi odczytami należało preferować</w:t>
      </w:r>
      <w:r>
        <w:t xml:space="preserve"> </w:t>
      </w:r>
      <w:r>
        <w:rPr>
          <w:b/>
          <w:bCs/>
        </w:rPr>
        <w:t xml:space="preserve">ten</w:t>
      </w:r>
      <w:r>
        <w:t xml:space="preserve">, który ma najsłabsze zewnętrzne potwierdzenie – pod warunkiem, że sam w sobie jest niemal niezrozumiały? (</w:t>
      </w:r>
      <w:r>
        <w:rPr>
          <w:i/>
          <w:iCs/>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65">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66">
    <w:p>
      <w:pPr>
        <w:pStyle w:val="FootnoteText"/>
      </w:pPr>
      <w:r>
        <w:rPr>
          <w:rStyle w:val="FootnoteReference"/>
        </w:rPr>
        <w:footnoteRef/>
      </w:r>
      <w:r>
        <w:t xml:space="preserve"> </w:t>
      </w:r>
      <w:r>
        <w:t xml:space="preserve">Kurt Aland (red.),</w:t>
      </w:r>
      <w:r>
        <w:t xml:space="preserve"> </w:t>
      </w:r>
      <w:r>
        <w:rPr>
          <w:i/>
          <w:iCs/>
        </w:rPr>
        <w:t xml:space="preserve">Kurzgefasste Liste der Grieshischen Handschriften des Neuen Testaments</w:t>
      </w:r>
      <w:r>
        <w:t xml:space="preserve"> </w:t>
      </w:r>
      <w:r>
        <w:t xml:space="preserve">[</w:t>
      </w:r>
      <w:r>
        <w:rPr>
          <w:i/>
          <w:iCs/>
        </w:rPr>
        <w:t xml:space="preserve">Skrócona lista rękopisów Nowego Testamentu w języku griesh</w:t>
      </w:r>
      <w:r>
        <w:t xml:space="preserve">, przyp. tłum.] (Berlin: Walter de Gruyter, 1994).</w:t>
      </w:r>
    </w:p>
  </w:footnote>
  <w:footnote w:id="167">
    <w:p>
      <w:pPr>
        <w:pStyle w:val="FootnoteText"/>
      </w:pPr>
      <w:r>
        <w:rPr>
          <w:rStyle w:val="FootnoteReference"/>
        </w:rPr>
        <w:footnoteRef/>
      </w:r>
      <w:r>
        <w:t xml:space="preserve"> </w:t>
      </w:r>
      <w:r>
        <w:t xml:space="preserve">Ten akapit, jak i następny, opierają się po prostu na</w:t>
      </w:r>
      <w:r>
        <w:t xml:space="preserve"> </w:t>
      </w:r>
      <w:r>
        <w:rPr>
          <w:i/>
          <w:iCs/>
        </w:rPr>
        <w:t xml:space="preserve">Liste</w:t>
      </w:r>
      <w:r>
        <w:t xml:space="preserve"> </w:t>
      </w:r>
      <w:r>
        <w:t xml:space="preserve">(niezależnie od tego, czy się zgadzam, czy nie).</w:t>
      </w:r>
    </w:p>
  </w:footnote>
  <w:footnote w:id="168">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69">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
          <w:iCs/>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70">
    <w:p>
      <w:pPr>
        <w:pStyle w:val="FootnoteText"/>
      </w:pPr>
      <w:r>
        <w:rPr>
          <w:rStyle w:val="FootnoteReference"/>
        </w:rPr>
        <w:footnoteRef/>
      </w:r>
      <w:r>
        <w:t xml:space="preserve"> </w:t>
      </w:r>
      <w:r>
        <w:t xml:space="preserve">Consider what Maurice Robinson concluded as a result of doing a complete collation of</w:t>
      </w:r>
      <w:r>
        <w:t xml:space="preserve"> </w:t>
      </w:r>
      <w:r>
        <w:t xml:space="preserve">1,389 MSS that contain the Pericope, John 7,53 – 8,11:</w:t>
      </w:r>
    </w:p>
    <w:p>
      <w:pPr>
        <w:pStyle w:val="FootnoteBlockText"/>
      </w:pPr>
      <w:r>
        <w:t xml:space="preserve">However, contrary to this writer’s earlier speculations, the extensive collation of the PA MSS has conclusively demonstrated that cross-comparison and correction of MSS occurred only</w:t>
      </w:r>
      <w:r>
        <w:t xml:space="preserve"> </w:t>
      </w:r>
      <w:r>
        <w:rPr>
          <w:i/>
          <w:iCs/>
        </w:rPr>
        <w:t xml:space="preserve">rarely</w:t>
      </w:r>
      <w:r>
        <w:t xml:space="preserve"> </w:t>
      </w:r>
      <w:r>
        <w:t xml:space="preserve">and</w:t>
      </w:r>
      <w:r>
        <w:t xml:space="preserve"> </w:t>
      </w:r>
      <w:r>
        <w:rPr>
          <w:i/>
          <w:iCs/>
        </w:rPr>
        <w:t xml:space="preserve">sporadically</w:t>
      </w:r>
      <w:r>
        <w:t xml:space="preserve">, with little or no perpetuation of the corrective changes across the diversity of types represented (italics his, also below).</w:t>
      </w:r>
    </w:p>
    <w:p>
      <w:pPr>
        <w:pStyle w:val="FootnoteBlockText"/>
      </w:pPr>
      <w:r>
        <w:t xml:space="preserve">If cross-correction did not occur frequently or extensively in that portion of text which has more variation than any other location in the NT, and if such corrections as were made did not tend to perpetuate, it is not likely that such a process occurred in those portions of the NT which had less textual variety… the lack of systematic and thorough correction within the PA as well as the lack of perpetuation of correction patterns appears to demonstrate this clearly. Cross-comparison and correction</w:t>
      </w:r>
      <w:r>
        <w:t xml:space="preserve"> </w:t>
      </w:r>
      <w:r>
        <w:rPr>
          <w:i/>
          <w:iCs/>
        </w:rPr>
        <w:t xml:space="preserve">should</w:t>
      </w:r>
      <w:r>
        <w:t xml:space="preserve"> </w:t>
      </w:r>
      <w:r>
        <w:t xml:space="preserve">have been rampant and extensive with this portion of text due to the wide variety of textual patterns and readings existing therein, instead, correction occurred sporadically, and rarely in a thoroughgoing manner.</w:t>
      </w:r>
    </w:p>
    <w:p>
      <w:pPr>
        <w:pStyle w:val="FootnoteBlockText"/>
      </w:pPr>
      <w:r>
        <w:t xml:space="preserve">Since this is the case, the phenomenon of the relatively unified Byzantine Textform</w:t>
      </w:r>
      <w:r>
        <w:t xml:space="preserve"> </w:t>
      </w:r>
      <w:r>
        <w:rPr>
          <w:i/>
          <w:iCs/>
        </w:rPr>
        <w:t xml:space="preserve">cannot</w:t>
      </w:r>
      <w:r>
        <w:t xml:space="preserve"> </w:t>
      </w:r>
      <w:r>
        <w:t xml:space="preserve">be explained by a “process” methodology, whether “modified” or not…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2026-06-25T19:38:12Z</dcterms:created>
  <dcterms:modified xsi:type="dcterms:W3CDTF">2026-06-25T19:38:12Z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