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71"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7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It really does seem that those scholars who reject the Majority Text are faced with a serious problem. How is it to be explained if it does not reflect the Original? Hort’s notion of a Lucianic revision has been abandoned by most scholars because of the total lack of historical evidence. The eclecticists are not even trying. The “process” view has not been articulated in sufficient detail to permit refutation, but on the face of it that view is flatly contradicted by the argument from statistical probability.</w:t>
      </w:r>
      <w:r>
        <w:rPr>
          <w:rStyle w:val="FootnoteReference"/>
        </w:rPr>
        <w:footnoteReference w:id="165"/>
      </w:r>
      <w:r>
        <w:t xml:space="preserve"> </w:t>
      </w:r>
      <w:r>
        <w:t xml:space="preserve">How could any amount of ‘process’ bridge the gap between B or Aleph and the TR?</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66"/>
      </w:r>
      <w:r>
        <w:t xml:space="preserve"> </w:t>
      </w:r>
      <w:r>
        <w:t xml:space="preserve">W jaki sposób jakakolwiek ilość „procesów” mógłaby wypełnić lukę między B lub Alefem a Textus Receptus?</w:t>
      </w:r>
    </w:p>
    <w:p>
      <w:pPr>
        <w:pStyle w:val="BodyText"/>
      </w:pPr>
      <w:r>
        <w:t xml:space="preserve">But there is a more basic problem with the process view. Hort saw clearly, and correctly, that the Majority Text must have a common archetype. Recall that Hort’s genealogical method was based on community of</w:t>
      </w:r>
      <w:r>
        <w:t xml:space="preserve"> </w:t>
      </w:r>
      <w:r>
        <w:rPr>
          <w:b/>
          <w:bCs/>
        </w:rPr>
        <w:t xml:space="preserve">error</w:t>
      </w:r>
      <w:r>
        <w:t xml:space="preserve">. On the hypothesis that the Majority Text is a late and inferior text form, the large mass of common readings which distinguish it from the socalled ‘Western’ or ‘Alexandrian text-types’ must be</w:t>
      </w:r>
      <w:r>
        <w:t xml:space="preserve"> </w:t>
      </w:r>
      <w:r>
        <w:rPr>
          <w:b/>
          <w:bCs/>
        </w:rPr>
        <w:t xml:space="preserve">errors</w:t>
      </w:r>
      <w:r>
        <w:t xml:space="preserve"> </w:t>
      </w:r>
      <w:r>
        <w:t xml:space="preserve">(which was precisely Hort’s contention) and such an agreement in error would have to have a common source. The process view fails completely to account for such an agreement in error (on that hypothesis).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
          <w:bCs/>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
          <w:bCs/>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saw the need for a common source and posited a Lucianic revision. Scholars now generally recognize that the ‘Byzantine text-type’ must date back at least into the second century. But what chance would the original ‘Byzantine’ document, the archetype, have of gaining currency when appeal to the Autographs was still possible (if it was a separate invention)?</w:t>
      </w:r>
    </w:p>
    <w:p>
      <w:pPr>
        <w:pStyle w:val="BodyText"/>
      </w:pPr>
      <w:r>
        <w:t xml:space="preserve">Hort dostrzegł potrzebę stworzenia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odwołanie się do autografów (o ile był to odrębny wynalazek)?</w:t>
      </w:r>
    </w:p>
    <w:p>
      <w:pPr>
        <w:pStyle w:val="BodyText"/>
      </w:pPr>
      <w:r>
        <w:t xml:space="preserve">Candidly, there is only one reasonable explanation for the Majority Text that has so far been advanced—it is the result of an essentially normal process of transmission and the common source for its consensus is the Autographs. Down through the centuries of copying, the original text has always been reflected with a high degree of accuracy in the manuscript tradition as a whole. The history of the text presented above not only accounts nicely for the Majority Text, it also accounts for the inconsistent minority of MSS. They are remnants of the abnormal transmission of the text, reflecting ancient aberrant forms. It is a dependence upon such aberrant forms that distinguishes contemporary critical/eclectic editions of the Greek New Testament, and the modern translations based upon them.</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dokładnością w całej tradycji rękopiśmiennej. Przedstawiona powyżej historia tekstu nie tylko dobrze wyjaśnia istnienie Tekstu Większościowego, ale także wyjaśnia istnienie niespójnej mniejszości manuskryptów. Są one pozostałościami po nienormalnym przekazie tekstu, odzwierciedlającymi starożytne, nieprawidłowe formy. To właśnie oparcie się na takich nieprawidłowych formach odróżnia współczesne krytyczne/eklektyczne wydania greckiego Nowego Testamentu oraz oparte na nich współczesne tłumaczenia.</w:t>
      </w:r>
    </w:p>
    <w:bookmarkEnd w:id="167"/>
    <w:bookmarkStart w:id="169" w:name="jakie-są-rzeczywiste-dowody"/>
    <w:p>
      <w:pPr>
        <w:pStyle w:val="Heading3"/>
      </w:pPr>
      <w:r>
        <w:t xml:space="preserve">Jakie są rzeczywiste dowody?</w:t>
      </w:r>
    </w:p>
    <w:p>
      <w:pPr>
        <w:pStyle w:val="FirstParagraph"/>
      </w:pPr>
      <w:r>
        <w:t xml:space="preserve">What is the actual evidence that needs to be evaluated? The continuous text MSS are the primary witnesses. The Lectionaries are secondary witnesses. The ancient Versions and patristic citations are tertiary witnessses. Any historical evidence, to the extent that it can be verified, is ancillary. The relevance of the secondary and tertiary types of evidence depends upon the presuppositions that the original wording was lost, and that the transmission of the text was not normal. Since both those presuppositions are false, I will confine my attention to the primary witnesses, the more so since there are so many of them.</w:t>
      </w:r>
    </w:p>
    <w:p>
      <w:pPr>
        <w:pStyle w:val="BodyText"/>
      </w:pPr>
      <w:r>
        <w:t xml:space="preserve">The primary witnesses are customarily treated as being of three types: the papyri, the uncials and the cursives. The papyri and the uncials are both written with upper case letters (often without spacing between words), the difference being in the material used, papyrus or parchment (leather). The cursives are written with lower case letters, often run together, and usually with spacing between words; the material used was parchment or paper. The uncial script was exclusively used until the ninth century, when the first cursive MSS appear. By the eleventh century the cursive script had taken over.</w:t>
      </w:r>
    </w:p>
    <w:p>
      <w:pPr>
        <w:pStyle w:val="BodyText"/>
      </w:pPr>
      <w:r>
        <w:t xml:space="preserve">The international list of extant (known) NT MSS is maintained by the Institute for New Testament Textual Research (INTF) in Münster, Germany. It is called the</w:t>
      </w:r>
      <w:r>
        <w:t xml:space="preserve"> </w:t>
      </w:r>
      <w:r>
        <w:rPr>
          <w:i/>
          <w:iCs/>
        </w:rPr>
        <w:t xml:space="preserve">Kurzgefasste Liste</w:t>
      </w:r>
      <w:r>
        <w:t xml:space="preserve">.</w:t>
      </w:r>
      <w:r>
        <w:rPr>
          <w:rStyle w:val="FootnoteReference"/>
        </w:rPr>
        <w:footnoteReference w:id="168"/>
      </w:r>
      <w:r>
        <w:t xml:space="preserve"> </w:t>
      </w:r>
      <w:r>
        <w:t xml:space="preserve">As of February, 2018, that list contained 133 papyri, 282 uncials (majuscules) and about 2,850 numbered cursives (minuscules).</w:t>
      </w:r>
    </w:p>
    <w:p>
      <w:pPr>
        <w:pStyle w:val="BodyText"/>
      </w:pPr>
      <w:r>
        <w:t xml:space="preserve">The dating of MSS is a slippery business, vulnerable to presupposition, bias and ‘party line’. The reader should understand that the dates that have been assigned to the individual MSS may be little more than rough guesses, so much so that they are usually given as a century. When a MS has a specific date, the copyist wrote the date when he finished.</w:t>
      </w:r>
    </w:p>
    <w:bookmarkEnd w:id="169"/>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8">
    <w:p>
      <w:pPr>
        <w:pStyle w:val="FootnoteText"/>
      </w:pPr>
      <w:r>
        <w:rPr>
          <w:rStyle w:val="FootnoteReference"/>
        </w:rPr>
        <w:footnoteRef/>
      </w:r>
      <w:r>
        <w:t xml:space="preserve"> </w:t>
      </w:r>
      <w:r>
        <w:t xml:space="preserve">Kurt Aland, ed.,</w:t>
      </w:r>
      <w:r>
        <w:t xml:space="preserve"> </w:t>
      </w:r>
      <w:r>
        <w:rPr>
          <w:i/>
          <w:iCs/>
        </w:rPr>
        <w:t xml:space="preserve">Kurzgefasste Liste der Grieshischen Handschriften des Neuen Testaments</w:t>
      </w:r>
      <w:r>
        <w:t xml:space="preserve"> </w:t>
      </w:r>
      <w:r>
        <w:t xml:space="preserve">(Berlin: Walter de Gruyter, 1994).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2026-06-17T12:01:18Z</dcterms:created>
  <dcterms:modified xsi:type="dcterms:W3CDTF">2026-06-17T12:01:18Z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