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1"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0"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39"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do momentu, gdy Konstantyn zaprowadził ulgę w 312 r. n.e. Prześladowania obejmowały sporadyczne niszczenie kopii Nowego Testamentu, w całości lub w części, tu i ówdzie. Jednak w 303 r. n.e. Dioklecjan ogłosił najsurowsze prześladowania, jakich do tej pory doświadczyło chrześcijaństwo. Obejmowały one palenie świętych ksiąg, miały one zostać zniszczone, gdziekolwiek je znaleziono. Chociaż prześladowania miały zasięg całego imperium, były one szczególnie surowe w Azji Mniejszej, gdzie chrześcijaństwo było najsilniejsze, i trwały przez co najmniej dziesięć lat.</w:t>
      </w:r>
    </w:p>
    <w:p>
      <w:pPr>
        <w:pStyle w:val="BodyText"/>
      </w:pPr>
      <w:r>
        <w:t xml:space="preserve">Beginning with Saul of Tarsus, Christians were persecuted here and there throughout the Roman Empire until Constantine started relief in AD 312. The persecutions included the sporadic destruction of copies of the NT, in whole or in part, here and there. But in AD 303 Diocletian decreed the most severe persecution that Christianity had experienced, up to that point. It included the burning of the sacred books; they were to be destroyed, wherever found. Although the persecution was Empire-wide, it was especially severe in Asia Minor, where Christianity was the strongest, and it continued for at least ten years.</w:t>
      </w:r>
    </w:p>
    <w:bookmarkEnd w:id="139"/>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2026-04-03T04:02:16Z</dcterms:created>
  <dcterms:modified xsi:type="dcterms:W3CDTF">2026-04-03T04:02:16Z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