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98"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7"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że był to boski rozkaz. Wierzę, że wszystkie księgi Nowego Testamentu zostały wydane w wielu egzemplarzach,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p>
      <w:pPr>
        <w:pStyle w:val="BodyText"/>
      </w:pPr>
      <w:r>
        <w:t xml:space="preserve">The idea is so good that it became the norm, the more so if it was a divine order. I believe all the NT books were released in the form of multiple copies, with the exception of the letters addressed to individuals. (Since Luke and Acts are addressed to an individual, they also may have started out as a single copy, unless Theophilus was a</w:t>
      </w:r>
      <w:r>
        <w:t xml:space="preserve"> </w:t>
      </w:r>
      <w:r>
        <w:t xml:space="preserve">‘</w:t>
      </w:r>
      <w:r>
        <w:t xml:space="preserve">benefactor</w:t>
      </w:r>
      <w:r>
        <w:t xml:space="preserve">’</w:t>
      </w:r>
      <w:r>
        <w:t xml:space="preserve"> </w:t>
      </w:r>
      <w:r>
        <w:t xml:space="preserve">who was financing the multiple copies. Luke and Acts are the two longest books of the NT, and multiple copies of them would represent a significant financial investment.) Again I say, the idea is so good, I would not be surprised if once they got it the churches would set about making multiple copies of other writings they considered to be inspired, such as letters to individuals. A</w:t>
      </w:r>
      <w:r>
        <w:t xml:space="preserve"> </w:t>
      </w:r>
      <w:r>
        <w:t xml:space="preserve">‘</w:t>
      </w:r>
      <w:r>
        <w:t xml:space="preserve">majority text</w:t>
      </w:r>
      <w:r>
        <w:t xml:space="preserve">’</w:t>
      </w:r>
      <w:r>
        <w:t xml:space="preserve"> </w:t>
      </w:r>
      <w:r>
        <w:t xml:space="preserve">would be well established throughout the Aegean area (Greece and Asia Minor) already in the first century. The</w:t>
      </w:r>
      <w:r>
        <w:t xml:space="preserve"> </w:t>
      </w:r>
      <w:r>
        <w:t xml:space="preserve">‘</w:t>
      </w:r>
      <w:r>
        <w:t xml:space="preserve">heartland of the Church</w:t>
      </w:r>
      <w:r>
        <w:t xml:space="preserve">’</w:t>
      </w:r>
      <w:r>
        <w:t xml:space="preserve"> </w:t>
      </w:r>
      <w:r>
        <w:t xml:space="preserve">(to use K. Aland’s phrase) simply kept on using and copying that form of text—hence the mass of Byzantine MSS that have come down to us.</w:t>
      </w:r>
    </w:p>
    <w:bookmarkEnd w:id="94"/>
    <w:bookmarkStart w:id="96" w:name="wczesne-rozpoznanie-x"/>
    <w:p>
      <w:pPr>
        <w:pStyle w:val="Heading3"/>
      </w:pPr>
      <w:r>
        <w:t xml:space="preserve">Wczesne Rozpoznanie</w:t>
      </w:r>
      <w:r>
        <w:t xml:space="preserve"> </w:t>
      </w:r>
      <w:r>
        <w:rPr>
          <w:rStyle w:val="FootnoteReference"/>
        </w:rPr>
        <w:footnoteReference w:id="95"/>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From this point on, this Part I is basically a reproduction (with a few embellishments) of most of Chapter 5 in my book, The Identity of the New Testament Text IV, available from Amazon.com, as well as from my site, www.prunch.org.</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2025-11-04T04:56:37Z</dcterms:created>
  <dcterms:modified xsi:type="dcterms:W3CDTF">2025-11-04T04:56:37Z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