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51"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50"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3"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1"/>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2"/>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3"/>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4"/>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5"/>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6"/>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7"/>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8"/>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29"/>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0"/>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1"/>
      </w:r>
      <w:r>
        <w:t xml:space="preserve"> </w:t>
      </w:r>
      <w:r>
        <w:t xml:space="preserve">Aland stwierdza: „Egipt wyróżniał się spośród innych prowincji Kościoła, na ile możemy to ocenić, wczesną dominacją gnostycyzmu”.</w:t>
      </w:r>
      <w:r>
        <w:rPr>
          <w:rStyle w:val="FootnoteReference"/>
        </w:rPr>
        <w:footnoteReference w:id="132"/>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3"/>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4"/>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5"/>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6"/>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7"/>
    <w:bookmarkStart w:id="149"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8"/>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39"/>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0"/>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1"/>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2"/>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3"/>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4"/>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5"/>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6"/>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7"/>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W okresie 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8"/>
      </w:r>
    </w:p>
    <w:p>
      <w:pPr>
        <w:pStyle w:val="BlockText"/>
      </w:pPr>
      <w:r>
        <w:t xml:space="preserve">This brings us to the second significant point—his date. From the early third century onward the freedom to alter the text which had obtained earlier can no longer be practiced. Tatian is the last author to make deliberate changes in the text of whom we have explicit information. Between Tatian and Origen Christian opinion had so changed that it was no longer possible to make changes in the text whether they were harmless or not.2</w:t>
      </w:r>
    </w:p>
    <w:bookmarkEnd w:id="149"/>
    <w:bookmarkEnd w:id="150"/>
    <w:bookmarkEnd w:id="1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2">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4">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5">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6">
    <w:p>
      <w:pPr>
        <w:pStyle w:val="FootnoteText"/>
      </w:pPr>
      <w:r>
        <w:rPr>
          <w:rStyle w:val="FootnoteReference"/>
        </w:rPr>
        <w:footnoteRef/>
      </w:r>
      <w:r>
        <w:t xml:space="preserve"> </w:t>
      </w:r>
      <w:r>
        <w:t xml:space="preserve">B.M. Metzger, The Early Versions of the New Testament (Oksford: Clarendon Press, 1977), s. 104.</w:t>
      </w:r>
    </w:p>
  </w:footnote>
  <w:footnote w:id="127">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8">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29">
    <w:p>
      <w:pPr>
        <w:pStyle w:val="FootnoteText"/>
      </w:pPr>
      <w:r>
        <w:rPr>
          <w:rStyle w:val="FootnoteReference"/>
        </w:rPr>
        <w:footnoteRef/>
      </w:r>
      <w:r>
        <w:t xml:space="preserve"> </w:t>
      </w:r>
      <w:r>
        <w:t xml:space="preserve">K. i B. Aland, Tekst Nowego Testamentu (Grand Rapids: Eerdmans, 1981), s. 52–53.</w:t>
      </w:r>
    </w:p>
  </w:footnote>
  <w:footnote w:id="13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1">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2">
    <w:p>
      <w:pPr>
        <w:pStyle w:val="FootnoteText"/>
      </w:pPr>
      <w:r>
        <w:rPr>
          <w:rStyle w:val="FootnoteReference"/>
        </w:rPr>
        <w:footnoteRef/>
      </w:r>
      <w:r>
        <w:t xml:space="preserve"> </w:t>
      </w:r>
      <w:r>
        <w:t xml:space="preserve">K. i B. Aland, s. 59.</w:t>
      </w:r>
    </w:p>
  </w:footnote>
  <w:footnote w:id="133">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4">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5">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6">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8">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39">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0">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1">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2">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3">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4">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5">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6">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7">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8">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2026-05-05T04:16:10Z</dcterms:created>
  <dcterms:modified xsi:type="dcterms:W3CDTF">2026-05-05T04:16:10Z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