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The school of literary criticism that existed at Alexandria would also be a negative factor, if it influenced the Church at all, and W.R. Farmer argues that it did. “But there is ample evidence that by the time of Eusebius the Alexandrian text-critical practices were being followed in at least some of the scriptoria where New Testament manuscripts were being produced. Exactly when Alexandrian text-critical principles were first used… is not known.”1 He goes on to suggest that the Christian school founded in Alexandria by Pantaenus, around 180, was bound to be influenced by the scholars of the great library of that city. The point is, the principles used in attempting to ‘restore’ the works of Homer would not be appropriate for the NT writings when appeal to the Autographs, or exact copies made from them, was still possible.</w:t>
      </w:r>
    </w:p>
    <w:p>
      <w:pPr>
        <w:pStyle w:val="BodyText"/>
      </w:pPr>
      <w:r>
        <w:rPr>
          <w:i/>
          <w:iCs/>
        </w:rPr>
        <w:t xml:space="preserve">Wniosek</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2026-04-02T16:41:15Z</dcterms:created>
  <dcterms:modified xsi:type="dcterms:W3CDTF">2026-04-02T16:41:15Z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