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9"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The school of literary criticism that existed at Alexandria would also be a negative factor, if it influenced the Church at all, and W.R. Farmer argues that it did. “But there is ample evidence that by the time of Eusebius the Alexandrian text-critical practices were being followed in at least some of the scriptoria where New Testament manuscripts were being produced. Exactly when Alexandrian text-critical principles were first used… is not known.”1 He goes on to suggest that the Christian school founded in Alexandria by Pantaenus, around 180, was bound to be influenced by the scholars of the great library of that city. The point is, the principles used in attempting to ‘restore’ the works of Homer would not be appropriate for the NT writings when appeal to the Autographs, or exact copies made from them, was still possible.</w:t>
      </w:r>
    </w:p>
    <w:p>
      <w:pPr>
        <w:pStyle w:val="BodyText"/>
      </w:pPr>
      <w:r>
        <w:rPr>
          <w:i/>
          <w:iCs/>
        </w:rPr>
        <w:t xml:space="preserve">Wniosek</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2026-04-02T17:05:51Z</dcterms:created>
  <dcterms:modified xsi:type="dcterms:W3CDTF">2026-04-02T17:05:51Z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