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brzmienia tekstu. Nikt nie zajmuje się krytyką tekstu na przykład Biblii Króla Jakuba z 1611 roku, ponieważ nadal istnieją kopie oryginalnego wydania. W odniesieniu do krytyki tekstu Nowego Testamentu kluczową kwestią jest zachowanie jego Tekstu. Aby jakikolwiek tekst miał obiektywny autorytet, musimy wiedzieć, czym on jest.</w:t>
      </w:r>
    </w:p>
    <w:p>
      <w:pPr>
        <w:pStyle w:val="BodyText"/>
      </w:pPr>
      <w:r>
        <w:t xml:space="preserve">The discipline of textual criticism (of whatever text) is predicated on the assumption/allegation/declaration that there is a legitimate doubt about the precise original wording of a text. No one does textual criticism on the 1611 King James Bible, for example, since copies of the original printing still exist. With reference to New Testament textual criticism,</w:t>
      </w:r>
      <w:r>
        <w:t xml:space="preserve"> </w:t>
      </w:r>
      <w:r>
        <w:rPr>
          <w:bCs/>
          <w:b/>
        </w:rPr>
        <w:t xml:space="preserve">the crucial point at issue is the preservation of its Text. For any text to have objecttive authority, we have to know what it is.</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2026-03-03T05:19:19Z</dcterms:created>
  <dcterms:modified xsi:type="dcterms:W3CDTF">2026-03-03T05:19:19Z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